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outlineLvl w:val="1"/>
        <w:rPr>
          <w:rFonts w:hint="default" w:ascii="黑体" w:hAnsi="黑体" w:eastAsia="黑体"/>
          <w:sz w:val="32"/>
          <w:szCs w:val="32"/>
          <w:lang w:val="en-US" w:eastAsia="zh-CN"/>
        </w:rPr>
      </w:pPr>
      <w:bookmarkStart w:id="0" w:name="_Toc27543"/>
      <w:r>
        <w:rPr>
          <w:rFonts w:hint="eastAsia" w:ascii="黑体" w:hAnsi="黑体" w:eastAsia="黑体"/>
          <w:sz w:val="32"/>
          <w:szCs w:val="32"/>
        </w:rPr>
        <w:t>附件1</w:t>
      </w:r>
      <w:bookmarkEnd w:id="0"/>
      <w:r>
        <w:rPr>
          <w:rFonts w:hint="eastAsia" w:ascii="黑体" w:hAnsi="黑体" w:eastAsia="黑体"/>
          <w:sz w:val="32"/>
          <w:szCs w:val="32"/>
          <w:lang w:val="en-US" w:eastAsia="zh-CN"/>
        </w:rPr>
        <w:t>-2</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方正小标宋_GBK" w:hAnsi="方正小标宋_GBK" w:eastAsia="方正小标宋_GBK" w:cs="方正小标宋_GBK"/>
          <w:b w:val="0"/>
          <w:bCs/>
          <w:sz w:val="44"/>
          <w:szCs w:val="44"/>
          <w:highlight w:val="none"/>
          <w:shd w:val="clear" w:color="auto" w:fill="FFFFFF"/>
          <w:lang w:eastAsia="zh-CN"/>
        </w:rPr>
      </w:pPr>
      <w:r>
        <w:rPr>
          <w:rFonts w:hint="eastAsia" w:ascii="方正小标宋_GBK" w:hAnsi="方正小标宋_GBK" w:eastAsia="方正小标宋_GBK" w:cs="方正小标宋_GBK"/>
          <w:b w:val="0"/>
          <w:bCs/>
          <w:sz w:val="44"/>
          <w:szCs w:val="44"/>
          <w:highlight w:val="none"/>
          <w:shd w:val="clear" w:color="auto" w:fill="FFFFFF"/>
          <w:lang w:eastAsia="zh-CN"/>
        </w:rPr>
        <w:t>黑水县水务局</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方正小标宋_GBK" w:hAnsi="方正小标宋_GBK" w:eastAsia="方正小标宋_GBK" w:cs="方正小标宋_GBK"/>
          <w:b w:val="0"/>
          <w:bCs/>
          <w:sz w:val="44"/>
          <w:szCs w:val="44"/>
          <w:highlight w:val="none"/>
          <w:shd w:val="clear" w:color="auto" w:fill="FFFFFF"/>
        </w:rPr>
      </w:pPr>
      <w:r>
        <w:rPr>
          <w:rFonts w:hint="eastAsia" w:ascii="方正小标宋_GBK" w:hAnsi="方正小标宋_GBK" w:eastAsia="方正小标宋_GBK" w:cs="方正小标宋_GBK"/>
          <w:b w:val="0"/>
          <w:bCs/>
          <w:sz w:val="44"/>
          <w:szCs w:val="44"/>
          <w:highlight w:val="none"/>
          <w:shd w:val="clear" w:color="auto" w:fill="FFFFFF"/>
        </w:rPr>
        <w:t>部门</w:t>
      </w:r>
      <w:r>
        <w:rPr>
          <w:rFonts w:hint="eastAsia" w:ascii="方正小标宋_GBK" w:hAnsi="方正小标宋_GBK" w:eastAsia="方正小标宋_GBK" w:cs="方正小标宋_GBK"/>
          <w:b w:val="0"/>
          <w:bCs/>
          <w:sz w:val="44"/>
          <w:szCs w:val="44"/>
          <w:highlight w:val="none"/>
          <w:shd w:val="clear" w:color="auto" w:fill="FFFFFF"/>
          <w:lang w:eastAsia="zh-CN"/>
        </w:rPr>
        <w:t>预算</w:t>
      </w:r>
      <w:r>
        <w:rPr>
          <w:rFonts w:hint="eastAsia" w:ascii="方正小标宋_GBK" w:hAnsi="方正小标宋_GBK" w:eastAsia="方正小标宋_GBK" w:cs="方正小标宋_GBK"/>
          <w:b w:val="0"/>
          <w:bCs/>
          <w:sz w:val="44"/>
          <w:szCs w:val="44"/>
          <w:highlight w:val="none"/>
          <w:shd w:val="clear" w:color="auto" w:fill="FFFFFF"/>
        </w:rPr>
        <w:t>绩效</w:t>
      </w:r>
      <w:r>
        <w:rPr>
          <w:rFonts w:hint="eastAsia" w:ascii="方正小标宋_GBK" w:hAnsi="方正小标宋_GBK" w:eastAsia="方正小标宋_GBK" w:cs="方正小标宋_GBK"/>
          <w:b w:val="0"/>
          <w:bCs/>
          <w:sz w:val="44"/>
          <w:szCs w:val="44"/>
          <w:highlight w:val="none"/>
          <w:shd w:val="clear" w:color="auto" w:fill="FFFFFF"/>
          <w:lang w:eastAsia="zh-CN"/>
        </w:rPr>
        <w:t>评价</w:t>
      </w:r>
      <w:r>
        <w:rPr>
          <w:rFonts w:hint="eastAsia" w:ascii="方正小标宋_GBK" w:hAnsi="方正小标宋_GBK" w:eastAsia="方正小标宋_GBK" w:cs="方正小标宋_GBK"/>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cs="Times New Roman"/>
          <w:sz w:val="32"/>
          <w:szCs w:val="32"/>
        </w:rPr>
      </w:pPr>
      <w:bookmarkStart w:id="1" w:name="_Toc15688"/>
      <w:r>
        <w:rPr>
          <w:rFonts w:hint="eastAsia"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bookmarkEnd w:id="1"/>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default" w:ascii="Times New Roman" w:hAnsi="Times New Roman" w:eastAsia="楷体_GB2312" w:cs="Times New Roman"/>
          <w:b/>
          <w:bCs/>
          <w:color w:val="000000"/>
          <w:kern w:val="0"/>
          <w:szCs w:val="32"/>
          <w:highlight w:val="none"/>
          <w:shd w:val="clear" w:color="auto" w:fill="FFFFFF"/>
          <w:lang w:val="zh-CN"/>
        </w:rPr>
      </w:pPr>
      <w:bookmarkStart w:id="2" w:name="_Toc1816"/>
      <w:r>
        <w:rPr>
          <w:rFonts w:hint="eastAsia" w:eastAsia="楷体_GB2312" w:cs="Times New Roman"/>
          <w:b/>
          <w:bCs/>
          <w:color w:val="000000"/>
          <w:kern w:val="0"/>
          <w:sz w:val="32"/>
          <w:szCs w:val="32"/>
          <w:highlight w:val="none"/>
          <w:shd w:val="clear" w:color="auto" w:fill="FFFFFF"/>
          <w:lang w:val="zh-CN"/>
        </w:rPr>
        <w:t>（一）</w:t>
      </w:r>
      <w:r>
        <w:rPr>
          <w:rFonts w:hint="default" w:ascii="Times New Roman" w:hAnsi="Times New Roman" w:eastAsia="楷体_GB2312" w:cs="Times New Roman"/>
          <w:b/>
          <w:bCs/>
          <w:color w:val="000000"/>
          <w:kern w:val="0"/>
          <w:sz w:val="32"/>
          <w:szCs w:val="32"/>
          <w:highlight w:val="none"/>
          <w:shd w:val="clear" w:color="auto" w:fill="FFFFFF"/>
          <w:lang w:val="zh-CN"/>
        </w:rPr>
        <w:t>机构组成</w:t>
      </w:r>
      <w:r>
        <w:rPr>
          <w:rFonts w:hint="default" w:ascii="Times New Roman" w:hAnsi="Times New Roman" w:eastAsia="楷体_GB2312" w:cs="Times New Roman"/>
          <w:b/>
          <w:bCs/>
          <w:color w:val="000000"/>
          <w:kern w:val="0"/>
          <w:szCs w:val="32"/>
          <w:highlight w:val="none"/>
          <w:shd w:val="clear" w:color="auto" w:fill="FFFFFF"/>
          <w:lang w:val="zh-CN"/>
        </w:rPr>
        <w:t>。</w:t>
      </w:r>
      <w:bookmarkEnd w:id="2"/>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szCs w:val="32"/>
        </w:rPr>
      </w:pPr>
      <w:r>
        <w:rPr>
          <w:rFonts w:hint="eastAsia" w:ascii="仿宋_GB2312" w:hAnsi="仿宋_GB2312" w:eastAsia="仿宋_GB2312" w:cs="仿宋_GB2312"/>
          <w:i w:val="0"/>
          <w:iCs w:val="0"/>
          <w:caps w:val="0"/>
          <w:color w:val="auto"/>
          <w:spacing w:val="0"/>
          <w:sz w:val="32"/>
          <w:szCs w:val="32"/>
          <w:lang w:eastAsia="zh-CN"/>
        </w:rPr>
        <w:t>黑水县水务局</w:t>
      </w:r>
      <w:r>
        <w:rPr>
          <w:rFonts w:hint="eastAsia" w:ascii="仿宋_GB2312" w:hAnsi="仿宋_GB2312" w:eastAsia="仿宋_GB2312" w:cs="仿宋_GB2312"/>
          <w:color w:val="auto"/>
          <w:sz w:val="32"/>
          <w:szCs w:val="32"/>
        </w:rPr>
        <w:t>属一级预算单位，</w:t>
      </w:r>
      <w:r>
        <w:rPr>
          <w:rFonts w:hint="eastAsia" w:ascii="仿宋_GB2312" w:hAnsi="仿宋_GB2312" w:eastAsia="仿宋_GB2312" w:cs="仿宋_GB2312"/>
          <w:i w:val="0"/>
          <w:iCs w:val="0"/>
          <w:caps w:val="0"/>
          <w:color w:val="auto"/>
          <w:spacing w:val="0"/>
          <w:sz w:val="32"/>
          <w:szCs w:val="32"/>
        </w:rPr>
        <w:t>其中内设机构</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个</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水务服务中心</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黑水县灌区管理站。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2" w:firstLineChars="200"/>
        <w:textAlignment w:val="auto"/>
        <w:outlineLvl w:val="2"/>
        <w:rPr>
          <w:rFonts w:hint="eastAsia" w:ascii="Times New Roman" w:hAnsi="Times New Roman" w:eastAsia="楷体_GB2312" w:cs="Times New Roman"/>
          <w:b/>
          <w:bCs/>
          <w:color w:val="000000"/>
          <w:kern w:val="0"/>
          <w:sz w:val="32"/>
          <w:szCs w:val="32"/>
          <w:highlight w:val="none"/>
          <w:shd w:val="clear" w:color="auto" w:fill="FFFFFF"/>
          <w:lang w:val="zh-CN" w:eastAsia="zh-CN" w:bidi="ar-SA"/>
        </w:rPr>
      </w:pPr>
      <w:bookmarkStart w:id="3" w:name="_Toc5874"/>
      <w:r>
        <w:rPr>
          <w:rFonts w:hint="default" w:ascii="Times New Roman" w:hAnsi="Times New Roman" w:eastAsia="楷体_GB2312" w:cs="Times New Roman"/>
          <w:b/>
          <w:bCs/>
          <w:color w:val="000000"/>
          <w:kern w:val="0"/>
          <w:sz w:val="32"/>
          <w:szCs w:val="32"/>
          <w:highlight w:val="none"/>
          <w:shd w:val="clear" w:color="auto" w:fill="FFFFFF"/>
          <w:lang w:val="zh-CN" w:eastAsia="zh-CN" w:bidi="ar-SA"/>
        </w:rPr>
        <w:t>（二）机构职能</w:t>
      </w:r>
      <w:r>
        <w:rPr>
          <w:rFonts w:hint="eastAsia" w:ascii="Times New Roman" w:hAnsi="Times New Roman" w:eastAsia="楷体_GB2312" w:cs="Times New Roman"/>
          <w:b/>
          <w:bCs/>
          <w:color w:val="000000"/>
          <w:kern w:val="0"/>
          <w:sz w:val="32"/>
          <w:szCs w:val="32"/>
          <w:highlight w:val="none"/>
          <w:shd w:val="clear" w:color="auto" w:fill="FFFFFF"/>
          <w:lang w:val="zh-CN" w:eastAsia="zh-CN" w:bidi="ar-SA"/>
        </w:rPr>
        <w:t>。</w:t>
      </w:r>
      <w:bookmarkEnd w:id="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1.贯彻执行国家、省、州有关水利工作的方针、政策和法律、法规，研究拟订配套适合县情的实施办法和规范性文件，并监督实施;负责保障水资源的合理开发利用，组织编制全县重要江河的流域综合规划、防洪规划等重大水利规划;拟订全县水利发展目标、发展战略以及编制中长期规划和年度计划，拟订水利工程建设有关制度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2.统一管理全县水资源，负责生活、生产经营和生态环境用水的统筹兼顾和保障。拟订全县和跨县水中长期供求规划、水量分配方案、计划用水、节约用水规划，推动节水型社会建设工作。组织实施取水许可、水资源论证、防洪论证和水土保持论证制度。按规划发布全县水资源公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3.组织编制洪水干旱灾害防治规划，承担水情、旱情监测预警，组织编制防汛抗旱应急水量调度方案，编制防御洪水抗旱调方案。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4.按照管理权限编制、审查全县水利基本建设项目建议书和可行性研究报告;初审、转报水利基本建设项目初步设计。负责水利设施的管理与保护，负责全县重要江河、湖泊、水库、滩涂的治理和开发，管理和负责水利工程建设与运行管理，组织实施具有控制性或跨县重要水利工程建设与运行管理，负责河道采砂的统一监督管理工作。负责全县农村饮水安全的建设与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5.负责防治水土流失。拟订水土保持规划并监督实施，组织实施全县水土流失的综合防治、监测预报，按照管理权限负责建设项目水土保持方案的审批、监督实施及水土保持设施的验收工作，承担重点水土保持建设项目的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6.负责重大涉水违法事件的查处和协调跨县或部门间水事纠纷，承担水政监察和水行政执法。负责水利建设工程项目的招标投标活动的监督执法。依法负责水利行业安全生产工作，组织、承担水库大坝、水电站大坝等水利工程的安全监管，组织实施水利工程建设的监督和定额管理。承担水利统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7.拟订水利行业经济调节措施;负责编制全县水利建设项目资金计划，对水利资金进行管理、监督和内部审计。研究提出有关水利方面价格、税收、信贷、财务等经济调节建议。单位国有资产保值增值的监督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8.负责全县水利方面的科技与外事工作，组织本县重大水利行业科学研究的技术推广。监督实施水利行业技术质量标准和规程、规范，承办水利行业对外经济、技术合作与交流等涉外事务。</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仿宋_GB2312" w:hAnsi="仿宋_GB2312" w:eastAsia="仿宋_GB2312" w:cs="仿宋_GB2312"/>
          <w:i w:val="0"/>
          <w:iCs w:val="0"/>
          <w:caps w:val="0"/>
          <w:color w:val="auto"/>
          <w:spacing w:val="0"/>
          <w:sz w:val="32"/>
          <w:szCs w:val="32"/>
          <w:lang w:eastAsia="zh-CN"/>
        </w:rPr>
        <w:t>9.完成县委和县政府交办的其他任务。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eastAsia="楷体_GB2312" w:cs="Times New Roman"/>
          <w:b/>
          <w:bCs/>
          <w:color w:val="000000"/>
          <w:kern w:val="0"/>
          <w:sz w:val="32"/>
          <w:szCs w:val="32"/>
          <w:highlight w:val="none"/>
          <w:shd w:val="clear" w:color="auto" w:fill="FFFFFF"/>
          <w:lang w:val="zh-CN"/>
        </w:rPr>
      </w:pPr>
      <w:bookmarkStart w:id="4" w:name="_Toc25012"/>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eastAsia="楷体_GB2312" w:cs="Times New Roman"/>
          <w:b/>
          <w:bCs/>
          <w:color w:val="000000"/>
          <w:kern w:val="0"/>
          <w:sz w:val="32"/>
          <w:szCs w:val="32"/>
          <w:highlight w:val="none"/>
          <w:shd w:val="clear" w:color="auto" w:fill="FFFFFF"/>
          <w:lang w:val="zh-CN"/>
        </w:rPr>
        <w:t>。</w:t>
      </w:r>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截至202</w:t>
      </w:r>
      <w:r>
        <w:rPr>
          <w:rFonts w:hint="eastAsia" w:ascii="仿宋_GB2312" w:hAnsi="仿宋_GB2312" w:eastAsia="仿宋_GB2312" w:cs="仿宋_GB2312"/>
          <w:i w:val="0"/>
          <w:iCs w:val="0"/>
          <w:caps w:val="0"/>
          <w:color w:val="auto"/>
          <w:spacing w:val="0"/>
          <w:kern w:val="0"/>
          <w:sz w:val="32"/>
          <w:szCs w:val="32"/>
          <w:lang w:val="en-US" w:eastAsia="zh-CN" w:bidi="ar"/>
        </w:rPr>
        <w:t>3</w:t>
      </w:r>
      <w:r>
        <w:rPr>
          <w:rFonts w:hint="default" w:ascii="仿宋_GB2312" w:hAnsi="仿宋_GB2312" w:eastAsia="仿宋_GB2312" w:cs="仿宋_GB2312"/>
          <w:i w:val="0"/>
          <w:iCs w:val="0"/>
          <w:caps w:val="0"/>
          <w:color w:val="auto"/>
          <w:spacing w:val="0"/>
          <w:kern w:val="0"/>
          <w:sz w:val="32"/>
          <w:szCs w:val="32"/>
          <w:lang w:val="en-US" w:eastAsia="zh-CN" w:bidi="ar"/>
        </w:rPr>
        <w:t>年末，</w:t>
      </w:r>
      <w:r>
        <w:rPr>
          <w:rFonts w:hint="eastAsia" w:ascii="仿宋_GB2312" w:hAnsi="仿宋_GB2312" w:eastAsia="仿宋_GB2312" w:cs="仿宋_GB2312"/>
          <w:i w:val="0"/>
          <w:iCs w:val="0"/>
          <w:caps w:val="0"/>
          <w:color w:val="auto"/>
          <w:spacing w:val="0"/>
          <w:kern w:val="0"/>
          <w:sz w:val="32"/>
          <w:szCs w:val="32"/>
          <w:lang w:val="en-US" w:eastAsia="zh-CN" w:bidi="ar"/>
        </w:rPr>
        <w:t>黑水县水务局核定编制25名,其中:行政编制5名,事业编制19名，行政工勤1名。在职人员总数24名，其中：行政人员4名，事业人员19名，行政工勤1名。</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eastAsia="黑体" w:cs="Times New Roman"/>
          <w:color w:val="000000"/>
          <w:kern w:val="0"/>
          <w:sz w:val="32"/>
          <w:szCs w:val="32"/>
          <w:highlight w:val="none"/>
          <w:shd w:val="clear" w:color="auto" w:fill="FFFFFF"/>
        </w:rPr>
      </w:pPr>
      <w:bookmarkStart w:id="5" w:name="_Toc3054"/>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bookmarkEnd w:id="5"/>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default" w:ascii="Times New Roman" w:hAnsi="Times New Roman" w:eastAsia="楷体_GB2312" w:cs="Times New Roman"/>
          <w:b/>
          <w:bCs/>
          <w:color w:val="000000"/>
          <w:kern w:val="0"/>
          <w:sz w:val="32"/>
          <w:szCs w:val="32"/>
          <w:highlight w:val="none"/>
          <w:shd w:val="clear" w:color="auto" w:fill="FFFFFF"/>
          <w:lang w:val="zh-CN"/>
        </w:rPr>
      </w:pPr>
      <w:bookmarkStart w:id="6" w:name="_Toc16749"/>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本单位本年度收入的年初预算数为0万元，上年度收入的年初预算数为0万元，差异为0万元；主要原因为：本单位是2023年新设单位，2023年预算并在县科农牧局。本年度支出的年初预算数为0万元，上年度支出的年初预算数为0万元，差异为0万元；主要原因为：本单位是2023年新设单位，2023年预算并在县科农牧局。</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default" w:ascii="Times New Roman" w:hAnsi="Times New Roman" w:eastAsia="楷体_GB2312" w:cs="Times New Roman"/>
          <w:b/>
          <w:bCs/>
          <w:color w:val="000000"/>
          <w:kern w:val="0"/>
          <w:sz w:val="32"/>
          <w:szCs w:val="32"/>
          <w:highlight w:val="none"/>
          <w:shd w:val="clear" w:color="auto" w:fill="FFFFFF"/>
          <w:lang w:val="zh-CN"/>
        </w:rPr>
      </w:pPr>
      <w:bookmarkStart w:id="7" w:name="_Toc18778"/>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bookmarkEnd w:id="7"/>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Style w:val="9"/>
          <w:rFonts w:hint="eastAsia" w:ascii="仿宋_GB2312" w:hAnsi="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本单位本年度收入全年预算数为3427.45万元，收入决算数为3427.45万元，预算完成度为100.00%，上年度预算完成度：无，存在差异的主要原因：本单位是2023年新设单位，2023年人员经费、日常公用经费及项目资金在县科农牧局财政平台中支付；本年度支出调整预算数为3427.45万元，支出决算数为3427.45万元，预算完成度为100.00%，上年度预算完成度:无，存在差异的主要原因:本单位是2023年新设单位，2023年人员经费、日常公用经费及项目资金在县科农牧局财政平台中支付。</w:t>
      </w:r>
      <w:r>
        <w:rPr>
          <w:rStyle w:val="9"/>
          <w:rFonts w:hint="eastAsia" w:ascii="仿宋_GB2312" w:hAnsi="仿宋_GB2312" w:cs="仿宋_GB2312"/>
          <w:b w:val="0"/>
          <w:bCs w:val="0"/>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eastAsia" w:ascii="Times New Roman" w:hAnsi="Times New Roman" w:eastAsia="楷体_GB2312" w:cs="Times New Roman"/>
          <w:b/>
          <w:sz w:val="32"/>
          <w:szCs w:val="32"/>
          <w:lang w:eastAsia="zh-CN"/>
        </w:rPr>
      </w:pPr>
      <w:bookmarkStart w:id="8" w:name="_Toc10627"/>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sz w:val="32"/>
          <w:szCs w:val="32"/>
        </w:rPr>
        <w:t>结余分配和结转结余情况</w:t>
      </w:r>
      <w:r>
        <w:rPr>
          <w:rFonts w:hint="eastAsia" w:ascii="Times New Roman" w:hAnsi="Times New Roman" w:eastAsia="楷体_GB2312" w:cs="Times New Roman"/>
          <w:b/>
          <w:sz w:val="32"/>
          <w:szCs w:val="32"/>
          <w:lang w:eastAsia="zh-CN"/>
        </w:rPr>
        <w:t>。</w:t>
      </w:r>
      <w:bookmarkEnd w:id="8"/>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_GB2312" w:hAnsi="仿宋_GB2312" w:eastAsia="仿宋_GB2312" w:cs="仿宋_GB2312"/>
          <w:i w:val="0"/>
          <w:iCs w:val="0"/>
          <w:caps w:val="0"/>
          <w:color w:val="auto"/>
          <w:spacing w:val="0"/>
          <w:kern w:val="0"/>
          <w:sz w:val="32"/>
          <w:szCs w:val="32"/>
          <w:lang w:val="zh-CN"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黑水县水务局2023年决算报表</w:t>
      </w:r>
      <w:r>
        <w:rPr>
          <w:rFonts w:hint="default" w:ascii="仿宋_GB2312" w:hAnsi="仿宋_GB2312" w:eastAsia="仿宋_GB2312" w:cs="仿宋_GB2312"/>
          <w:i w:val="0"/>
          <w:iCs w:val="0"/>
          <w:caps w:val="0"/>
          <w:color w:val="auto"/>
          <w:spacing w:val="0"/>
          <w:kern w:val="0"/>
          <w:sz w:val="32"/>
          <w:szCs w:val="32"/>
          <w:lang w:val="en-US" w:eastAsia="zh-CN" w:bidi="ar"/>
        </w:rPr>
        <w:t>结转结余</w:t>
      </w:r>
      <w:r>
        <w:rPr>
          <w:rFonts w:hint="eastAsia" w:ascii="仿宋_GB2312" w:hAnsi="仿宋_GB2312" w:eastAsia="仿宋_GB2312" w:cs="仿宋_GB2312"/>
          <w:i w:val="0"/>
          <w:iCs w:val="0"/>
          <w:caps w:val="0"/>
          <w:color w:val="auto"/>
          <w:spacing w:val="0"/>
          <w:kern w:val="0"/>
          <w:sz w:val="32"/>
          <w:szCs w:val="32"/>
          <w:lang w:val="en-US" w:eastAsia="zh-CN" w:bidi="ar"/>
        </w:rPr>
        <w:t>情况为0万元</w:t>
      </w:r>
      <w:r>
        <w:rPr>
          <w:rFonts w:hint="default" w:ascii="仿宋_GB2312" w:hAnsi="仿宋_GB2312" w:eastAsia="仿宋_GB2312" w:cs="仿宋_GB2312"/>
          <w:i w:val="0"/>
          <w:iCs w:val="0"/>
          <w:caps w:val="0"/>
          <w:color w:val="auto"/>
          <w:spacing w:val="0"/>
          <w:kern w:val="0"/>
          <w:sz w:val="32"/>
          <w:szCs w:val="32"/>
          <w:lang w:val="en-US" w:eastAsia="zh-CN" w:bidi="ar"/>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eastAsia="黑体" w:cs="Times New Roman"/>
          <w:color w:val="000000"/>
          <w:kern w:val="0"/>
          <w:sz w:val="32"/>
          <w:szCs w:val="32"/>
          <w:highlight w:val="none"/>
          <w:u w:val="none"/>
          <w:shd w:val="clear" w:color="auto" w:fill="FFFFFF"/>
          <w:lang w:eastAsia="zh-CN"/>
        </w:rPr>
      </w:pPr>
      <w:bookmarkStart w:id="9" w:name="_Toc3495"/>
      <w:r>
        <w:rPr>
          <w:rFonts w:hint="default" w:ascii="Times New Roman" w:hAnsi="Times New Roman" w:eastAsia="黑体" w:cs="Times New Roman"/>
          <w:color w:val="000000"/>
          <w:kern w:val="0"/>
          <w:sz w:val="32"/>
          <w:szCs w:val="32"/>
          <w:highlight w:val="none"/>
          <w:u w:val="none"/>
          <w:shd w:val="clear" w:color="auto" w:fill="FFFFFF"/>
        </w:rPr>
        <w:t>部门</w:t>
      </w:r>
      <w:r>
        <w:rPr>
          <w:rFonts w:hint="default" w:ascii="Times New Roman" w:hAnsi="Times New Roman" w:eastAsia="黑体" w:cs="Times New Roman"/>
          <w:color w:val="000000"/>
          <w:kern w:val="0"/>
          <w:sz w:val="32"/>
          <w:szCs w:val="32"/>
          <w:highlight w:val="none"/>
          <w:u w:val="none"/>
          <w:shd w:val="clear" w:color="auto" w:fill="FFFFFF"/>
          <w:lang w:eastAsia="zh-CN"/>
        </w:rPr>
        <w:t>预算</w:t>
      </w:r>
      <w:r>
        <w:rPr>
          <w:rFonts w:hint="default" w:ascii="Times New Roman" w:hAnsi="Times New Roman" w:eastAsia="黑体" w:cs="Times New Roman"/>
          <w:color w:val="000000"/>
          <w:kern w:val="0"/>
          <w:sz w:val="32"/>
          <w:szCs w:val="32"/>
          <w:highlight w:val="none"/>
          <w:u w:val="none"/>
          <w:shd w:val="clear" w:color="auto" w:fill="FFFFFF"/>
        </w:rPr>
        <w:t>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bookmarkEnd w:id="9"/>
    </w:p>
    <w:p>
      <w:pPr>
        <w:pStyle w:val="3"/>
        <w:numPr>
          <w:ilvl w:val="0"/>
          <w:numId w:val="0"/>
        </w:numPr>
        <w:ind w:firstLine="640" w:firstLineChars="200"/>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我单位绩效评价总分为92分</w:t>
      </w:r>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eastAsia" w:ascii="Times New Roman" w:hAnsi="Times New Roman" w:eastAsia="楷体_GB2312" w:cs="Times New Roman"/>
          <w:b/>
          <w:bCs/>
          <w:color w:val="000000"/>
          <w:kern w:val="0"/>
          <w:sz w:val="32"/>
          <w:szCs w:val="32"/>
          <w:highlight w:val="none"/>
          <w:shd w:val="clear" w:color="auto" w:fill="FFFFFF"/>
          <w:lang w:val="zh-CN"/>
        </w:rPr>
        <w:t>（得分：</w:t>
      </w:r>
      <w:r>
        <w:rPr>
          <w:rFonts w:hint="eastAsia" w:ascii="Times New Roman" w:hAnsi="Times New Roman" w:eastAsia="楷体_GB2312" w:cs="Times New Roman"/>
          <w:b/>
          <w:bCs/>
          <w:color w:val="000000"/>
          <w:kern w:val="0"/>
          <w:sz w:val="32"/>
          <w:szCs w:val="32"/>
          <w:highlight w:val="none"/>
          <w:shd w:val="clear" w:color="auto" w:fill="FFFFFF"/>
          <w:lang w:val="en-US" w:eastAsia="zh-CN"/>
        </w:rPr>
        <w:t>59分</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i w:val="0"/>
          <w:iCs w:val="0"/>
          <w:caps w:val="0"/>
          <w:color w:val="auto"/>
          <w:spacing w:val="0"/>
          <w:kern w:val="0"/>
          <w:sz w:val="32"/>
          <w:szCs w:val="32"/>
          <w:lang w:val="en-US" w:eastAsia="zh-CN" w:bidi="ar"/>
        </w:rPr>
        <w:t>预算支出在保障本单位工作运转、履行职能职责上整体情况良好。具体有：1、2023年度支出绩效较好，预算编制比较精确、合理;2、为认真落实中央八项规定等厉行节约，反对浪费规定要求，压缩了部分培训费及一般性支出;3、 动态优化了年度预算安排，保障了在经费压缩情况下的高效运转;4、各项目经费的支出有力保障了办公设备购置等项目所需，推动了改革和各类便民措施的实行;5、提高了管理工作的化、信息化水平;6、强化机关公用经费及日常运行经费管理，对于各科室日常公用经费按照相关政策进行管 理，对于办公日常运行维护费用加强审核力度，公用经费及水、电等日常运行经费均有一定下降。</w:t>
      </w:r>
    </w:p>
    <w:p>
      <w:pPr>
        <w:keepNext w:val="0"/>
        <w:keepLines w:val="0"/>
        <w:widowControl/>
        <w:suppressLineNumbers w:val="0"/>
        <w:ind w:firstLine="642" w:firstLineChars="200"/>
        <w:jc w:val="left"/>
        <w:outlineLvl w:val="2"/>
        <w:rPr>
          <w:rFonts w:hint="eastAsia" w:ascii="仿宋_GB2312" w:hAnsi="仿宋_GB2312" w:eastAsia="仿宋_GB2312" w:cs="仿宋_GB2312"/>
          <w:b/>
          <w:bCs/>
          <w:color w:val="000000"/>
          <w:kern w:val="0"/>
          <w:sz w:val="32"/>
          <w:szCs w:val="32"/>
          <w:highlight w:val="none"/>
          <w:shd w:val="clear" w:color="auto" w:fill="FFFFFF"/>
          <w:lang w:val="zh-CN"/>
        </w:rPr>
      </w:pPr>
      <w:bookmarkStart w:id="10" w:name="_Toc19982"/>
      <w:r>
        <w:rPr>
          <w:rFonts w:hint="eastAsia" w:ascii="仿宋_GB2312" w:hAnsi="仿宋_GB2312" w:eastAsia="仿宋_GB2312" w:cs="仿宋_GB2312"/>
          <w:b/>
          <w:bCs/>
          <w:color w:val="000000"/>
          <w:kern w:val="0"/>
          <w:sz w:val="32"/>
          <w:szCs w:val="32"/>
          <w:highlight w:val="none"/>
          <w:shd w:val="clear" w:color="auto" w:fill="FFFFFF"/>
          <w:lang w:val="en-US" w:eastAsia="zh-CN"/>
        </w:rPr>
        <w:t>1.</w:t>
      </w:r>
      <w:r>
        <w:rPr>
          <w:rFonts w:hint="eastAsia" w:ascii="仿宋_GB2312" w:hAnsi="仿宋_GB2312" w:eastAsia="仿宋_GB2312" w:cs="仿宋_GB2312"/>
          <w:b/>
          <w:bCs/>
          <w:color w:val="000000"/>
          <w:kern w:val="0"/>
          <w:sz w:val="32"/>
          <w:szCs w:val="32"/>
          <w:highlight w:val="none"/>
          <w:shd w:val="clear" w:color="auto" w:fill="FFFFFF"/>
          <w:lang w:val="zh-CN"/>
        </w:rPr>
        <w:t>履职效能。（得分：</w:t>
      </w:r>
      <w:r>
        <w:rPr>
          <w:rFonts w:hint="eastAsia" w:ascii="仿宋_GB2312" w:hAnsi="仿宋_GB2312" w:eastAsia="仿宋_GB2312" w:cs="仿宋_GB2312"/>
          <w:b/>
          <w:bCs/>
          <w:color w:val="000000"/>
          <w:kern w:val="0"/>
          <w:sz w:val="32"/>
          <w:szCs w:val="32"/>
          <w:highlight w:val="none"/>
          <w:shd w:val="clear" w:color="auto" w:fill="FFFFFF"/>
          <w:lang w:val="en-US" w:eastAsia="zh-CN"/>
        </w:rPr>
        <w:t>15分</w:t>
      </w:r>
      <w:r>
        <w:rPr>
          <w:rFonts w:hint="eastAsia" w:ascii="仿宋_GB2312" w:hAnsi="仿宋_GB2312" w:eastAsia="仿宋_GB2312" w:cs="仿宋_GB2312"/>
          <w:b/>
          <w:bCs/>
          <w:color w:val="000000"/>
          <w:kern w:val="0"/>
          <w:sz w:val="32"/>
          <w:szCs w:val="32"/>
          <w:highlight w:val="none"/>
          <w:shd w:val="clear" w:color="auto" w:fill="FFFFFF"/>
          <w:lang w:val="zh-CN"/>
        </w:rPr>
        <w:t>）</w:t>
      </w:r>
      <w:bookmarkEnd w:id="10"/>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zh-CN"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本单位是2023年新设单位，2023年预算并在县科农牧局，比照县科农牧局5</w:t>
      </w:r>
      <w:r>
        <w:rPr>
          <w:rFonts w:hint="eastAsia" w:ascii="仿宋_GB2312" w:hAnsi="仿宋_GB2312" w:eastAsia="仿宋_GB2312" w:cs="仿宋_GB2312"/>
          <w:i w:val="0"/>
          <w:iCs w:val="0"/>
          <w:caps w:val="0"/>
          <w:color w:val="auto"/>
          <w:spacing w:val="0"/>
          <w:kern w:val="0"/>
          <w:sz w:val="32"/>
          <w:szCs w:val="32"/>
          <w:lang w:val="zh-CN" w:eastAsia="zh-CN" w:bidi="ar"/>
        </w:rPr>
        <w:t>个核心职能目标，</w:t>
      </w:r>
      <w:r>
        <w:rPr>
          <w:rFonts w:hint="eastAsia" w:ascii="仿宋_GB2312" w:hAnsi="仿宋_GB2312" w:eastAsia="仿宋_GB2312" w:cs="仿宋_GB2312"/>
          <w:i w:val="0"/>
          <w:iCs w:val="0"/>
          <w:caps w:val="0"/>
          <w:color w:val="auto"/>
          <w:spacing w:val="0"/>
          <w:kern w:val="0"/>
          <w:sz w:val="32"/>
          <w:szCs w:val="32"/>
          <w:lang w:val="en-US" w:eastAsia="zh-CN" w:bidi="ar"/>
        </w:rPr>
        <w:t>本单位已及时、高质量完成本单位的</w:t>
      </w:r>
      <w:r>
        <w:rPr>
          <w:rFonts w:hint="eastAsia" w:ascii="仿宋_GB2312" w:hAnsi="仿宋_GB2312" w:eastAsia="仿宋_GB2312" w:cs="仿宋_GB2312"/>
          <w:i w:val="0"/>
          <w:iCs w:val="0"/>
          <w:caps w:val="0"/>
          <w:color w:val="auto"/>
          <w:spacing w:val="0"/>
          <w:kern w:val="0"/>
          <w:sz w:val="32"/>
          <w:szCs w:val="32"/>
          <w:lang w:val="zh-CN" w:eastAsia="zh-CN" w:bidi="ar"/>
        </w:rPr>
        <w:t>职能目标。</w:t>
      </w:r>
    </w:p>
    <w:p>
      <w:pPr>
        <w:keepNext w:val="0"/>
        <w:keepLines w:val="0"/>
        <w:widowControl/>
        <w:numPr>
          <w:ilvl w:val="0"/>
          <w:numId w:val="2"/>
        </w:numPr>
        <w:suppressLineNumbers w:val="0"/>
        <w:ind w:firstLine="642" w:firstLineChars="200"/>
        <w:jc w:val="left"/>
        <w:outlineLvl w:val="2"/>
        <w:rPr>
          <w:rFonts w:hint="eastAsia" w:ascii="仿宋_GB2312" w:hAnsi="仿宋_GB2312" w:eastAsia="仿宋_GB2312" w:cs="仿宋_GB2312"/>
          <w:b/>
          <w:bCs/>
          <w:i w:val="0"/>
          <w:iCs w:val="0"/>
          <w:caps w:val="0"/>
          <w:color w:val="auto"/>
          <w:spacing w:val="0"/>
          <w:kern w:val="0"/>
          <w:sz w:val="32"/>
          <w:szCs w:val="32"/>
          <w:lang w:val="zh-CN" w:eastAsia="zh-CN" w:bidi="ar"/>
        </w:rPr>
      </w:pPr>
      <w:bookmarkStart w:id="11" w:name="_Toc5713"/>
      <w:r>
        <w:rPr>
          <w:rFonts w:hint="default" w:ascii="仿宋_GB2312" w:hAnsi="仿宋_GB2312" w:eastAsia="仿宋_GB2312" w:cs="仿宋_GB2312"/>
          <w:b/>
          <w:bCs/>
          <w:i w:val="0"/>
          <w:iCs w:val="0"/>
          <w:caps w:val="0"/>
          <w:color w:val="auto"/>
          <w:spacing w:val="0"/>
          <w:kern w:val="0"/>
          <w:sz w:val="32"/>
          <w:szCs w:val="32"/>
          <w:lang w:val="zh-CN" w:eastAsia="zh-CN" w:bidi="ar"/>
        </w:rPr>
        <w:t>预算管理</w:t>
      </w:r>
      <w:r>
        <w:rPr>
          <w:rFonts w:hint="eastAsia" w:ascii="仿宋_GB2312" w:hAnsi="仿宋_GB2312" w:eastAsia="仿宋_GB2312" w:cs="仿宋_GB2312"/>
          <w:b/>
          <w:bCs/>
          <w:i w:val="0"/>
          <w:iCs w:val="0"/>
          <w:caps w:val="0"/>
          <w:color w:val="auto"/>
          <w:spacing w:val="0"/>
          <w:kern w:val="0"/>
          <w:sz w:val="32"/>
          <w:szCs w:val="32"/>
          <w:lang w:val="zh-CN" w:eastAsia="zh-CN" w:bidi="ar"/>
        </w:rPr>
        <w:t>。（得分：</w:t>
      </w:r>
      <w:r>
        <w:rPr>
          <w:rFonts w:hint="eastAsia" w:ascii="仿宋_GB2312" w:hAnsi="仿宋_GB2312" w:eastAsia="仿宋_GB2312" w:cs="仿宋_GB2312"/>
          <w:b/>
          <w:bCs/>
          <w:i w:val="0"/>
          <w:iCs w:val="0"/>
          <w:caps w:val="0"/>
          <w:color w:val="auto"/>
          <w:spacing w:val="0"/>
          <w:kern w:val="0"/>
          <w:sz w:val="32"/>
          <w:szCs w:val="32"/>
          <w:lang w:val="en-US" w:eastAsia="zh-CN" w:bidi="ar"/>
        </w:rPr>
        <w:t>21分</w:t>
      </w:r>
      <w:r>
        <w:rPr>
          <w:rFonts w:hint="eastAsia" w:ascii="仿宋_GB2312" w:hAnsi="仿宋_GB2312" w:eastAsia="仿宋_GB2312" w:cs="仿宋_GB2312"/>
          <w:b/>
          <w:bCs/>
          <w:i w:val="0"/>
          <w:iCs w:val="0"/>
          <w:caps w:val="0"/>
          <w:color w:val="auto"/>
          <w:spacing w:val="0"/>
          <w:kern w:val="0"/>
          <w:sz w:val="32"/>
          <w:szCs w:val="32"/>
          <w:lang w:val="zh-CN" w:eastAsia="zh-CN" w:bidi="ar"/>
        </w:rPr>
        <w:t>）</w:t>
      </w:r>
      <w:bookmarkEnd w:id="11"/>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i w:val="0"/>
          <w:iCs w:val="0"/>
          <w:caps w:val="0"/>
          <w:color w:val="auto"/>
          <w:spacing w:val="0"/>
          <w:kern w:val="0"/>
          <w:sz w:val="32"/>
          <w:szCs w:val="32"/>
          <w:lang w:val="en-US" w:eastAsia="zh-CN" w:bidi="ar"/>
        </w:rPr>
        <w:t>（1）.预算编制质量：</w:t>
      </w:r>
      <w:r>
        <w:rPr>
          <w:rFonts w:hint="eastAsia" w:ascii="仿宋_GB2312" w:hAnsi="仿宋_GB2312" w:eastAsia="仿宋_GB2312" w:cs="仿宋_GB2312"/>
          <w:color w:val="000000"/>
          <w:kern w:val="0"/>
          <w:sz w:val="32"/>
          <w:szCs w:val="32"/>
          <w:highlight w:val="none"/>
          <w:shd w:val="clear" w:color="auto" w:fill="FFFFFF"/>
          <w:lang w:val="en-US" w:eastAsia="zh-CN"/>
        </w:rPr>
        <w:t>我单位</w:t>
      </w:r>
      <w:r>
        <w:rPr>
          <w:rFonts w:hint="eastAsia" w:ascii="仿宋_GB2312" w:hAnsi="仿宋_GB2312" w:eastAsia="仿宋_GB2312" w:cs="仿宋_GB2312"/>
          <w:color w:val="000000"/>
          <w:kern w:val="0"/>
          <w:sz w:val="32"/>
          <w:szCs w:val="32"/>
          <w:highlight w:val="none"/>
          <w:shd w:val="clear" w:color="auto" w:fill="FFFFFF"/>
          <w:lang w:val="zh-CN"/>
        </w:rPr>
        <w:t>部门严格按照州、县预算编制要求，按时完成了基础信息、项目库的报送工作，完成基础信息的更新，按时完成预算编制并提交部门预算草案。（</w:t>
      </w:r>
      <w:r>
        <w:rPr>
          <w:rFonts w:hint="eastAsia" w:ascii="仿宋_GB2312" w:hAnsi="仿宋_GB2312" w:eastAsia="仿宋_GB2312" w:cs="仿宋_GB2312"/>
          <w:color w:val="000000"/>
          <w:kern w:val="0"/>
          <w:sz w:val="32"/>
          <w:szCs w:val="32"/>
          <w:highlight w:val="none"/>
          <w:shd w:val="clear" w:color="auto" w:fill="FFFFFF"/>
          <w:lang w:val="en-US" w:eastAsia="zh-CN"/>
        </w:rPr>
        <w:t>得分：8分</w:t>
      </w:r>
      <w:r>
        <w:rPr>
          <w:rFonts w:hint="eastAsia" w:ascii="仿宋_GB2312" w:hAnsi="仿宋_GB2312" w:eastAsia="仿宋_GB2312" w:cs="仿宋_GB2312"/>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（2）.</w:t>
      </w:r>
      <w:r>
        <w:rPr>
          <w:rFonts w:hint="eastAsia" w:ascii="仿宋_GB2312" w:hAnsi="仿宋_GB2312" w:eastAsia="仿宋_GB2312" w:cs="仿宋_GB2312"/>
          <w:color w:val="000000"/>
          <w:kern w:val="0"/>
          <w:sz w:val="32"/>
          <w:szCs w:val="32"/>
          <w:highlight w:val="none"/>
          <w:shd w:val="clear" w:color="auto" w:fill="FFFFFF"/>
          <w:lang w:val="en-US" w:eastAsia="zh-CN"/>
        </w:rPr>
        <w:t>单位收入统筹：我单位无超出预算的统筹收入，年初预算收入</w:t>
      </w:r>
      <w:r>
        <w:rPr>
          <w:rFonts w:hint="eastAsia" w:ascii="仿宋_GB2312" w:hAnsi="仿宋_GB2312" w:eastAsia="仿宋_GB2312" w:cs="仿宋_GB2312"/>
          <w:color w:val="auto"/>
          <w:sz w:val="32"/>
          <w:szCs w:val="32"/>
          <w:lang w:val="en-US" w:eastAsia="zh-CN"/>
        </w:rPr>
        <w:t>3427.45</w:t>
      </w:r>
      <w:r>
        <w:rPr>
          <w:rFonts w:hint="eastAsia" w:ascii="仿宋_GB2312" w:hAnsi="仿宋_GB2312" w:eastAsia="仿宋_GB2312" w:cs="仿宋_GB2312"/>
          <w:sz w:val="32"/>
          <w:szCs w:val="32"/>
          <w:lang w:val="en-US" w:eastAsia="zh-CN"/>
        </w:rPr>
        <w:t>万元、决算报表收入</w:t>
      </w:r>
      <w:r>
        <w:rPr>
          <w:rFonts w:hint="eastAsia" w:ascii="仿宋_GB2312" w:hAnsi="仿宋_GB2312" w:eastAsia="仿宋_GB2312" w:cs="仿宋_GB2312"/>
          <w:color w:val="auto"/>
          <w:sz w:val="32"/>
          <w:szCs w:val="32"/>
          <w:lang w:val="en-US" w:eastAsia="zh-CN"/>
        </w:rPr>
        <w:t>3427.45万元</w:t>
      </w:r>
      <w:r>
        <w:rPr>
          <w:rFonts w:hint="eastAsia" w:ascii="仿宋_GB2312" w:hAnsi="仿宋_GB2312" w:eastAsia="仿宋_GB2312" w:cs="仿宋_GB2312"/>
          <w:color w:val="000000"/>
          <w:kern w:val="0"/>
          <w:sz w:val="32"/>
          <w:szCs w:val="32"/>
          <w:highlight w:val="none"/>
          <w:shd w:val="clear" w:color="auto" w:fill="FFFFFF"/>
          <w:lang w:val="en-US" w:eastAsia="zh-CN"/>
        </w:rPr>
        <w:t>。</w:t>
      </w:r>
      <w:r>
        <w:rPr>
          <w:rFonts w:hint="eastAsia" w:ascii="仿宋_GB2312" w:hAnsi="仿宋_GB2312" w:eastAsia="仿宋_GB2312" w:cs="仿宋_GB2312"/>
          <w:color w:val="000000"/>
          <w:kern w:val="0"/>
          <w:sz w:val="32"/>
          <w:szCs w:val="32"/>
          <w:highlight w:val="none"/>
          <w:shd w:val="clear" w:color="auto" w:fill="FFFFFF"/>
          <w:lang w:val="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得分：4分</w:t>
      </w:r>
      <w:r>
        <w:rPr>
          <w:rFonts w:hint="eastAsia" w:ascii="仿宋_GB2312" w:hAnsi="仿宋_GB2312" w:eastAsia="仿宋_GB2312" w:cs="仿宋_GB2312"/>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color w:val="000000"/>
          <w:kern w:val="0"/>
          <w:sz w:val="32"/>
          <w:szCs w:val="32"/>
          <w:highlight w:val="none"/>
          <w:shd w:val="clear" w:color="auto" w:fill="FFFFFF"/>
          <w:lang w:val="zh-CN"/>
        </w:rPr>
        <w:t>支出执行进度：</w:t>
      </w:r>
      <w:r>
        <w:rPr>
          <w:rFonts w:hint="eastAsia" w:ascii="仿宋_GB2312" w:hAnsi="仿宋_GB2312" w:eastAsia="仿宋_GB2312" w:cs="仿宋_GB2312"/>
          <w:color w:val="000000"/>
          <w:kern w:val="0"/>
          <w:sz w:val="32"/>
          <w:szCs w:val="32"/>
          <w:highlight w:val="none"/>
          <w:shd w:val="clear" w:color="auto" w:fill="FFFFFF"/>
          <w:lang w:val="en-US" w:eastAsia="zh-CN"/>
        </w:rPr>
        <w:t>我单位</w:t>
      </w:r>
      <w:r>
        <w:rPr>
          <w:rFonts w:hint="eastAsia" w:ascii="仿宋_GB2312" w:hAnsi="仿宋_GB2312" w:eastAsia="仿宋_GB2312" w:cs="仿宋_GB2312"/>
          <w:color w:val="000000"/>
          <w:kern w:val="0"/>
          <w:sz w:val="32"/>
          <w:szCs w:val="32"/>
          <w:highlight w:val="none"/>
          <w:shd w:val="clear" w:color="auto" w:fill="FFFFFF"/>
          <w:lang w:val="zh-CN"/>
        </w:rPr>
        <w:t>1至</w:t>
      </w:r>
      <w:r>
        <w:rPr>
          <w:rFonts w:hint="eastAsia" w:ascii="仿宋_GB2312" w:hAnsi="仿宋_GB2312" w:eastAsia="仿宋_GB2312" w:cs="仿宋_GB2312"/>
          <w:color w:val="000000"/>
          <w:kern w:val="0"/>
          <w:sz w:val="32"/>
          <w:szCs w:val="32"/>
          <w:highlight w:val="none"/>
          <w:shd w:val="clear" w:color="auto" w:fill="FFFFFF"/>
          <w:lang w:val="en-US" w:eastAsia="zh-CN"/>
        </w:rPr>
        <w:t>12</w:t>
      </w:r>
      <w:r>
        <w:rPr>
          <w:rFonts w:hint="eastAsia" w:ascii="仿宋_GB2312" w:hAnsi="仿宋_GB2312" w:eastAsia="仿宋_GB2312" w:cs="仿宋_GB2312"/>
          <w:color w:val="000000"/>
          <w:kern w:val="0"/>
          <w:sz w:val="32"/>
          <w:szCs w:val="32"/>
          <w:highlight w:val="none"/>
          <w:shd w:val="clear" w:color="auto" w:fill="FFFFFF"/>
          <w:lang w:val="zh-CN"/>
        </w:rPr>
        <w:t>月预算执行</w:t>
      </w:r>
      <w:r>
        <w:rPr>
          <w:rFonts w:hint="eastAsia" w:ascii="仿宋_GB2312" w:hAnsi="仿宋_GB2312" w:eastAsia="仿宋_GB2312" w:cs="仿宋_GB2312"/>
          <w:color w:val="000000"/>
          <w:kern w:val="0"/>
          <w:sz w:val="32"/>
          <w:szCs w:val="32"/>
          <w:highlight w:val="none"/>
          <w:shd w:val="clear" w:color="auto" w:fill="FFFFFF"/>
          <w:lang w:val="en-US" w:eastAsia="zh-CN"/>
        </w:rPr>
        <w:t>达标。</w:t>
      </w:r>
      <w:r>
        <w:rPr>
          <w:rFonts w:hint="eastAsia" w:ascii="仿宋_GB2312" w:hAnsi="仿宋_GB2312" w:eastAsia="仿宋_GB2312" w:cs="仿宋_GB2312"/>
          <w:color w:val="000000"/>
          <w:kern w:val="0"/>
          <w:sz w:val="32"/>
          <w:szCs w:val="32"/>
          <w:highlight w:val="none"/>
          <w:shd w:val="clear" w:color="auto" w:fill="FFFFFF"/>
          <w:lang w:val="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得分：2分</w:t>
      </w:r>
      <w:r>
        <w:rPr>
          <w:rFonts w:hint="eastAsia" w:ascii="仿宋_GB2312" w:hAnsi="仿宋_GB2312" w:eastAsia="仿宋_GB2312" w:cs="仿宋_GB2312"/>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（4）.预算年终结余：我单位</w:t>
      </w:r>
      <w:r>
        <w:rPr>
          <w:rFonts w:hint="eastAsia" w:ascii="仿宋_GB2312" w:hAnsi="仿宋_GB2312" w:eastAsia="仿宋_GB2312" w:cs="仿宋_GB2312"/>
          <w:color w:val="000000"/>
          <w:kern w:val="0"/>
          <w:sz w:val="32"/>
          <w:szCs w:val="32"/>
          <w:highlight w:val="none"/>
          <w:shd w:val="clear" w:color="auto" w:fill="FFFFFF"/>
          <w:lang w:val="zh-CN"/>
        </w:rPr>
        <w:t>年终</w:t>
      </w:r>
      <w:r>
        <w:rPr>
          <w:rFonts w:hint="eastAsia" w:ascii="仿宋_GB2312" w:hAnsi="仿宋_GB2312" w:eastAsia="仿宋_GB2312" w:cs="仿宋_GB2312"/>
          <w:color w:val="000000"/>
          <w:kern w:val="0"/>
          <w:sz w:val="32"/>
          <w:szCs w:val="32"/>
          <w:highlight w:val="none"/>
          <w:shd w:val="clear" w:color="auto" w:fill="FFFFFF"/>
          <w:lang w:val="en-US" w:eastAsia="zh-CN"/>
        </w:rPr>
        <w:t>无</w:t>
      </w:r>
      <w:r>
        <w:rPr>
          <w:rFonts w:hint="eastAsia" w:ascii="仿宋_GB2312" w:hAnsi="仿宋_GB2312" w:eastAsia="仿宋_GB2312" w:cs="仿宋_GB2312"/>
          <w:color w:val="000000"/>
          <w:kern w:val="0"/>
          <w:sz w:val="32"/>
          <w:szCs w:val="32"/>
          <w:highlight w:val="none"/>
          <w:shd w:val="clear" w:color="auto" w:fill="FFFFFF"/>
          <w:lang w:val="zh-CN"/>
        </w:rPr>
        <w:t>预算结余</w:t>
      </w:r>
      <w:r>
        <w:rPr>
          <w:rFonts w:hint="eastAsia" w:ascii="仿宋_GB2312" w:hAnsi="仿宋_GB2312" w:eastAsia="仿宋_GB2312" w:cs="仿宋_GB2312"/>
          <w:color w:val="000000"/>
          <w:kern w:val="0"/>
          <w:sz w:val="32"/>
          <w:szCs w:val="32"/>
          <w:highlight w:val="none"/>
          <w:shd w:val="clear" w:color="auto" w:fill="FFFFFF"/>
          <w:lang w:val="en-US" w:eastAsia="zh-CN"/>
        </w:rPr>
        <w:t>的</w:t>
      </w:r>
      <w:r>
        <w:rPr>
          <w:rFonts w:hint="eastAsia" w:ascii="仿宋_GB2312" w:hAnsi="仿宋_GB2312" w:eastAsia="仿宋_GB2312" w:cs="仿宋_GB2312"/>
          <w:color w:val="000000"/>
          <w:kern w:val="0"/>
          <w:sz w:val="32"/>
          <w:szCs w:val="32"/>
          <w:highlight w:val="none"/>
          <w:shd w:val="clear" w:color="auto" w:fill="FFFFFF"/>
          <w:lang w:val="zh-CN"/>
        </w:rPr>
        <w:t>情况。（</w:t>
      </w:r>
      <w:r>
        <w:rPr>
          <w:rFonts w:hint="eastAsia" w:ascii="仿宋_GB2312" w:hAnsi="仿宋_GB2312" w:eastAsia="仿宋_GB2312" w:cs="仿宋_GB2312"/>
          <w:color w:val="000000"/>
          <w:kern w:val="0"/>
          <w:sz w:val="32"/>
          <w:szCs w:val="32"/>
          <w:highlight w:val="none"/>
          <w:shd w:val="clear" w:color="auto" w:fill="FFFFFF"/>
          <w:lang w:val="en-US" w:eastAsia="zh-CN"/>
        </w:rPr>
        <w:t>得分：2分</w:t>
      </w:r>
      <w:r>
        <w:rPr>
          <w:rFonts w:hint="eastAsia" w:ascii="仿宋_GB2312" w:hAnsi="仿宋_GB2312" w:eastAsia="仿宋_GB2312" w:cs="仿宋_GB2312"/>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（5）.</w:t>
      </w:r>
      <w:r>
        <w:rPr>
          <w:rFonts w:hint="eastAsia" w:ascii="仿宋_GB2312" w:hAnsi="仿宋_GB2312" w:eastAsia="仿宋_GB2312" w:cs="仿宋_GB2312"/>
          <w:color w:val="000000"/>
          <w:kern w:val="0"/>
          <w:sz w:val="32"/>
          <w:szCs w:val="32"/>
          <w:highlight w:val="none"/>
          <w:shd w:val="clear" w:color="auto" w:fill="FFFFFF"/>
          <w:lang w:val="zh-CN"/>
        </w:rPr>
        <w:t>严控一般性支出：</w:t>
      </w:r>
      <w:r>
        <w:rPr>
          <w:rFonts w:hint="eastAsia" w:ascii="仿宋_GB2312" w:hAnsi="仿宋_GB2312" w:eastAsia="仿宋_GB2312" w:cs="仿宋_GB2312"/>
          <w:color w:val="000000"/>
          <w:kern w:val="0"/>
          <w:sz w:val="32"/>
          <w:szCs w:val="32"/>
          <w:highlight w:val="none"/>
          <w:shd w:val="clear" w:color="auto" w:fill="FFFFFF"/>
          <w:lang w:val="en-US" w:eastAsia="zh-CN"/>
        </w:rPr>
        <w:t>我单位</w:t>
      </w:r>
      <w:r>
        <w:rPr>
          <w:rFonts w:hint="eastAsia" w:ascii="仿宋_GB2312" w:hAnsi="仿宋_GB2312" w:eastAsia="仿宋_GB2312" w:cs="仿宋_GB2312"/>
          <w:color w:val="000000"/>
          <w:kern w:val="0"/>
          <w:sz w:val="32"/>
          <w:szCs w:val="32"/>
          <w:highlight w:val="none"/>
          <w:shd w:val="clear" w:color="auto" w:fill="FFFFFF"/>
          <w:lang w:val="zh-CN"/>
        </w:rPr>
        <w:t>严控“三公”经费、会议、培训、差旅、办节办展、办公设备购置、信息网络及软件购置更新、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_GB2312" w:hAnsi="仿宋_GB2312" w:eastAsia="仿宋_GB2312" w:cs="仿宋_GB2312"/>
          <w:color w:val="000000"/>
          <w:kern w:val="0"/>
          <w:sz w:val="32"/>
          <w:szCs w:val="32"/>
          <w:highlight w:val="none"/>
          <w:shd w:val="clear" w:color="auto" w:fill="FFFFFF"/>
          <w:lang w:val="en-US" w:eastAsia="zh-CN"/>
        </w:rPr>
        <w:t>得分：5分</w:t>
      </w:r>
      <w:r>
        <w:rPr>
          <w:rFonts w:hint="eastAsia" w:ascii="仿宋_GB2312" w:hAnsi="仿宋_GB2312" w:eastAsia="仿宋_GB2312" w:cs="仿宋_GB2312"/>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eastAsia" w:ascii="仿宋_GB2312" w:hAnsi="仿宋_GB2312" w:eastAsia="仿宋_GB2312" w:cs="仿宋_GB2312"/>
          <w:b/>
          <w:bCs/>
          <w:color w:val="000000"/>
          <w:kern w:val="0"/>
          <w:sz w:val="32"/>
          <w:szCs w:val="32"/>
          <w:highlight w:val="none"/>
          <w:shd w:val="clear" w:color="auto" w:fill="FFFFFF"/>
          <w:lang w:val="zh-CN"/>
        </w:rPr>
      </w:pPr>
      <w:bookmarkStart w:id="12" w:name="_Toc29013"/>
      <w:r>
        <w:rPr>
          <w:rFonts w:hint="eastAsia" w:ascii="仿宋_GB2312" w:hAnsi="仿宋_GB2312" w:eastAsia="仿宋_GB2312" w:cs="仿宋_GB2312"/>
          <w:b/>
          <w:bCs/>
          <w:color w:val="000000"/>
          <w:kern w:val="0"/>
          <w:sz w:val="32"/>
          <w:szCs w:val="32"/>
          <w:highlight w:val="none"/>
          <w:shd w:val="clear" w:color="auto" w:fill="FFFFFF"/>
          <w:lang w:val="en-US" w:eastAsia="zh-CN"/>
        </w:rPr>
        <w:t>3.</w:t>
      </w:r>
      <w:r>
        <w:rPr>
          <w:rFonts w:hint="eastAsia" w:ascii="仿宋_GB2312" w:hAnsi="仿宋_GB2312" w:eastAsia="仿宋_GB2312" w:cs="仿宋_GB2312"/>
          <w:b/>
          <w:bCs/>
          <w:color w:val="000000"/>
          <w:kern w:val="0"/>
          <w:sz w:val="32"/>
          <w:szCs w:val="32"/>
          <w:highlight w:val="none"/>
          <w:shd w:val="clear" w:color="auto" w:fill="FFFFFF"/>
          <w:lang w:val="zh-CN"/>
        </w:rPr>
        <w:t>财务管理。</w:t>
      </w:r>
      <w:r>
        <w:rPr>
          <w:rFonts w:hint="eastAsia" w:ascii="仿宋_GB2312" w:hAnsi="仿宋_GB2312" w:eastAsia="仿宋_GB2312" w:cs="仿宋_GB2312"/>
          <w:b/>
          <w:bCs/>
          <w:color w:val="000000"/>
          <w:kern w:val="0"/>
          <w:sz w:val="32"/>
          <w:szCs w:val="32"/>
          <w:highlight w:val="none"/>
          <w:shd w:val="clear" w:color="auto" w:fill="FFFFFF"/>
          <w:lang w:val="zh-CN" w:eastAsia="zh-CN"/>
        </w:rPr>
        <w:t>（</w:t>
      </w:r>
      <w:r>
        <w:rPr>
          <w:rFonts w:hint="eastAsia" w:ascii="仿宋_GB2312" w:hAnsi="仿宋_GB2312" w:eastAsia="仿宋_GB2312" w:cs="仿宋_GB2312"/>
          <w:b/>
          <w:bCs/>
          <w:color w:val="000000"/>
          <w:kern w:val="0"/>
          <w:sz w:val="32"/>
          <w:szCs w:val="32"/>
          <w:highlight w:val="none"/>
          <w:shd w:val="clear" w:color="auto" w:fill="FFFFFF"/>
          <w:lang w:val="en-US" w:eastAsia="zh-CN"/>
        </w:rPr>
        <w:t>得分：10分</w:t>
      </w:r>
      <w:r>
        <w:rPr>
          <w:rFonts w:hint="eastAsia" w:ascii="仿宋_GB2312" w:hAnsi="仿宋_GB2312" w:eastAsia="仿宋_GB2312" w:cs="仿宋_GB2312"/>
          <w:b/>
          <w:bCs/>
          <w:color w:val="000000"/>
          <w:kern w:val="0"/>
          <w:sz w:val="32"/>
          <w:szCs w:val="32"/>
          <w:highlight w:val="none"/>
          <w:shd w:val="clear" w:color="auto" w:fill="FFFFFF"/>
          <w:lang w:val="zh-CN" w:eastAsia="zh-CN"/>
        </w:rPr>
        <w:t>）</w:t>
      </w:r>
      <w:bookmarkEnd w:id="12"/>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val="zh-CN" w:eastAsia="zh-CN"/>
        </w:rPr>
        <w:t>财务管理制度</w:t>
      </w:r>
      <w:r>
        <w:rPr>
          <w:rFonts w:hint="eastAsia" w:ascii="仿宋_GB2312" w:hAnsi="仿宋_GB2312" w:eastAsia="仿宋_GB2312" w:cs="仿宋_GB2312"/>
          <w:color w:val="000000"/>
          <w:kern w:val="0"/>
          <w:sz w:val="32"/>
          <w:szCs w:val="32"/>
          <w:highlight w:val="none"/>
          <w:shd w:val="clear" w:color="auto" w:fill="FFFFFF"/>
          <w:lang w:val="en-US" w:eastAsia="zh-CN"/>
        </w:rPr>
        <w:t>:</w:t>
      </w:r>
      <w:r>
        <w:rPr>
          <w:rFonts w:hint="eastAsia" w:ascii="仿宋_GB2312" w:hAnsi="仿宋_GB2312" w:eastAsia="仿宋_GB2312" w:cs="仿宋_GB2312"/>
          <w:color w:val="000000"/>
          <w:kern w:val="0"/>
          <w:sz w:val="32"/>
          <w:szCs w:val="32"/>
          <w:highlight w:val="none"/>
          <w:shd w:val="clear" w:color="auto" w:fill="FFFFFF"/>
          <w:lang w:val="zh-CN" w:eastAsia="zh-CN"/>
        </w:rPr>
        <w:t>建立和完善了</w:t>
      </w:r>
      <w:r>
        <w:rPr>
          <w:rFonts w:hint="eastAsia" w:ascii="仿宋_GB2312" w:hAnsi="仿宋_GB2312" w:eastAsia="仿宋_GB2312" w:cs="仿宋_GB2312"/>
          <w:color w:val="000000"/>
          <w:kern w:val="0"/>
          <w:sz w:val="32"/>
          <w:szCs w:val="32"/>
          <w:highlight w:val="none"/>
          <w:shd w:val="clear" w:color="auto" w:fill="FFFFFF"/>
          <w:lang w:val="en-US" w:eastAsia="zh-CN"/>
        </w:rPr>
        <w:t>水务</w:t>
      </w:r>
      <w:r>
        <w:rPr>
          <w:rFonts w:hint="eastAsia" w:ascii="仿宋_GB2312" w:hAnsi="仿宋_GB2312" w:eastAsia="仿宋_GB2312" w:cs="仿宋_GB2312"/>
          <w:color w:val="000000"/>
          <w:kern w:val="0"/>
          <w:sz w:val="32"/>
          <w:szCs w:val="32"/>
          <w:highlight w:val="none"/>
          <w:shd w:val="clear" w:color="auto" w:fill="FFFFFF"/>
          <w:lang w:val="zh-CN" w:eastAsia="zh-CN"/>
        </w:rPr>
        <w:t>财务管理相关的各项管理制度。（</w:t>
      </w:r>
      <w:r>
        <w:rPr>
          <w:rFonts w:hint="eastAsia" w:ascii="仿宋_GB2312" w:hAnsi="仿宋_GB2312" w:eastAsia="仿宋_GB2312" w:cs="仿宋_GB2312"/>
          <w:color w:val="000000"/>
          <w:kern w:val="0"/>
          <w:sz w:val="32"/>
          <w:szCs w:val="32"/>
          <w:highlight w:val="none"/>
          <w:shd w:val="clear" w:color="auto" w:fill="FFFFFF"/>
          <w:lang w:val="en-US" w:eastAsia="zh-CN"/>
        </w:rPr>
        <w:t>得分：4分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zh-CN" w:eastAsia="zh-CN"/>
        </w:rPr>
        <w:t>财务岗位设置</w:t>
      </w:r>
      <w:r>
        <w:rPr>
          <w:rFonts w:hint="eastAsia" w:ascii="仿宋_GB2312" w:hAnsi="仿宋_GB2312" w:eastAsia="仿宋_GB2312" w:cs="仿宋_GB2312"/>
          <w:color w:val="000000"/>
          <w:kern w:val="0"/>
          <w:sz w:val="32"/>
          <w:szCs w:val="32"/>
          <w:highlight w:val="none"/>
          <w:shd w:val="clear" w:color="auto" w:fill="FFFFFF"/>
          <w:lang w:val="en-US" w:eastAsia="zh-CN"/>
        </w:rPr>
        <w:t>:</w:t>
      </w:r>
      <w:r>
        <w:rPr>
          <w:rFonts w:hint="eastAsia" w:ascii="仿宋_GB2312" w:hAnsi="仿宋_GB2312" w:eastAsia="仿宋_GB2312" w:cs="仿宋_GB2312"/>
          <w:color w:val="000000"/>
          <w:kern w:val="0"/>
          <w:sz w:val="32"/>
          <w:szCs w:val="32"/>
          <w:highlight w:val="none"/>
          <w:shd w:val="clear" w:color="auto" w:fill="FFFFFF"/>
          <w:lang w:val="zh-CN" w:eastAsia="zh-CN"/>
        </w:rPr>
        <w:t>建立好出纳与会计之间的监督机制，‌确保财务岗位的设置能够满足</w:t>
      </w:r>
      <w:r>
        <w:rPr>
          <w:rFonts w:hint="eastAsia" w:ascii="仿宋_GB2312" w:hAnsi="仿宋_GB2312" w:eastAsia="仿宋_GB2312" w:cs="仿宋_GB2312"/>
          <w:color w:val="000000"/>
          <w:kern w:val="0"/>
          <w:sz w:val="32"/>
          <w:szCs w:val="32"/>
          <w:highlight w:val="none"/>
          <w:shd w:val="clear" w:color="auto" w:fill="FFFFFF"/>
          <w:lang w:val="en-US" w:eastAsia="zh-CN"/>
        </w:rPr>
        <w:t>水务</w:t>
      </w:r>
      <w:r>
        <w:rPr>
          <w:rFonts w:hint="eastAsia" w:ascii="仿宋_GB2312" w:hAnsi="仿宋_GB2312" w:eastAsia="仿宋_GB2312" w:cs="仿宋_GB2312"/>
          <w:color w:val="000000"/>
          <w:kern w:val="0"/>
          <w:sz w:val="32"/>
          <w:szCs w:val="32"/>
          <w:highlight w:val="none"/>
          <w:shd w:val="clear" w:color="auto" w:fill="FFFFFF"/>
          <w:lang w:val="zh-CN" w:eastAsia="zh-CN"/>
        </w:rPr>
        <w:t>的日常运营需求，‌同时能够有效防止财务风险，‌提高财务管理效率。（</w:t>
      </w:r>
      <w:r>
        <w:rPr>
          <w:rFonts w:hint="eastAsia" w:ascii="仿宋_GB2312" w:hAnsi="仿宋_GB2312" w:eastAsia="仿宋_GB2312" w:cs="仿宋_GB2312"/>
          <w:color w:val="000000"/>
          <w:kern w:val="0"/>
          <w:sz w:val="32"/>
          <w:szCs w:val="32"/>
          <w:highlight w:val="none"/>
          <w:shd w:val="clear" w:color="auto" w:fill="FFFFFF"/>
          <w:lang w:val="en-US" w:eastAsia="zh-CN"/>
        </w:rPr>
        <w:t>得分：2分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（3）资金使用规范：建立</w:t>
      </w:r>
      <w:r>
        <w:rPr>
          <w:rFonts w:hint="eastAsia" w:ascii="仿宋_GB2312" w:hAnsi="仿宋_GB2312" w:eastAsia="仿宋_GB2312" w:cs="仿宋_GB2312"/>
          <w:color w:val="000000"/>
          <w:kern w:val="0"/>
          <w:sz w:val="32"/>
          <w:szCs w:val="32"/>
          <w:highlight w:val="none"/>
          <w:shd w:val="clear" w:color="auto" w:fill="FFFFFF"/>
          <w:lang w:val="zh-CN" w:eastAsia="zh-CN"/>
        </w:rPr>
        <w:t>相关财务管理制度规定，‌确保资金的使用和资产管理严格遵循相关制度，‌以提高财务管理效率和透明度；同时对于资金的使用有严谨的程序，确保资金的规范使用。（</w:t>
      </w:r>
      <w:r>
        <w:rPr>
          <w:rFonts w:hint="eastAsia" w:ascii="仿宋_GB2312" w:hAnsi="仿宋_GB2312" w:eastAsia="仿宋_GB2312" w:cs="仿宋_GB2312"/>
          <w:color w:val="000000"/>
          <w:kern w:val="0"/>
          <w:sz w:val="32"/>
          <w:szCs w:val="32"/>
          <w:highlight w:val="none"/>
          <w:shd w:val="clear" w:color="auto" w:fill="FFFFFF"/>
          <w:lang w:val="en-US" w:eastAsia="zh-CN"/>
        </w:rPr>
        <w:t>得分：4分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eastAsia" w:ascii="仿宋_GB2312" w:hAnsi="仿宋_GB2312" w:eastAsia="仿宋_GB2312" w:cs="仿宋_GB2312"/>
          <w:b/>
          <w:bCs/>
          <w:color w:val="auto"/>
          <w:kern w:val="0"/>
          <w:sz w:val="32"/>
          <w:szCs w:val="32"/>
          <w:highlight w:val="none"/>
          <w:shd w:val="clear" w:color="auto" w:fill="FFFFFF"/>
          <w:lang w:val="zh-CN"/>
        </w:rPr>
      </w:pPr>
      <w:bookmarkStart w:id="13" w:name="_Toc5201"/>
      <w:r>
        <w:rPr>
          <w:rFonts w:hint="eastAsia" w:ascii="仿宋_GB2312" w:hAnsi="仿宋_GB2312" w:eastAsia="仿宋_GB2312" w:cs="仿宋_GB2312"/>
          <w:b/>
          <w:bCs/>
          <w:color w:val="auto"/>
          <w:kern w:val="0"/>
          <w:sz w:val="32"/>
          <w:szCs w:val="32"/>
          <w:highlight w:val="none"/>
          <w:shd w:val="clear" w:color="auto" w:fill="FFFFFF"/>
          <w:lang w:val="en-US" w:eastAsia="zh-CN"/>
        </w:rPr>
        <w:t>4.</w:t>
      </w:r>
      <w:r>
        <w:rPr>
          <w:rFonts w:hint="eastAsia" w:ascii="仿宋_GB2312" w:hAnsi="仿宋_GB2312" w:eastAsia="仿宋_GB2312" w:cs="仿宋_GB2312"/>
          <w:b/>
          <w:bCs/>
          <w:color w:val="auto"/>
          <w:kern w:val="0"/>
          <w:sz w:val="32"/>
          <w:szCs w:val="32"/>
          <w:highlight w:val="none"/>
          <w:shd w:val="clear" w:color="auto" w:fill="FFFFFF"/>
          <w:lang w:val="zh-CN"/>
        </w:rPr>
        <w:t>资产管理。</w:t>
      </w:r>
      <w:r>
        <w:rPr>
          <w:rFonts w:hint="eastAsia" w:ascii="仿宋_GB2312" w:hAnsi="仿宋_GB2312" w:eastAsia="仿宋_GB2312" w:cs="仿宋_GB2312"/>
          <w:b/>
          <w:bCs/>
          <w:color w:val="auto"/>
          <w:kern w:val="0"/>
          <w:sz w:val="32"/>
          <w:szCs w:val="32"/>
          <w:highlight w:val="none"/>
          <w:shd w:val="clear" w:color="auto" w:fill="FFFFFF"/>
          <w:lang w:val="zh-CN" w:eastAsia="zh-CN"/>
        </w:rPr>
        <w:t>（</w:t>
      </w:r>
      <w:r>
        <w:rPr>
          <w:rFonts w:hint="eastAsia" w:ascii="仿宋_GB2312" w:hAnsi="仿宋_GB2312" w:eastAsia="仿宋_GB2312" w:cs="仿宋_GB2312"/>
          <w:b/>
          <w:bCs/>
          <w:color w:val="auto"/>
          <w:kern w:val="0"/>
          <w:sz w:val="32"/>
          <w:szCs w:val="32"/>
          <w:highlight w:val="none"/>
          <w:shd w:val="clear" w:color="auto" w:fill="FFFFFF"/>
          <w:lang w:val="en-US" w:eastAsia="zh-CN"/>
        </w:rPr>
        <w:t>得分：7分</w:t>
      </w:r>
      <w:r>
        <w:rPr>
          <w:rFonts w:hint="eastAsia" w:ascii="仿宋_GB2312" w:hAnsi="仿宋_GB2312" w:eastAsia="仿宋_GB2312" w:cs="仿宋_GB2312"/>
          <w:b/>
          <w:bCs/>
          <w:color w:val="auto"/>
          <w:kern w:val="0"/>
          <w:sz w:val="32"/>
          <w:szCs w:val="32"/>
          <w:highlight w:val="none"/>
          <w:shd w:val="clear" w:color="auto" w:fill="FFFFFF"/>
          <w:lang w:val="zh-CN" w:eastAsia="zh-CN"/>
        </w:rPr>
        <w:t>）</w:t>
      </w:r>
      <w:bookmarkEnd w:id="13"/>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（1）人均资产变化率：我单位2023年新增固定资产</w:t>
      </w:r>
      <w:r>
        <w:rPr>
          <w:rFonts w:hint="eastAsia" w:ascii="仿宋_GB2312" w:hAnsi="仿宋_GB2312" w:cs="仿宋_GB2312"/>
          <w:color w:val="000000"/>
          <w:kern w:val="0"/>
          <w:sz w:val="32"/>
          <w:szCs w:val="32"/>
          <w:highlight w:val="none"/>
          <w:shd w:val="clear" w:color="auto" w:fill="FFFFFF"/>
          <w:lang w:val="en-US" w:eastAsia="zh-CN"/>
        </w:rPr>
        <w:t>49506万元，人均资产变化率5.1%</w:t>
      </w:r>
      <w:r>
        <w:rPr>
          <w:rFonts w:hint="eastAsia" w:ascii="仿宋_GB2312" w:hAnsi="仿宋_GB2312" w:eastAsia="仿宋_GB2312" w:cs="仿宋_GB2312"/>
          <w:color w:val="000000"/>
          <w:kern w:val="0"/>
          <w:sz w:val="32"/>
          <w:szCs w:val="32"/>
          <w:highlight w:val="none"/>
          <w:shd w:val="clear" w:color="auto" w:fill="FFFFFF"/>
          <w:lang w:val="en-US" w:eastAsia="zh-CN"/>
        </w:rPr>
        <w:t>。</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得分：3分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（2）资产利用率：随着时代进步，办公类资产更新换代较快，我单位确有少数资产的利用率不高。</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得分：1分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3）资产盘活率：我单位无闲置资产，2023年黑水县红十字会进一步加强资产的管理，制定了《红十字会机关资产管理使用制度》等制度，明确了具体责任人，完善了固定资产档案，严格报批、销审等手续，做好资产登记工作，单位无任何资产流失现象。</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得分：3分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eastAsia" w:ascii="仿宋_GB2312" w:hAnsi="仿宋_GB2312" w:eastAsia="仿宋_GB2312" w:cs="仿宋_GB2312"/>
          <w:color w:val="auto"/>
          <w:kern w:val="0"/>
          <w:sz w:val="32"/>
          <w:szCs w:val="32"/>
          <w:highlight w:val="none"/>
          <w:shd w:val="clear" w:color="auto" w:fill="FFFFFF"/>
          <w:lang w:val="zh-CN" w:eastAsia="zh-CN"/>
        </w:rPr>
      </w:pPr>
      <w:bookmarkStart w:id="14" w:name="_Toc24819"/>
      <w:r>
        <w:rPr>
          <w:rFonts w:hint="eastAsia" w:ascii="仿宋_GB2312" w:hAnsi="仿宋_GB2312" w:eastAsia="仿宋_GB2312" w:cs="仿宋_GB2312"/>
          <w:b/>
          <w:bCs/>
          <w:color w:val="auto"/>
          <w:kern w:val="0"/>
          <w:sz w:val="32"/>
          <w:szCs w:val="32"/>
          <w:highlight w:val="none"/>
          <w:shd w:val="clear" w:color="auto" w:fill="FFFFFF"/>
          <w:lang w:val="en-US" w:eastAsia="zh-CN"/>
        </w:rPr>
        <w:t>5.</w:t>
      </w:r>
      <w:r>
        <w:rPr>
          <w:rFonts w:hint="eastAsia" w:ascii="仿宋_GB2312" w:hAnsi="仿宋_GB2312" w:eastAsia="仿宋_GB2312" w:cs="仿宋_GB2312"/>
          <w:b/>
          <w:bCs/>
          <w:color w:val="auto"/>
          <w:kern w:val="0"/>
          <w:sz w:val="32"/>
          <w:szCs w:val="32"/>
          <w:highlight w:val="none"/>
          <w:shd w:val="clear" w:color="auto" w:fill="FFFFFF"/>
          <w:lang w:val="zh-CN" w:eastAsia="zh-CN"/>
        </w:rPr>
        <w:t>采购管理。（</w:t>
      </w:r>
      <w:r>
        <w:rPr>
          <w:rFonts w:hint="eastAsia" w:ascii="仿宋_GB2312" w:hAnsi="仿宋_GB2312" w:eastAsia="仿宋_GB2312" w:cs="仿宋_GB2312"/>
          <w:b/>
          <w:bCs/>
          <w:color w:val="auto"/>
          <w:kern w:val="0"/>
          <w:sz w:val="32"/>
          <w:szCs w:val="32"/>
          <w:highlight w:val="none"/>
          <w:shd w:val="clear" w:color="auto" w:fill="FFFFFF"/>
          <w:lang w:val="en-US" w:eastAsia="zh-CN"/>
        </w:rPr>
        <w:t>得分：6分</w:t>
      </w:r>
      <w:r>
        <w:rPr>
          <w:rFonts w:hint="eastAsia" w:ascii="仿宋_GB2312" w:hAnsi="仿宋_GB2312" w:eastAsia="仿宋_GB2312" w:cs="仿宋_GB2312"/>
          <w:b/>
          <w:bCs/>
          <w:color w:val="auto"/>
          <w:kern w:val="0"/>
          <w:sz w:val="32"/>
          <w:szCs w:val="32"/>
          <w:highlight w:val="none"/>
          <w:shd w:val="clear" w:color="auto" w:fill="FFFFFF"/>
          <w:lang w:val="zh-CN" w:eastAsia="zh-CN"/>
        </w:rPr>
        <w:t>）</w:t>
      </w:r>
      <w:bookmarkEnd w:id="14"/>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val="zh-CN" w:eastAsia="zh-CN"/>
        </w:rPr>
        <w:t>支持中小企业发展：</w:t>
      </w:r>
      <w:r>
        <w:rPr>
          <w:rFonts w:hint="eastAsia" w:ascii="仿宋_GB2312" w:hAnsi="仿宋_GB2312" w:eastAsia="仿宋_GB2312" w:cs="仿宋_GB2312"/>
          <w:color w:val="000000"/>
          <w:kern w:val="0"/>
          <w:sz w:val="32"/>
          <w:szCs w:val="32"/>
          <w:highlight w:val="none"/>
          <w:shd w:val="clear" w:color="auto" w:fill="FFFFFF"/>
          <w:lang w:val="en-US" w:eastAsia="zh-CN"/>
        </w:rPr>
        <w:t>我单位</w:t>
      </w:r>
      <w:r>
        <w:rPr>
          <w:rFonts w:hint="eastAsia" w:ascii="仿宋_GB2312" w:hAnsi="仿宋_GB2312" w:eastAsia="仿宋_GB2312" w:cs="仿宋_GB2312"/>
          <w:color w:val="000000"/>
          <w:kern w:val="0"/>
          <w:sz w:val="32"/>
          <w:szCs w:val="32"/>
          <w:highlight w:val="none"/>
          <w:shd w:val="clear" w:color="auto" w:fill="FFFFFF"/>
          <w:lang w:val="zh-CN" w:eastAsia="zh-CN"/>
        </w:rPr>
        <w:t>严格执行政府采购促进中小企业发展相关管理办法。（</w:t>
      </w:r>
      <w:r>
        <w:rPr>
          <w:rFonts w:hint="eastAsia" w:ascii="仿宋_GB2312" w:hAnsi="仿宋_GB2312" w:eastAsia="仿宋_GB2312" w:cs="仿宋_GB2312"/>
          <w:color w:val="000000"/>
          <w:kern w:val="0"/>
          <w:sz w:val="32"/>
          <w:szCs w:val="32"/>
          <w:highlight w:val="none"/>
          <w:shd w:val="clear" w:color="auto" w:fill="FFFFFF"/>
          <w:lang w:val="en-US" w:eastAsia="zh-CN"/>
        </w:rPr>
        <w:t>得分：3分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zh-CN" w:eastAsia="zh-CN"/>
        </w:rPr>
        <w:t>采购执行率：</w:t>
      </w:r>
      <w:r>
        <w:rPr>
          <w:rFonts w:hint="eastAsia" w:ascii="仿宋_GB2312" w:hAnsi="仿宋_GB2312" w:eastAsia="仿宋_GB2312" w:cs="仿宋_GB2312"/>
          <w:color w:val="000000"/>
          <w:kern w:val="0"/>
          <w:sz w:val="32"/>
          <w:szCs w:val="32"/>
          <w:highlight w:val="none"/>
          <w:shd w:val="clear" w:color="auto" w:fill="FFFFFF"/>
          <w:lang w:val="en-US" w:eastAsia="zh-CN"/>
        </w:rPr>
        <w:t>我单位2023年无政府采购项目</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得分：3分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widowControl/>
        <w:suppressLineNumbers w:val="0"/>
        <w:ind w:firstLine="642" w:firstLineChars="200"/>
        <w:jc w:val="left"/>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r>
        <w:rPr>
          <w:rFonts w:hint="eastAsia" w:ascii="Times New Roman" w:hAnsi="Times New Roman" w:eastAsia="楷体_GB2312" w:cs="Times New Roman"/>
          <w:b/>
          <w:bCs/>
          <w:color w:val="000000"/>
          <w:kern w:val="0"/>
          <w:sz w:val="32"/>
          <w:szCs w:val="32"/>
          <w:highlight w:val="none"/>
          <w:shd w:val="clear" w:color="auto" w:fill="FFFFFF"/>
          <w:lang w:val="zh-CN"/>
        </w:rPr>
        <w:t>（得分：</w:t>
      </w:r>
      <w:r>
        <w:rPr>
          <w:rFonts w:hint="eastAsia" w:ascii="Times New Roman" w:hAnsi="Times New Roman" w:eastAsia="楷体_GB2312" w:cs="Times New Roman"/>
          <w:b/>
          <w:bCs/>
          <w:color w:val="000000"/>
          <w:kern w:val="0"/>
          <w:sz w:val="32"/>
          <w:szCs w:val="32"/>
          <w:highlight w:val="none"/>
          <w:shd w:val="clear" w:color="auto" w:fill="FFFFFF"/>
          <w:lang w:val="en-US" w:eastAsia="zh-CN"/>
        </w:rPr>
        <w:t>35分</w:t>
      </w:r>
      <w:r>
        <w:rPr>
          <w:rFonts w:hint="eastAsia" w:ascii="Times New Roman" w:hAnsi="Times New Roman" w:eastAsia="楷体_GB2312" w:cs="Times New Roman"/>
          <w:b/>
          <w:bCs/>
          <w:color w:val="000000"/>
          <w:kern w:val="0"/>
          <w:sz w:val="32"/>
          <w:szCs w:val="32"/>
          <w:highlight w:val="none"/>
          <w:shd w:val="clear" w:color="auto" w:fill="FFFFFF"/>
          <w:lang w:val="zh-CN"/>
        </w:rPr>
        <w:t>）</w:t>
      </w: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zh-CN"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常年项目绩效分析。</w:t>
      </w:r>
      <w:r>
        <w:rPr>
          <w:rFonts w:hint="default" w:ascii="仿宋_GB2312" w:hAnsi="仿宋_GB2312" w:eastAsia="仿宋_GB2312" w:cs="仿宋_GB2312"/>
          <w:i w:val="0"/>
          <w:iCs w:val="0"/>
          <w:caps w:val="0"/>
          <w:color w:val="auto"/>
          <w:spacing w:val="0"/>
          <w:kern w:val="0"/>
          <w:sz w:val="32"/>
          <w:szCs w:val="32"/>
          <w:lang w:val="zh-CN" w:eastAsia="zh-CN" w:bidi="ar"/>
        </w:rPr>
        <w:t>该类项目总数</w:t>
      </w:r>
      <w:r>
        <w:rPr>
          <w:rFonts w:hint="eastAsia" w:ascii="仿宋_GB2312" w:hAnsi="仿宋_GB2312" w:eastAsia="仿宋_GB2312" w:cs="仿宋_GB2312"/>
          <w:i w:val="0"/>
          <w:iCs w:val="0"/>
          <w:caps w:val="0"/>
          <w:color w:val="auto"/>
          <w:spacing w:val="0"/>
          <w:kern w:val="0"/>
          <w:sz w:val="32"/>
          <w:szCs w:val="32"/>
          <w:lang w:val="en-US" w:eastAsia="zh-CN" w:bidi="ar"/>
        </w:rPr>
        <w:t>0</w:t>
      </w:r>
      <w:r>
        <w:rPr>
          <w:rFonts w:hint="default" w:ascii="仿宋_GB2312" w:hAnsi="仿宋_GB2312" w:eastAsia="仿宋_GB2312" w:cs="仿宋_GB2312"/>
          <w:i w:val="0"/>
          <w:iCs w:val="0"/>
          <w:caps w:val="0"/>
          <w:color w:val="auto"/>
          <w:spacing w:val="0"/>
          <w:kern w:val="0"/>
          <w:sz w:val="32"/>
          <w:szCs w:val="32"/>
          <w:lang w:val="zh-CN" w:eastAsia="zh-CN" w:bidi="ar"/>
        </w:rPr>
        <w:t>个，涉及预算总金额</w:t>
      </w:r>
      <w:r>
        <w:rPr>
          <w:rFonts w:hint="default" w:ascii="仿宋_GB2312" w:hAnsi="仿宋_GB2312" w:eastAsia="仿宋_GB2312" w:cs="仿宋_GB2312"/>
          <w:i w:val="0"/>
          <w:iCs w:val="0"/>
          <w:caps w:val="0"/>
          <w:color w:val="auto"/>
          <w:spacing w:val="0"/>
          <w:kern w:val="0"/>
          <w:sz w:val="32"/>
          <w:szCs w:val="32"/>
          <w:lang w:val="en-US" w:eastAsia="zh-CN" w:bidi="ar"/>
        </w:rPr>
        <w:t xml:space="preserve">   </w:t>
      </w:r>
      <w:r>
        <w:rPr>
          <w:rFonts w:hint="eastAsia" w:ascii="仿宋_GB2312" w:hAnsi="仿宋_GB2312" w:eastAsia="仿宋_GB2312" w:cs="仿宋_GB2312"/>
          <w:i w:val="0"/>
          <w:iCs w:val="0"/>
          <w:caps w:val="0"/>
          <w:color w:val="auto"/>
          <w:spacing w:val="0"/>
          <w:kern w:val="0"/>
          <w:sz w:val="32"/>
          <w:szCs w:val="32"/>
          <w:lang w:val="en-US" w:eastAsia="zh-CN" w:bidi="ar"/>
        </w:rPr>
        <w:t>0</w:t>
      </w:r>
      <w:r>
        <w:rPr>
          <w:rFonts w:hint="default" w:ascii="仿宋_GB2312" w:hAnsi="仿宋_GB2312" w:eastAsia="仿宋_GB2312" w:cs="仿宋_GB2312"/>
          <w:i w:val="0"/>
          <w:iCs w:val="0"/>
          <w:caps w:val="0"/>
          <w:color w:val="auto"/>
          <w:spacing w:val="0"/>
          <w:kern w:val="0"/>
          <w:sz w:val="32"/>
          <w:szCs w:val="32"/>
          <w:lang w:val="zh-CN" w:eastAsia="zh-CN" w:bidi="ar"/>
        </w:rPr>
        <w:t>万元，1</w:t>
      </w:r>
      <w:r>
        <w:rPr>
          <w:rFonts w:hint="eastAsia" w:ascii="仿宋_GB2312" w:hAnsi="仿宋_GB2312" w:eastAsia="仿宋_GB2312" w:cs="仿宋_GB2312"/>
          <w:i w:val="0"/>
          <w:iCs w:val="0"/>
          <w:caps w:val="0"/>
          <w:color w:val="auto"/>
          <w:spacing w:val="0"/>
          <w:kern w:val="0"/>
          <w:sz w:val="32"/>
          <w:szCs w:val="32"/>
          <w:lang w:val="zh-CN" w:eastAsia="zh-CN" w:bidi="ar"/>
        </w:rPr>
        <w:t>—</w:t>
      </w:r>
      <w:r>
        <w:rPr>
          <w:rFonts w:hint="default" w:ascii="仿宋_GB2312" w:hAnsi="仿宋_GB2312" w:eastAsia="仿宋_GB2312" w:cs="仿宋_GB2312"/>
          <w:i w:val="0"/>
          <w:iCs w:val="0"/>
          <w:caps w:val="0"/>
          <w:color w:val="auto"/>
          <w:spacing w:val="0"/>
          <w:kern w:val="0"/>
          <w:sz w:val="32"/>
          <w:szCs w:val="32"/>
          <w:lang w:val="zh-CN" w:eastAsia="zh-CN" w:bidi="ar"/>
        </w:rPr>
        <w:t>1</w:t>
      </w:r>
      <w:r>
        <w:rPr>
          <w:rFonts w:hint="default" w:ascii="仿宋_GB2312" w:hAnsi="仿宋_GB2312" w:eastAsia="仿宋_GB2312" w:cs="仿宋_GB2312"/>
          <w:i w:val="0"/>
          <w:iCs w:val="0"/>
          <w:caps w:val="0"/>
          <w:color w:val="auto"/>
          <w:spacing w:val="0"/>
          <w:kern w:val="0"/>
          <w:sz w:val="32"/>
          <w:szCs w:val="32"/>
          <w:lang w:val="en-US" w:eastAsia="zh-CN" w:bidi="ar"/>
        </w:rPr>
        <w:t>2</w:t>
      </w:r>
      <w:r>
        <w:rPr>
          <w:rFonts w:hint="default" w:ascii="仿宋_GB2312" w:hAnsi="仿宋_GB2312" w:eastAsia="仿宋_GB2312" w:cs="仿宋_GB2312"/>
          <w:i w:val="0"/>
          <w:iCs w:val="0"/>
          <w:caps w:val="0"/>
          <w:color w:val="auto"/>
          <w:spacing w:val="0"/>
          <w:kern w:val="0"/>
          <w:sz w:val="32"/>
          <w:szCs w:val="32"/>
          <w:lang w:val="zh-CN" w:eastAsia="zh-CN" w:bidi="ar"/>
        </w:rPr>
        <w:t>月预算执行总体进度为</w:t>
      </w:r>
      <w:r>
        <w:rPr>
          <w:rFonts w:hint="eastAsia" w:ascii="仿宋_GB2312" w:hAnsi="仿宋_GB2312" w:eastAsia="仿宋_GB2312" w:cs="仿宋_GB2312"/>
          <w:i w:val="0"/>
          <w:iCs w:val="0"/>
          <w:caps w:val="0"/>
          <w:color w:val="auto"/>
          <w:spacing w:val="0"/>
          <w:kern w:val="0"/>
          <w:sz w:val="32"/>
          <w:szCs w:val="32"/>
          <w:lang w:val="en-US" w:eastAsia="zh-CN" w:bidi="ar"/>
        </w:rPr>
        <w:t>100</w:t>
      </w:r>
      <w:r>
        <w:rPr>
          <w:rFonts w:hint="default" w:ascii="仿宋_GB2312" w:hAnsi="仿宋_GB2312" w:eastAsia="仿宋_GB2312" w:cs="仿宋_GB2312"/>
          <w:i w:val="0"/>
          <w:iCs w:val="0"/>
          <w:caps w:val="0"/>
          <w:color w:val="auto"/>
          <w:spacing w:val="0"/>
          <w:kern w:val="0"/>
          <w:sz w:val="32"/>
          <w:szCs w:val="32"/>
          <w:lang w:val="zh-CN" w:eastAsia="zh-CN" w:bidi="ar"/>
        </w:rPr>
        <w:t>%，其中：预算结余率大于</w:t>
      </w:r>
      <w:r>
        <w:rPr>
          <w:rFonts w:hint="default" w:ascii="仿宋_GB2312" w:hAnsi="仿宋_GB2312" w:eastAsia="仿宋_GB2312" w:cs="仿宋_GB2312"/>
          <w:i w:val="0"/>
          <w:iCs w:val="0"/>
          <w:caps w:val="0"/>
          <w:color w:val="auto"/>
          <w:spacing w:val="0"/>
          <w:kern w:val="0"/>
          <w:sz w:val="32"/>
          <w:szCs w:val="32"/>
          <w:lang w:val="en-US" w:eastAsia="zh-CN" w:bidi="ar"/>
        </w:rPr>
        <w:t>10%</w:t>
      </w:r>
      <w:r>
        <w:rPr>
          <w:rFonts w:hint="default" w:ascii="仿宋_GB2312" w:hAnsi="仿宋_GB2312" w:eastAsia="仿宋_GB2312" w:cs="仿宋_GB2312"/>
          <w:i w:val="0"/>
          <w:iCs w:val="0"/>
          <w:caps w:val="0"/>
          <w:color w:val="auto"/>
          <w:spacing w:val="0"/>
          <w:kern w:val="0"/>
          <w:sz w:val="32"/>
          <w:szCs w:val="32"/>
          <w:lang w:val="zh-CN" w:eastAsia="zh-CN" w:bidi="ar"/>
        </w:rPr>
        <w:t>的项目共计</w:t>
      </w:r>
      <w:r>
        <w:rPr>
          <w:rFonts w:hint="eastAsia" w:ascii="仿宋_GB2312" w:hAnsi="仿宋_GB2312" w:eastAsia="仿宋_GB2312" w:cs="仿宋_GB2312"/>
          <w:i w:val="0"/>
          <w:iCs w:val="0"/>
          <w:caps w:val="0"/>
          <w:color w:val="auto"/>
          <w:spacing w:val="0"/>
          <w:kern w:val="0"/>
          <w:sz w:val="32"/>
          <w:szCs w:val="32"/>
          <w:lang w:val="en-US" w:eastAsia="zh-CN" w:bidi="ar"/>
        </w:rPr>
        <w:t>0</w:t>
      </w:r>
      <w:r>
        <w:rPr>
          <w:rFonts w:hint="default" w:ascii="仿宋_GB2312" w:hAnsi="仿宋_GB2312" w:eastAsia="仿宋_GB2312" w:cs="仿宋_GB2312"/>
          <w:i w:val="0"/>
          <w:iCs w:val="0"/>
          <w:caps w:val="0"/>
          <w:color w:val="auto"/>
          <w:spacing w:val="0"/>
          <w:kern w:val="0"/>
          <w:sz w:val="32"/>
          <w:szCs w:val="32"/>
          <w:lang w:val="zh-CN" w:eastAsia="zh-CN" w:bidi="ar"/>
        </w:rPr>
        <w:t>个。</w:t>
      </w: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zh-CN"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阶段</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default" w:ascii="仿宋_GB2312" w:hAnsi="仿宋_GB2312" w:eastAsia="仿宋_GB2312" w:cs="仿宋_GB2312"/>
          <w:i w:val="0"/>
          <w:iCs w:val="0"/>
          <w:caps w:val="0"/>
          <w:color w:val="auto"/>
          <w:spacing w:val="0"/>
          <w:kern w:val="0"/>
          <w:sz w:val="32"/>
          <w:szCs w:val="32"/>
          <w:lang w:val="en-US" w:eastAsia="zh-CN" w:bidi="ar"/>
        </w:rPr>
        <w:t>一次性</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default" w:ascii="仿宋_GB2312" w:hAnsi="仿宋_GB2312" w:eastAsia="仿宋_GB2312" w:cs="仿宋_GB2312"/>
          <w:i w:val="0"/>
          <w:iCs w:val="0"/>
          <w:caps w:val="0"/>
          <w:color w:val="auto"/>
          <w:spacing w:val="0"/>
          <w:kern w:val="0"/>
          <w:sz w:val="32"/>
          <w:szCs w:val="32"/>
          <w:lang w:val="en-US" w:eastAsia="zh-CN" w:bidi="ar"/>
        </w:rPr>
        <w:t>项目绩效分析。</w:t>
      </w:r>
      <w:r>
        <w:rPr>
          <w:rFonts w:hint="default" w:ascii="仿宋_GB2312" w:hAnsi="仿宋_GB2312" w:eastAsia="仿宋_GB2312" w:cs="仿宋_GB2312"/>
          <w:i w:val="0"/>
          <w:iCs w:val="0"/>
          <w:caps w:val="0"/>
          <w:color w:val="auto"/>
          <w:spacing w:val="0"/>
          <w:kern w:val="0"/>
          <w:sz w:val="32"/>
          <w:szCs w:val="32"/>
          <w:lang w:val="zh-CN" w:eastAsia="zh-CN" w:bidi="ar"/>
        </w:rPr>
        <w:t>该类项目总数</w:t>
      </w:r>
      <w:r>
        <w:rPr>
          <w:rFonts w:hint="eastAsia" w:ascii="仿宋_GB2312" w:hAnsi="仿宋_GB2312" w:eastAsia="仿宋_GB2312" w:cs="仿宋_GB2312"/>
          <w:i w:val="0"/>
          <w:iCs w:val="0"/>
          <w:caps w:val="0"/>
          <w:color w:val="auto"/>
          <w:spacing w:val="0"/>
          <w:kern w:val="0"/>
          <w:sz w:val="32"/>
          <w:szCs w:val="32"/>
          <w:lang w:val="en-US" w:eastAsia="zh-CN" w:bidi="ar"/>
        </w:rPr>
        <w:t>11</w:t>
      </w:r>
      <w:r>
        <w:rPr>
          <w:rFonts w:hint="default" w:ascii="仿宋_GB2312" w:hAnsi="仿宋_GB2312" w:eastAsia="仿宋_GB2312" w:cs="仿宋_GB2312"/>
          <w:i w:val="0"/>
          <w:iCs w:val="0"/>
          <w:caps w:val="0"/>
          <w:color w:val="auto"/>
          <w:spacing w:val="0"/>
          <w:kern w:val="0"/>
          <w:sz w:val="32"/>
          <w:szCs w:val="32"/>
          <w:lang w:val="zh-CN" w:eastAsia="zh-CN" w:bidi="ar"/>
        </w:rPr>
        <w:t>个，涉及预算总金额</w:t>
      </w:r>
      <w:r>
        <w:rPr>
          <w:rFonts w:hint="eastAsia" w:ascii="仿宋_GB2312" w:hAnsi="仿宋_GB2312" w:eastAsia="仿宋_GB2312" w:cs="仿宋_GB2312"/>
          <w:i w:val="0"/>
          <w:iCs w:val="0"/>
          <w:caps w:val="0"/>
          <w:color w:val="auto"/>
          <w:spacing w:val="0"/>
          <w:kern w:val="0"/>
          <w:sz w:val="32"/>
          <w:szCs w:val="32"/>
          <w:lang w:val="en-US" w:eastAsia="zh-CN" w:bidi="ar"/>
        </w:rPr>
        <w:t>5026.67</w:t>
      </w:r>
      <w:r>
        <w:rPr>
          <w:rFonts w:hint="default" w:ascii="仿宋_GB2312" w:hAnsi="仿宋_GB2312" w:eastAsia="仿宋_GB2312" w:cs="仿宋_GB2312"/>
          <w:i w:val="0"/>
          <w:iCs w:val="0"/>
          <w:caps w:val="0"/>
          <w:color w:val="auto"/>
          <w:spacing w:val="0"/>
          <w:kern w:val="0"/>
          <w:sz w:val="32"/>
          <w:szCs w:val="32"/>
          <w:lang w:val="en-US" w:eastAsia="zh-CN" w:bidi="ar"/>
        </w:rPr>
        <w:t xml:space="preserve">   </w:t>
      </w:r>
      <w:r>
        <w:rPr>
          <w:rFonts w:hint="default" w:ascii="仿宋_GB2312" w:hAnsi="仿宋_GB2312" w:eastAsia="仿宋_GB2312" w:cs="仿宋_GB2312"/>
          <w:i w:val="0"/>
          <w:iCs w:val="0"/>
          <w:caps w:val="0"/>
          <w:color w:val="auto"/>
          <w:spacing w:val="0"/>
          <w:kern w:val="0"/>
          <w:sz w:val="32"/>
          <w:szCs w:val="32"/>
          <w:lang w:val="zh-CN" w:eastAsia="zh-CN" w:bidi="ar"/>
        </w:rPr>
        <w:t>万元，1</w:t>
      </w:r>
      <w:r>
        <w:rPr>
          <w:rFonts w:hint="eastAsia" w:ascii="仿宋_GB2312" w:hAnsi="仿宋_GB2312" w:eastAsia="仿宋_GB2312" w:cs="仿宋_GB2312"/>
          <w:i w:val="0"/>
          <w:iCs w:val="0"/>
          <w:caps w:val="0"/>
          <w:color w:val="auto"/>
          <w:spacing w:val="0"/>
          <w:kern w:val="0"/>
          <w:sz w:val="32"/>
          <w:szCs w:val="32"/>
          <w:lang w:val="zh-CN" w:eastAsia="zh-CN" w:bidi="ar"/>
        </w:rPr>
        <w:t>—</w:t>
      </w:r>
      <w:r>
        <w:rPr>
          <w:rFonts w:hint="default" w:ascii="仿宋_GB2312" w:hAnsi="仿宋_GB2312" w:eastAsia="仿宋_GB2312" w:cs="仿宋_GB2312"/>
          <w:i w:val="0"/>
          <w:iCs w:val="0"/>
          <w:caps w:val="0"/>
          <w:color w:val="auto"/>
          <w:spacing w:val="0"/>
          <w:kern w:val="0"/>
          <w:sz w:val="32"/>
          <w:szCs w:val="32"/>
          <w:lang w:val="zh-CN" w:eastAsia="zh-CN" w:bidi="ar"/>
        </w:rPr>
        <w:t>1</w:t>
      </w:r>
      <w:r>
        <w:rPr>
          <w:rFonts w:hint="default" w:ascii="仿宋_GB2312" w:hAnsi="仿宋_GB2312" w:eastAsia="仿宋_GB2312" w:cs="仿宋_GB2312"/>
          <w:i w:val="0"/>
          <w:iCs w:val="0"/>
          <w:caps w:val="0"/>
          <w:color w:val="auto"/>
          <w:spacing w:val="0"/>
          <w:kern w:val="0"/>
          <w:sz w:val="32"/>
          <w:szCs w:val="32"/>
          <w:lang w:val="en-US" w:eastAsia="zh-CN" w:bidi="ar"/>
        </w:rPr>
        <w:t>2</w:t>
      </w:r>
      <w:r>
        <w:rPr>
          <w:rFonts w:hint="default" w:ascii="仿宋_GB2312" w:hAnsi="仿宋_GB2312" w:eastAsia="仿宋_GB2312" w:cs="仿宋_GB2312"/>
          <w:i w:val="0"/>
          <w:iCs w:val="0"/>
          <w:caps w:val="0"/>
          <w:color w:val="auto"/>
          <w:spacing w:val="0"/>
          <w:kern w:val="0"/>
          <w:sz w:val="32"/>
          <w:szCs w:val="32"/>
          <w:lang w:val="zh-CN" w:eastAsia="zh-CN" w:bidi="ar"/>
        </w:rPr>
        <w:t>月预算执行总体进度为</w:t>
      </w:r>
      <w:r>
        <w:rPr>
          <w:rFonts w:hint="eastAsia" w:ascii="仿宋_GB2312" w:hAnsi="仿宋_GB2312" w:eastAsia="仿宋_GB2312" w:cs="仿宋_GB2312"/>
          <w:i w:val="0"/>
          <w:iCs w:val="0"/>
          <w:caps w:val="0"/>
          <w:color w:val="auto"/>
          <w:spacing w:val="0"/>
          <w:kern w:val="0"/>
          <w:sz w:val="32"/>
          <w:szCs w:val="32"/>
          <w:lang w:val="en-US" w:eastAsia="zh-CN" w:bidi="ar"/>
        </w:rPr>
        <w:t>100</w:t>
      </w:r>
      <w:r>
        <w:rPr>
          <w:rFonts w:hint="default" w:ascii="仿宋_GB2312" w:hAnsi="仿宋_GB2312" w:eastAsia="仿宋_GB2312" w:cs="仿宋_GB2312"/>
          <w:i w:val="0"/>
          <w:iCs w:val="0"/>
          <w:caps w:val="0"/>
          <w:color w:val="auto"/>
          <w:spacing w:val="0"/>
          <w:kern w:val="0"/>
          <w:sz w:val="32"/>
          <w:szCs w:val="32"/>
          <w:lang w:val="zh-CN" w:eastAsia="zh-CN" w:bidi="ar"/>
        </w:rPr>
        <w:t>%，其中：预算结余率大于</w:t>
      </w:r>
      <w:r>
        <w:rPr>
          <w:rFonts w:hint="default" w:ascii="仿宋_GB2312" w:hAnsi="仿宋_GB2312" w:eastAsia="仿宋_GB2312" w:cs="仿宋_GB2312"/>
          <w:i w:val="0"/>
          <w:iCs w:val="0"/>
          <w:caps w:val="0"/>
          <w:color w:val="auto"/>
          <w:spacing w:val="0"/>
          <w:kern w:val="0"/>
          <w:sz w:val="32"/>
          <w:szCs w:val="32"/>
          <w:lang w:val="en-US" w:eastAsia="zh-CN" w:bidi="ar"/>
        </w:rPr>
        <w:t>10%</w:t>
      </w:r>
      <w:r>
        <w:rPr>
          <w:rFonts w:hint="default" w:ascii="仿宋_GB2312" w:hAnsi="仿宋_GB2312" w:eastAsia="仿宋_GB2312" w:cs="仿宋_GB2312"/>
          <w:i w:val="0"/>
          <w:iCs w:val="0"/>
          <w:caps w:val="0"/>
          <w:color w:val="auto"/>
          <w:spacing w:val="0"/>
          <w:kern w:val="0"/>
          <w:sz w:val="32"/>
          <w:szCs w:val="32"/>
          <w:lang w:val="zh-CN" w:eastAsia="zh-CN" w:bidi="ar"/>
        </w:rPr>
        <w:t>的项目共计</w:t>
      </w:r>
      <w:r>
        <w:rPr>
          <w:rFonts w:hint="eastAsia" w:ascii="仿宋_GB2312" w:hAnsi="仿宋_GB2312" w:eastAsia="仿宋_GB2312" w:cs="仿宋_GB2312"/>
          <w:i w:val="0"/>
          <w:iCs w:val="0"/>
          <w:caps w:val="0"/>
          <w:color w:val="auto"/>
          <w:spacing w:val="0"/>
          <w:kern w:val="0"/>
          <w:sz w:val="32"/>
          <w:szCs w:val="32"/>
          <w:lang w:val="en-US" w:eastAsia="zh-CN" w:bidi="ar"/>
        </w:rPr>
        <w:t>0</w:t>
      </w:r>
      <w:r>
        <w:rPr>
          <w:rFonts w:hint="default" w:ascii="仿宋_GB2312" w:hAnsi="仿宋_GB2312" w:eastAsia="仿宋_GB2312" w:cs="仿宋_GB2312"/>
          <w:i w:val="0"/>
          <w:iCs w:val="0"/>
          <w:caps w:val="0"/>
          <w:color w:val="auto"/>
          <w:spacing w:val="0"/>
          <w:kern w:val="0"/>
          <w:sz w:val="32"/>
          <w:szCs w:val="32"/>
          <w:lang w:val="zh-CN" w:eastAsia="zh-CN" w:bidi="ar"/>
        </w:rPr>
        <w:t>个。</w:t>
      </w:r>
    </w:p>
    <w:p>
      <w:pPr>
        <w:pStyle w:val="2"/>
        <w:outlineLvl w:val="9"/>
        <w:rPr>
          <w:rFonts w:hint="default"/>
          <w:lang w:val="zh-CN"/>
        </w:rPr>
      </w:pPr>
    </w:p>
    <w:p>
      <w:pPr>
        <w:keepNext w:val="0"/>
        <w:keepLines w:val="0"/>
        <w:widowControl/>
        <w:suppressLineNumbers w:val="0"/>
        <w:ind w:firstLine="642"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1.</w:t>
      </w:r>
      <w:r>
        <w:rPr>
          <w:rFonts w:hint="eastAsia" w:ascii="仿宋_GB2312" w:hAnsi="仿宋_GB2312" w:eastAsia="仿宋_GB2312" w:cs="仿宋_GB2312"/>
          <w:b/>
          <w:bCs/>
          <w:i w:val="0"/>
          <w:iCs w:val="0"/>
          <w:caps w:val="0"/>
          <w:color w:val="auto"/>
          <w:spacing w:val="0"/>
          <w:kern w:val="0"/>
          <w:sz w:val="32"/>
          <w:szCs w:val="32"/>
          <w:lang w:val="zh-CN" w:eastAsia="zh-CN" w:bidi="ar"/>
        </w:rPr>
        <w:t>项目</w:t>
      </w:r>
      <w:r>
        <w:rPr>
          <w:rFonts w:hint="eastAsia" w:ascii="仿宋_GB2312" w:hAnsi="仿宋_GB2312" w:eastAsia="仿宋_GB2312" w:cs="仿宋_GB2312"/>
          <w:b/>
          <w:bCs/>
          <w:i w:val="0"/>
          <w:iCs w:val="0"/>
          <w:caps w:val="0"/>
          <w:color w:val="auto"/>
          <w:spacing w:val="0"/>
          <w:kern w:val="0"/>
          <w:sz w:val="32"/>
          <w:szCs w:val="32"/>
          <w:lang w:val="en-US" w:eastAsia="zh-CN" w:bidi="ar"/>
        </w:rPr>
        <w:t>决策得分：</w:t>
      </w:r>
      <w:r>
        <w:rPr>
          <w:rFonts w:hint="eastAsia" w:ascii="仿宋_GB2312" w:hAnsi="仿宋_GB2312" w:eastAsia="仿宋_GB2312" w:cs="仿宋_GB2312"/>
          <w:i w:val="0"/>
          <w:iCs w:val="0"/>
          <w:caps w:val="0"/>
          <w:color w:val="auto"/>
          <w:spacing w:val="0"/>
          <w:kern w:val="0"/>
          <w:sz w:val="32"/>
          <w:szCs w:val="32"/>
          <w:lang w:val="en-US" w:eastAsia="zh-CN" w:bidi="ar"/>
        </w:rPr>
        <w:t>本部门按规定履行评估论证、申报程序、科学合理、规范完整、量化细化、预算匹配、在规定时间完成项目入库。（得分：12分）</w:t>
      </w:r>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2.项目执行得分</w:t>
      </w:r>
      <w:r>
        <w:rPr>
          <w:rFonts w:hint="eastAsia" w:ascii="仿宋_GB2312" w:hAnsi="仿宋_GB2312" w:eastAsia="仿宋_GB2312" w:cs="仿宋_GB2312"/>
          <w:i w:val="0"/>
          <w:iCs w:val="0"/>
          <w:caps w:val="0"/>
          <w:color w:val="auto"/>
          <w:spacing w:val="0"/>
          <w:kern w:val="0"/>
          <w:sz w:val="32"/>
          <w:szCs w:val="32"/>
          <w:lang w:val="en-US" w:eastAsia="zh-CN" w:bidi="ar"/>
        </w:rPr>
        <w:t>为：与本部门绩效目标设置方向相符、及时采取对应调整措施。（得分：12分）</w:t>
      </w:r>
    </w:p>
    <w:p>
      <w:pPr>
        <w:keepNext w:val="0"/>
        <w:keepLines w:val="0"/>
        <w:widowControl/>
        <w:suppressLineNumbers w:val="0"/>
        <w:ind w:firstLine="642" w:firstLineChars="200"/>
        <w:jc w:val="left"/>
        <w:outlineLvl w:val="2"/>
        <w:rPr>
          <w:rFonts w:hint="eastAsia" w:ascii="仿宋_GB2312" w:hAnsi="仿宋_GB2312" w:eastAsia="仿宋_GB2312" w:cs="仿宋_GB2312"/>
          <w:i w:val="0"/>
          <w:iCs w:val="0"/>
          <w:caps w:val="0"/>
          <w:color w:val="auto"/>
          <w:spacing w:val="0"/>
          <w:kern w:val="0"/>
          <w:sz w:val="32"/>
          <w:szCs w:val="32"/>
          <w:lang w:val="en-US" w:eastAsia="zh-CN" w:bidi="ar"/>
        </w:rPr>
      </w:pPr>
      <w:bookmarkStart w:id="15" w:name="_Toc9532"/>
      <w:r>
        <w:rPr>
          <w:rFonts w:hint="eastAsia" w:ascii="仿宋_GB2312" w:hAnsi="仿宋_GB2312" w:eastAsia="仿宋_GB2312" w:cs="仿宋_GB2312"/>
          <w:b/>
          <w:bCs/>
          <w:i w:val="0"/>
          <w:iCs w:val="0"/>
          <w:caps w:val="0"/>
          <w:color w:val="auto"/>
          <w:spacing w:val="0"/>
          <w:kern w:val="0"/>
          <w:sz w:val="32"/>
          <w:szCs w:val="32"/>
          <w:lang w:val="en-US" w:eastAsia="zh-CN" w:bidi="ar"/>
        </w:rPr>
        <w:t>3.</w:t>
      </w:r>
      <w:r>
        <w:rPr>
          <w:rFonts w:hint="eastAsia" w:ascii="仿宋_GB2312" w:hAnsi="仿宋_GB2312" w:eastAsia="仿宋_GB2312" w:cs="仿宋_GB2312"/>
          <w:b/>
          <w:bCs/>
          <w:i w:val="0"/>
          <w:iCs w:val="0"/>
          <w:caps w:val="0"/>
          <w:color w:val="auto"/>
          <w:spacing w:val="0"/>
          <w:kern w:val="0"/>
          <w:sz w:val="32"/>
          <w:szCs w:val="32"/>
          <w:lang w:val="zh-CN" w:eastAsia="zh-CN" w:bidi="ar"/>
        </w:rPr>
        <w:t>目标实现。</w:t>
      </w:r>
      <w:r>
        <w:rPr>
          <w:rFonts w:hint="eastAsia" w:ascii="仿宋_GB2312" w:hAnsi="仿宋_GB2312" w:eastAsia="仿宋_GB2312" w:cs="仿宋_GB2312"/>
          <w:i w:val="0"/>
          <w:iCs w:val="0"/>
          <w:caps w:val="0"/>
          <w:color w:val="auto"/>
          <w:spacing w:val="0"/>
          <w:kern w:val="0"/>
          <w:sz w:val="32"/>
          <w:szCs w:val="32"/>
          <w:lang w:val="zh-CN" w:eastAsia="zh-CN" w:bidi="ar"/>
        </w:rPr>
        <w:t>以上项目目标均已按质按量地</w:t>
      </w:r>
      <w:bookmarkStart w:id="17" w:name="_GoBack"/>
      <w:bookmarkEnd w:id="17"/>
      <w:r>
        <w:rPr>
          <w:rFonts w:hint="eastAsia" w:ascii="仿宋_GB2312" w:hAnsi="仿宋_GB2312" w:eastAsia="仿宋_GB2312" w:cs="仿宋_GB2312"/>
          <w:i w:val="0"/>
          <w:iCs w:val="0"/>
          <w:caps w:val="0"/>
          <w:color w:val="auto"/>
          <w:spacing w:val="0"/>
          <w:kern w:val="0"/>
          <w:sz w:val="32"/>
          <w:szCs w:val="32"/>
          <w:lang w:val="zh-CN" w:eastAsia="zh-CN" w:bidi="ar"/>
        </w:rPr>
        <w:t>完成。（得分：</w:t>
      </w:r>
      <w:r>
        <w:rPr>
          <w:rFonts w:hint="eastAsia" w:ascii="仿宋_GB2312" w:hAnsi="仿宋_GB2312" w:eastAsia="仿宋_GB2312" w:cs="仿宋_GB2312"/>
          <w:i w:val="0"/>
          <w:iCs w:val="0"/>
          <w:caps w:val="0"/>
          <w:color w:val="auto"/>
          <w:spacing w:val="0"/>
          <w:kern w:val="0"/>
          <w:sz w:val="32"/>
          <w:szCs w:val="32"/>
          <w:lang w:val="en-US" w:eastAsia="zh-CN" w:bidi="ar"/>
        </w:rPr>
        <w:t>12分</w:t>
      </w:r>
      <w:r>
        <w:rPr>
          <w:rFonts w:hint="eastAsia" w:ascii="仿宋_GB2312" w:hAnsi="仿宋_GB2312" w:eastAsia="仿宋_GB2312" w:cs="仿宋_GB2312"/>
          <w:i w:val="0"/>
          <w:iCs w:val="0"/>
          <w:caps w:val="0"/>
          <w:color w:val="auto"/>
          <w:spacing w:val="0"/>
          <w:kern w:val="0"/>
          <w:sz w:val="32"/>
          <w:szCs w:val="32"/>
          <w:lang w:val="zh-CN" w:eastAsia="zh-CN" w:bidi="ar"/>
        </w:rPr>
        <w:t>）</w:t>
      </w:r>
      <w:bookmarkEnd w:id="15"/>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Times New Roman" w:hAnsi="Times New Roman" w:eastAsia="楷体_GB2312" w:cs="Times New Roman"/>
          <w:b/>
          <w:bCs/>
          <w:color w:val="000000"/>
          <w:kern w:val="0"/>
          <w:sz w:val="32"/>
          <w:szCs w:val="32"/>
          <w:highlight w:val="none"/>
          <w:shd w:val="clear" w:color="auto" w:fill="FFFFFF"/>
          <w:lang w:val="zh-CN" w:eastAsia="zh-CN"/>
        </w:rPr>
        <w:t>（三）重点领域绩效分析。</w:t>
      </w:r>
      <w:r>
        <w:rPr>
          <w:rFonts w:hint="eastAsia" w:ascii="仿宋_GB2312" w:hAnsi="仿宋_GB2312" w:eastAsia="仿宋_GB2312" w:cs="仿宋_GB2312"/>
          <w:i w:val="0"/>
          <w:iCs w:val="0"/>
          <w:caps w:val="0"/>
          <w:color w:val="auto"/>
          <w:spacing w:val="0"/>
          <w:kern w:val="0"/>
          <w:sz w:val="32"/>
          <w:szCs w:val="32"/>
          <w:lang w:val="zh-CN" w:eastAsia="zh-CN" w:bidi="ar"/>
        </w:rPr>
        <w:t>无。</w:t>
      </w:r>
    </w:p>
    <w:p>
      <w:pPr>
        <w:keepNext w:val="0"/>
        <w:keepLines w:val="0"/>
        <w:widowControl/>
        <w:suppressLineNumbers w:val="0"/>
        <w:ind w:firstLine="642" w:firstLineChars="200"/>
        <w:jc w:val="left"/>
        <w:rPr>
          <w:rFonts w:hint="default" w:ascii="仿宋_GB2312" w:hAnsi="仿宋_GB2312" w:eastAsia="仿宋_GB2312" w:cs="仿宋_GB2312"/>
          <w:i w:val="0"/>
          <w:iCs w:val="0"/>
          <w:caps w:val="0"/>
          <w:color w:val="auto"/>
          <w:spacing w:val="0"/>
          <w:kern w:val="0"/>
          <w:sz w:val="32"/>
          <w:szCs w:val="32"/>
          <w:lang w:val="zh-CN"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（四）绩效结果应用情况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仿宋_GB2312" w:hAnsi="仿宋_GB2312" w:eastAsia="仿宋_GB2312" w:cs="仿宋_GB2312"/>
          <w:i w:val="0"/>
          <w:iCs w:val="0"/>
          <w:caps w:val="0"/>
          <w:color w:val="auto"/>
          <w:spacing w:val="0"/>
          <w:kern w:val="0"/>
          <w:sz w:val="32"/>
          <w:szCs w:val="32"/>
          <w:lang w:val="zh-CN" w:eastAsia="zh-CN" w:bidi="ar"/>
        </w:rPr>
        <w:t>我</w:t>
      </w:r>
      <w:r>
        <w:rPr>
          <w:rFonts w:hint="eastAsia" w:ascii="仿宋_GB2312" w:hAnsi="仿宋_GB2312" w:eastAsia="仿宋_GB2312" w:cs="仿宋_GB2312"/>
          <w:i w:val="0"/>
          <w:iCs w:val="0"/>
          <w:caps w:val="0"/>
          <w:color w:val="auto"/>
          <w:spacing w:val="0"/>
          <w:kern w:val="0"/>
          <w:sz w:val="32"/>
          <w:szCs w:val="32"/>
          <w:lang w:val="en-US" w:eastAsia="zh-CN" w:bidi="ar"/>
        </w:rPr>
        <w:t>局</w:t>
      </w:r>
      <w:r>
        <w:rPr>
          <w:rFonts w:hint="eastAsia" w:ascii="仿宋_GB2312" w:hAnsi="仿宋_GB2312" w:eastAsia="仿宋_GB2312" w:cs="仿宋_GB2312"/>
          <w:i w:val="0"/>
          <w:iCs w:val="0"/>
          <w:caps w:val="0"/>
          <w:color w:val="auto"/>
          <w:spacing w:val="0"/>
          <w:kern w:val="0"/>
          <w:sz w:val="32"/>
          <w:szCs w:val="32"/>
          <w:lang w:val="zh-CN" w:eastAsia="zh-CN" w:bidi="ar"/>
        </w:rPr>
        <w:t>每年按规定对本单位项目支出及整体支出进行绩效评价；并依法接受财政部门监督监管。</w:t>
      </w:r>
    </w:p>
    <w:p>
      <w:pPr>
        <w:keepNext w:val="0"/>
        <w:keepLines w:val="0"/>
        <w:widowControl/>
        <w:suppressLineNumbers w:val="0"/>
        <w:ind w:firstLine="640" w:firstLineChars="200"/>
        <w:jc w:val="left"/>
        <w:outlineLvl w:val="1"/>
        <w:rPr>
          <w:rFonts w:hint="eastAsia" w:ascii="黑体" w:hAnsi="黑体" w:eastAsia="黑体" w:cs="黑体"/>
          <w:i w:val="0"/>
          <w:iCs w:val="0"/>
          <w:caps w:val="0"/>
          <w:color w:val="auto"/>
          <w:spacing w:val="0"/>
          <w:kern w:val="0"/>
          <w:sz w:val="32"/>
          <w:szCs w:val="32"/>
          <w:lang w:val="zh-CN" w:eastAsia="zh-CN" w:bidi="ar"/>
        </w:rPr>
      </w:pPr>
      <w:bookmarkStart w:id="16" w:name="_Toc14599"/>
      <w:r>
        <w:rPr>
          <w:rFonts w:hint="eastAsia" w:ascii="黑体" w:hAnsi="黑体" w:eastAsia="黑体" w:cs="黑体"/>
          <w:i w:val="0"/>
          <w:iCs w:val="0"/>
          <w:caps w:val="0"/>
          <w:color w:val="auto"/>
          <w:spacing w:val="0"/>
          <w:kern w:val="0"/>
          <w:sz w:val="32"/>
          <w:szCs w:val="32"/>
          <w:lang w:val="zh-CN" w:eastAsia="zh-CN" w:bidi="ar"/>
        </w:rPr>
        <w:t>四、评价结论及建议</w:t>
      </w:r>
      <w:bookmarkEnd w:id="16"/>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（一）评价结论。</w:t>
      </w:r>
      <w:r>
        <w:rPr>
          <w:rFonts w:hint="eastAsia" w:ascii="仿宋_GB2312" w:hAnsi="仿宋_GB2312" w:eastAsia="仿宋_GB2312" w:cs="仿宋_GB2312"/>
          <w:i w:val="0"/>
          <w:iCs w:val="0"/>
          <w:caps w:val="0"/>
          <w:color w:val="auto"/>
          <w:spacing w:val="0"/>
          <w:kern w:val="0"/>
          <w:sz w:val="32"/>
          <w:szCs w:val="32"/>
          <w:lang w:val="en-US" w:eastAsia="zh-CN" w:bidi="ar"/>
        </w:rPr>
        <w:t>按照国家政策法规规定，结合本部门的实际情况，建立健全了财务管理制度和约束机制，依法、有效地使用财政资 金，提高财政资金使用效率，合理分配人、财、物，完成了 部门职能目标，实现了较高的工作效率和支出绩效。 自评得分 91.4分，评价结果为良好。</w:t>
      </w:r>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（二）存在问题。</w:t>
      </w:r>
      <w:r>
        <w:rPr>
          <w:rFonts w:hint="eastAsia" w:ascii="仿宋_GB2312" w:hAnsi="仿宋_GB2312" w:eastAsia="仿宋_GB2312" w:cs="仿宋_GB2312"/>
          <w:i w:val="0"/>
          <w:iCs w:val="0"/>
          <w:caps w:val="0"/>
          <w:color w:val="auto"/>
          <w:spacing w:val="0"/>
          <w:kern w:val="0"/>
          <w:sz w:val="32"/>
          <w:szCs w:val="32"/>
          <w:lang w:val="en-US" w:eastAsia="zh-CN" w:bidi="ar"/>
        </w:rPr>
        <w:t>从绩效评价看，部门支出预算和绩效评价工作还存在部分项目无法用量化指标来进行考评的问题。</w:t>
      </w:r>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zh-CN"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r>
        <w:rPr>
          <w:rFonts w:hint="eastAsia" w:ascii="仿宋_GB2312" w:hAnsi="仿宋_GB2312" w:eastAsia="仿宋_GB2312" w:cs="仿宋_GB2312"/>
          <w:i w:val="0"/>
          <w:iCs w:val="0"/>
          <w:caps w:val="0"/>
          <w:color w:val="auto"/>
          <w:spacing w:val="0"/>
          <w:kern w:val="0"/>
          <w:sz w:val="32"/>
          <w:szCs w:val="32"/>
          <w:lang w:val="zh-CN" w:eastAsia="zh-CN" w:bidi="ar"/>
        </w:rPr>
        <w:t>我</w:t>
      </w:r>
      <w:r>
        <w:rPr>
          <w:rFonts w:hint="eastAsia" w:ascii="仿宋_GB2312" w:hAnsi="仿宋_GB2312" w:eastAsia="仿宋_GB2312" w:cs="仿宋_GB2312"/>
          <w:i w:val="0"/>
          <w:iCs w:val="0"/>
          <w:caps w:val="0"/>
          <w:color w:val="auto"/>
          <w:spacing w:val="0"/>
          <w:kern w:val="0"/>
          <w:sz w:val="32"/>
          <w:szCs w:val="32"/>
          <w:lang w:val="en-US" w:eastAsia="zh-CN" w:bidi="ar"/>
        </w:rPr>
        <w:t>们会将进一步重视预算的编制工作，提高预算编制的 精确度，提高财政资金使用效率，尽量减少预算执行调整、 结转和结余注销的情形。</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en"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附表：</w:t>
      </w:r>
      <w:r>
        <w:rPr>
          <w:rFonts w:hint="default" w:ascii="仿宋_GB2312" w:hAnsi="仿宋_GB2312" w:eastAsia="仿宋_GB2312" w:cs="仿宋_GB2312"/>
          <w:i w:val="0"/>
          <w:iCs w:val="0"/>
          <w:caps w:val="0"/>
          <w:color w:val="auto"/>
          <w:spacing w:val="0"/>
          <w:kern w:val="0"/>
          <w:sz w:val="32"/>
          <w:szCs w:val="32"/>
          <w:lang w:val="en-US" w:eastAsia="zh-CN" w:bidi="ar"/>
        </w:rPr>
        <w:t>部门整体支出绩效目标完成情况自评表</w:t>
      </w: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pStyle w:val="3"/>
        <w:rPr>
          <w:rFonts w:hint="default"/>
          <w:lang w:val="en-US" w:eastAsia="zh-CN"/>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pStyle w:val="3"/>
        <w:rPr>
          <w:rFonts w:hint="default" w:ascii="仿宋_GB2312" w:hAnsi="仿宋_GB2312" w:eastAsia="仿宋_GB2312" w:cs="仿宋_GB2312"/>
          <w:i w:val="0"/>
          <w:iCs w:val="0"/>
          <w:caps w:val="0"/>
          <w:color w:val="auto"/>
          <w:spacing w:val="0"/>
          <w:kern w:val="0"/>
          <w:sz w:val="32"/>
          <w:szCs w:val="32"/>
          <w:lang w:val="en-US" w:eastAsia="zh-CN" w:bidi="ar"/>
        </w:rPr>
      </w:pPr>
    </w:p>
    <w:p>
      <w:pPr>
        <w:rPr>
          <w:rFonts w:hint="default" w:ascii="仿宋_GB2312" w:hAnsi="仿宋_GB2312" w:eastAsia="仿宋_GB2312" w:cs="仿宋_GB2312"/>
          <w:i w:val="0"/>
          <w:iCs w:val="0"/>
          <w:caps w:val="0"/>
          <w:color w:val="auto"/>
          <w:spacing w:val="0"/>
          <w:kern w:val="0"/>
          <w:sz w:val="32"/>
          <w:szCs w:val="32"/>
          <w:lang w:val="en-US" w:eastAsia="zh-CN" w:bidi="ar"/>
        </w:rPr>
      </w:pPr>
    </w:p>
    <w:p>
      <w:pPr>
        <w:pStyle w:val="3"/>
        <w:rPr>
          <w:rFonts w:hint="default"/>
          <w:lang w:val="en-US" w:eastAsia="zh-CN"/>
        </w:rPr>
      </w:pPr>
    </w:p>
    <w:p>
      <w:pPr>
        <w:keepNext w:val="0"/>
        <w:keepLines w:val="0"/>
        <w:widowControl/>
        <w:suppressLineNumbers w:val="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附表：</w:t>
      </w:r>
    </w:p>
    <w:p>
      <w:pPr>
        <w:pStyle w:val="3"/>
        <w:rPr>
          <w:rFonts w:hint="default"/>
          <w:lang w:val="en-US" w:eastAsia="zh-CN"/>
        </w:rPr>
      </w:pPr>
    </w:p>
    <w:tbl>
      <w:tblPr>
        <w:tblStyle w:val="7"/>
        <w:tblW w:w="98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1346"/>
        <w:gridCol w:w="1347"/>
        <w:gridCol w:w="2066"/>
        <w:gridCol w:w="1077"/>
        <w:gridCol w:w="1257"/>
        <w:gridCol w:w="808"/>
        <w:gridCol w:w="459"/>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82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color w:val="C0C0C0"/>
                <w:sz w:val="20"/>
                <w:szCs w:val="20"/>
                <w:u w:val="none"/>
              </w:rPr>
            </w:pPr>
            <w:r>
              <w:rPr>
                <w:rFonts w:ascii="宋体" w:hAnsi="宋体" w:eastAsia="宋体" w:cs="宋体"/>
                <w:i w:val="0"/>
                <w:color w:val="C0C0C0"/>
                <w:kern w:val="0"/>
                <w:sz w:val="20"/>
                <w:szCs w:val="20"/>
                <w:u w:val="none"/>
                <w:lang w:val="en-US" w:eastAsia="zh-CN" w:bidi="ar"/>
              </w:rPr>
              <w:t>报表编号：510000_0013</w:t>
            </w:r>
          </w:p>
        </w:tc>
        <w:tc>
          <w:tcPr>
            <w:tcW w:w="1077"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984" w:type="dxa"/>
            <w:gridSpan w:val="4"/>
            <w:tcBorders>
              <w:top w:val="nil"/>
              <w:left w:val="nil"/>
              <w:bottom w:val="nil"/>
              <w:right w:val="nil"/>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988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88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9" w:hRule="atLeast"/>
        </w:trPr>
        <w:tc>
          <w:tcPr>
            <w:tcW w:w="9888"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3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部门名称</w:t>
            </w:r>
          </w:p>
        </w:tc>
        <w:tc>
          <w:tcPr>
            <w:tcW w:w="61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黑水县水务局（部门）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年度部门整体支出预算</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资金总额</w:t>
            </w:r>
          </w:p>
        </w:tc>
        <w:tc>
          <w:tcPr>
            <w:tcW w:w="3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财政拨款</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8"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年度总体目标</w:t>
            </w:r>
          </w:p>
        </w:tc>
        <w:tc>
          <w:tcPr>
            <w:tcW w:w="8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年度主要任务</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任务名称</w:t>
            </w:r>
          </w:p>
        </w:tc>
        <w:tc>
          <w:tcPr>
            <w:tcW w:w="61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1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年度绩效指标</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绩效指标性质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绩效指标值</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绩效度量单位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1"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bl>
    <w:p>
      <w:pPr>
        <w:pStyle w:val="6"/>
        <w:ind w:left="0" w:leftChars="0" w:firstLine="0" w:firstLineChars="0"/>
        <w:rPr>
          <w:rFonts w:hint="default" w:ascii="Times New Roman" w:hAnsi="Times New Roman" w:eastAsia="黑体" w:cs="Times New Roman"/>
          <w:sz w:val="24"/>
          <w:szCs w:val="24"/>
          <w:highlight w:val="none"/>
          <w:lang w:val="en-US"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2023年6月新增单位，2023年预算在原县科农牧局</w:t>
      </w:r>
    </w:p>
    <w:p>
      <w:pPr>
        <w:pageBreakBefore w:val="0"/>
        <w:kinsoku/>
        <w:wordWrap/>
        <w:overflowPunct/>
        <w:topLinePunct w:val="0"/>
        <w:bidi w:val="0"/>
        <w:spacing w:line="560" w:lineRule="exact"/>
        <w:ind w:firstLine="640" w:firstLineChars="200"/>
        <w:rPr>
          <w:rFonts w:eastAsia="仿宋_GB2312"/>
          <w:sz w:val="32"/>
          <w:szCs w:val="32"/>
          <w:lang w:val="zh-CN"/>
        </w:rPr>
      </w:pPr>
    </w:p>
    <w:p>
      <w:pPr>
        <w:pageBreakBefore w:val="0"/>
        <w:kinsoku/>
        <w:wordWrap/>
        <w:overflowPunct/>
        <w:topLinePunct w:val="0"/>
        <w:bidi w:val="0"/>
        <w:spacing w:line="560" w:lineRule="exact"/>
        <w:ind w:firstLine="640" w:firstLineChars="200"/>
        <w:rPr>
          <w:rFonts w:hint="eastAsia" w:asciiTheme="minorEastAsia" w:hAnsiTheme="minorEastAsia" w:eastAsiaTheme="minorEastAsia"/>
          <w:sz w:val="32"/>
          <w:szCs w:val="32"/>
          <w:lang w:val="zh-CN"/>
        </w:rPr>
      </w:pPr>
    </w:p>
    <w:p>
      <w:pPr>
        <w:pageBreakBefore w:val="0"/>
        <w:kinsoku/>
        <w:wordWrap/>
        <w:overflowPunct/>
        <w:topLinePunct w:val="0"/>
        <w:bidi w:val="0"/>
        <w:spacing w:line="560" w:lineRule="exact"/>
        <w:ind w:firstLine="640" w:firstLineChars="200"/>
        <w:rPr>
          <w:rFonts w:hint="eastAsia" w:asciiTheme="minorEastAsia" w:hAnsiTheme="minorEastAsia" w:eastAsiaTheme="minorEastAsia"/>
          <w:sz w:val="32"/>
          <w:szCs w:val="32"/>
          <w:lang w:val="zh-CN"/>
        </w:rPr>
      </w:pPr>
    </w:p>
    <w:p>
      <w:pPr>
        <w:pageBreakBefore w:val="0"/>
        <w:kinsoku/>
        <w:wordWrap/>
        <w:overflowPunct/>
        <w:topLinePunct w:val="0"/>
        <w:bidi w:val="0"/>
        <w:spacing w:line="560" w:lineRule="exact"/>
        <w:ind w:firstLine="640" w:firstLineChars="200"/>
        <w:rPr>
          <w:rFonts w:hint="eastAsia" w:asciiTheme="minorEastAsia" w:hAnsiTheme="minorEastAsia" w:eastAsiaTheme="minorEastAsia"/>
          <w:sz w:val="32"/>
          <w:szCs w:val="32"/>
          <w:lang w:val="zh-CN"/>
        </w:rPr>
      </w:pPr>
    </w:p>
    <w:p>
      <w:pPr>
        <w:pageBreakBefore w:val="0"/>
        <w:kinsoku/>
        <w:wordWrap/>
        <w:overflowPunct/>
        <w:topLinePunct w:val="0"/>
        <w:bidi w:val="0"/>
        <w:spacing w:line="560" w:lineRule="exact"/>
        <w:ind w:firstLine="640" w:firstLineChars="200"/>
        <w:rPr>
          <w:rFonts w:hint="eastAsia" w:asciiTheme="minorEastAsia" w:hAnsiTheme="minorEastAsia" w:eastAsiaTheme="minorEastAsia"/>
          <w:sz w:val="32"/>
          <w:szCs w:val="32"/>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EFE24"/>
    <w:multiLevelType w:val="singleLevel"/>
    <w:tmpl w:val="997EFE24"/>
    <w:lvl w:ilvl="0" w:tentative="0">
      <w:start w:val="2"/>
      <w:numFmt w:val="decimal"/>
      <w:lvlText w:val="%1."/>
      <w:lvlJc w:val="left"/>
      <w:pPr>
        <w:tabs>
          <w:tab w:val="left" w:pos="312"/>
        </w:tabs>
      </w:pPr>
    </w:lvl>
  </w:abstractNum>
  <w:abstractNum w:abstractNumId="1">
    <w:nsid w:val="EC49EE25"/>
    <w:multiLevelType w:val="singleLevel"/>
    <w:tmpl w:val="EC49EE2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ZTA4NTdlZTQyZDQwNTY3Y2M2MmE3Zjg2NWU1NzYifQ=="/>
  </w:docVars>
  <w:rsids>
    <w:rsidRoot w:val="349F13DC"/>
    <w:rsid w:val="349F13DC"/>
    <w:rsid w:val="7F8EA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index 5"/>
    <w:basedOn w:val="1"/>
    <w:next w:val="1"/>
    <w:qFormat/>
    <w:uiPriority w:val="0"/>
    <w:pPr>
      <w:ind w:left="1680"/>
      <w:jc w:val="left"/>
    </w:pPr>
  </w:style>
  <w:style w:type="paragraph" w:styleId="4">
    <w:name w:val="Body Text Indent"/>
    <w:basedOn w:val="1"/>
    <w:qFormat/>
    <w:uiPriority w:val="0"/>
    <w:pPr>
      <w:spacing w:after="120"/>
      <w:ind w:left="200" w:leftChars="200"/>
    </w:pPr>
    <w:rPr>
      <w:rFonts w:ascii="仿宋_GB2312"/>
      <w:szCs w:val="32"/>
    </w:rPr>
  </w:style>
  <w:style w:type="paragraph" w:styleId="5">
    <w:name w:val="Normal (Web)"/>
    <w:basedOn w:val="1"/>
    <w:qFormat/>
    <w:uiPriority w:val="0"/>
    <w:pPr>
      <w:adjustRightInd/>
      <w:snapToGrid/>
      <w:spacing w:before="0" w:beforeAutospacing="0" w:after="0" w:afterAutospacing="0"/>
      <w:ind w:left="0" w:right="0"/>
      <w:jc w:val="left"/>
    </w:pPr>
    <w:rPr>
      <w:rFonts w:ascii="Times New Roman" w:hAnsi="Times New Roman" w:eastAsia="华文中宋"/>
      <w:kern w:val="0"/>
      <w:lang w:bidi="ar"/>
    </w:rPr>
  </w:style>
  <w:style w:type="paragraph" w:styleId="6">
    <w:name w:val="Body Text First Indent 2"/>
    <w:basedOn w:val="4"/>
    <w:unhideWhenUsed/>
    <w:qFormat/>
    <w:uiPriority w:val="99"/>
    <w:pPr>
      <w:ind w:firstLine="420" w:firstLineChars="200"/>
    </w:pPr>
  </w:style>
  <w:style w:type="character" w:styleId="9">
    <w:name w:val="Strong"/>
    <w:basedOn w:val="8"/>
    <w:qFormat/>
    <w:uiPriority w:val="99"/>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2024-09-27T08:55:00Z</dcterms:created>
  <dc:creator>Administrator</dc:creator>
  <cp:lastModifiedBy>user</cp:lastModifiedBy>
  <dcterms:modified xsi:type="dcterms:W3CDTF">2024-10-23T16:43:16Z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0373F86AE29449D7B3B0BB78EFCE2F99_11</vt:lpwstr>
  </property>
</Properties>
</file>