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pacing w:line="560" w:lineRule="exact"/>
        <w:jc w:val="left"/>
        <w:textAlignment w:val="auto"/>
        <w:rPr>
          <w:rFonts w:hint="eastAsia" w:ascii="方正小标宋简体" w:eastAsia="方正小标宋简体"/>
          <w:sz w:val="32"/>
          <w:szCs w:val="44"/>
          <w:lang w:eastAsia="zh-CN"/>
        </w:rPr>
      </w:pPr>
      <w:r>
        <w:rPr>
          <w:rFonts w:hint="eastAsia" w:ascii="黑体" w:hAnsi="黑体" w:eastAsia="黑体" w:cs="黑体"/>
          <w:sz w:val="32"/>
          <w:szCs w:val="44"/>
        </w:rPr>
        <w:t>附件</w:t>
      </w:r>
      <w:r>
        <w:rPr>
          <w:rFonts w:hint="eastAsia" w:ascii="黑体" w:hAnsi="黑体" w:eastAsia="黑体" w:cs="黑体"/>
          <w:sz w:val="32"/>
          <w:szCs w:val="44"/>
          <w:lang w:val="en-US" w:eastAsia="zh-CN"/>
        </w:rPr>
        <w:t>1-1</w:t>
      </w:r>
      <w:r>
        <w:rPr>
          <w:rFonts w:hint="eastAsia" w:ascii="方正小标宋简体" w:eastAsia="方正小标宋简体"/>
          <w:sz w:val="32"/>
          <w:szCs w:val="44"/>
          <w:lang w:eastAsia="zh-CN"/>
        </w:rPr>
        <w:t>：</w:t>
      </w:r>
    </w:p>
    <w:p>
      <w:pPr>
        <w:keepNext w:val="0"/>
        <w:keepLines w:val="0"/>
        <w:pageBreakBefore w:val="0"/>
        <w:kinsoku/>
        <w:overflowPunct/>
        <w:topLinePunct w:val="0"/>
        <w:autoSpaceDE/>
        <w:autoSpaceDN/>
        <w:bidi w:val="0"/>
        <w:spacing w:line="560" w:lineRule="exact"/>
        <w:jc w:val="left"/>
        <w:textAlignment w:val="auto"/>
        <w:rPr>
          <w:rFonts w:hint="eastAsia" w:ascii="方正小标宋简体" w:eastAsia="方正小标宋简体"/>
          <w:sz w:val="32"/>
          <w:szCs w:val="44"/>
        </w:rPr>
      </w:pPr>
    </w:p>
    <w:p>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黑水县征收农用地区片综合地价修订成果</w:t>
      </w:r>
    </w:p>
    <w:p>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sz w:val="44"/>
          <w:szCs w:val="44"/>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b w:val="0"/>
          <w:bCs/>
          <w:sz w:val="32"/>
          <w:szCs w:val="32"/>
        </w:rPr>
      </w:pPr>
      <w:r>
        <w:rPr>
          <w:rFonts w:hint="eastAsia" w:ascii="黑体" w:hAnsi="黑体" w:eastAsia="黑体" w:cs="黑体"/>
          <w:b w:val="0"/>
          <w:bCs/>
          <w:sz w:val="32"/>
          <w:szCs w:val="32"/>
        </w:rPr>
        <w:t>一、测算范围</w:t>
      </w:r>
    </w:p>
    <w:p>
      <w:pPr>
        <w:keepNext w:val="0"/>
        <w:keepLines w:val="0"/>
        <w:pageBreakBefore w:val="0"/>
        <w:kinsoku/>
        <w:overflowPunct/>
        <w:topLinePunct w:val="0"/>
        <w:autoSpaceDE/>
        <w:autoSpaceDN/>
        <w:bidi w:val="0"/>
        <w:spacing w:line="560" w:lineRule="exact"/>
        <w:ind w:firstLine="640" w:firstLineChars="200"/>
        <w:textAlignment w:val="auto"/>
        <w:rPr>
          <w:rFonts w:ascii="Times New Roman" w:hAnsi="Times New Roman" w:eastAsia="仿宋_GB2312" w:cs="Times New Roman"/>
          <w:sz w:val="32"/>
          <w:szCs w:val="32"/>
        </w:rPr>
      </w:pPr>
      <w:bookmarkStart w:id="0" w:name="_Toc34036444"/>
      <w:r>
        <w:rPr>
          <w:rFonts w:hint="eastAsia" w:ascii="Times New Roman" w:hAnsi="Times New Roman" w:eastAsia="仿宋_GB2312" w:cs="Times New Roman"/>
          <w:sz w:val="32"/>
          <w:szCs w:val="32"/>
          <w:lang w:eastAsia="zh-CN"/>
        </w:rPr>
        <w:t>本</w:t>
      </w:r>
      <w:r>
        <w:rPr>
          <w:rFonts w:hint="eastAsia" w:ascii="Times New Roman" w:hAnsi="Times New Roman" w:eastAsia="仿宋_GB2312" w:cs="Times New Roman"/>
          <w:sz w:val="32"/>
          <w:szCs w:val="32"/>
        </w:rPr>
        <w:t>征收农用地区片综合地价修订涉及黑水县行政辖区内的所有集体农用地范围，包括耕地、园地、林地、草地4个一级地类以及农村道路、水库水面、坑塘水面、沟渠、设施农用地、田坎6个二级地类。测算范围共计全县15个乡镇，土地面积414210.05公顷。与上轮相比，测算范围无变化。</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b w:val="0"/>
          <w:bCs/>
          <w:sz w:val="32"/>
          <w:szCs w:val="32"/>
        </w:rPr>
      </w:pPr>
      <w:r>
        <w:rPr>
          <w:rFonts w:hint="eastAsia" w:ascii="黑体" w:hAnsi="黑体" w:eastAsia="黑体" w:cs="黑体"/>
          <w:b w:val="0"/>
          <w:bCs/>
          <w:sz w:val="32"/>
          <w:szCs w:val="32"/>
        </w:rPr>
        <w:t>二、基准</w:t>
      </w:r>
      <w:bookmarkEnd w:id="0"/>
      <w:r>
        <w:rPr>
          <w:rFonts w:hint="eastAsia" w:ascii="黑体" w:hAnsi="黑体" w:eastAsia="黑体" w:cs="黑体"/>
          <w:b w:val="0"/>
          <w:bCs/>
          <w:sz w:val="32"/>
          <w:szCs w:val="32"/>
        </w:rPr>
        <w:t>日</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sz w:val="32"/>
          <w:szCs w:val="32"/>
        </w:rPr>
      </w:pPr>
      <w:r>
        <w:rPr>
          <w:rFonts w:hint="eastAsia" w:ascii="Times New Roman" w:hAnsi="Times New Roman" w:eastAsia="仿宋_GB2312" w:cs="Times New Roman"/>
          <w:sz w:val="32"/>
          <w:szCs w:val="32"/>
        </w:rPr>
        <w:t>本次征收农用地区片综合地价对应的基准日为2026年1月1日，有效期为3年。</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b w:val="0"/>
          <w:bCs/>
          <w:sz w:val="32"/>
          <w:szCs w:val="32"/>
        </w:rPr>
      </w:pPr>
      <w:r>
        <w:rPr>
          <w:rFonts w:hint="eastAsia" w:ascii="黑体" w:hAnsi="黑体" w:eastAsia="黑体" w:cs="黑体"/>
          <w:b w:val="0"/>
          <w:bCs/>
          <w:sz w:val="32"/>
          <w:szCs w:val="32"/>
        </w:rPr>
        <w:t>三、区片综合地价修订结果</w:t>
      </w:r>
    </w:p>
    <w:p>
      <w:pPr>
        <w:keepNext w:val="0"/>
        <w:keepLines w:val="0"/>
        <w:pageBreakBefore w:val="0"/>
        <w:kinsoku/>
        <w:overflowPunct/>
        <w:topLinePunct w:val="0"/>
        <w:autoSpaceDE/>
        <w:autoSpaceDN/>
        <w:bidi w:val="0"/>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本轮征收农用地区片综合地价修订分为</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个区片，分别为位于一区片的</w:t>
      </w:r>
      <w:r>
        <w:rPr>
          <w:rFonts w:hint="eastAsia" w:ascii="Times New Roman" w:hAnsi="Times New Roman" w:eastAsia="仿宋_GB2312" w:cs="Times New Roman"/>
          <w:sz w:val="32"/>
          <w:szCs w:val="32"/>
        </w:rPr>
        <w:t>色尔古镇、西尔镇、木苏镇、知木林镇、扎窝镇、瓦钵梁子乡、维古乡7个</w:t>
      </w:r>
      <w:r>
        <w:rPr>
          <w:rFonts w:ascii="Times New Roman" w:hAnsi="Times New Roman" w:eastAsia="仿宋_GB2312" w:cs="Times New Roman"/>
          <w:sz w:val="32"/>
          <w:szCs w:val="32"/>
        </w:rPr>
        <w:t>乡镇，位于二区片的</w:t>
      </w:r>
      <w:r>
        <w:rPr>
          <w:rFonts w:hint="eastAsia" w:ascii="Times New Roman" w:hAnsi="Times New Roman" w:eastAsia="仿宋_GB2312" w:cs="Times New Roman"/>
          <w:sz w:val="32"/>
          <w:szCs w:val="32"/>
        </w:rPr>
        <w:t>芦花镇、石碉楼乡、龙坝乡、慈坝乡</w:t>
      </w: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个乡镇，</w:t>
      </w:r>
      <w:r>
        <w:rPr>
          <w:rFonts w:ascii="Times New Roman" w:hAnsi="Times New Roman" w:eastAsia="仿宋_GB2312" w:cs="Times New Roman"/>
          <w:sz w:val="32"/>
          <w:szCs w:val="32"/>
        </w:rPr>
        <w:t>位于三区片的</w:t>
      </w:r>
      <w:r>
        <w:rPr>
          <w:rFonts w:hint="eastAsia" w:ascii="Times New Roman" w:hAnsi="Times New Roman" w:eastAsia="仿宋_GB2312" w:cs="Times New Roman"/>
          <w:sz w:val="32"/>
          <w:szCs w:val="32"/>
        </w:rPr>
        <w:t>卡龙镇、沙石多镇、洛多乡、晴朗乡4个</w:t>
      </w:r>
      <w:r>
        <w:rPr>
          <w:rFonts w:ascii="Times New Roman" w:hAnsi="Times New Roman" w:eastAsia="仿宋_GB2312" w:cs="Times New Roman"/>
          <w:sz w:val="32"/>
          <w:szCs w:val="32"/>
        </w:rPr>
        <w:t>乡镇。与上轮征地区片比较，区片分布无变化。</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征收农用地区片综合地价为黑水县征收集体农用地的土地补偿费和安置补助费标准。不包括法律规定用于社会保险缴费补贴的被征地农民社会保障费用、征收农用地涉及的地上附着物和青苗等其他补偿费用。</w:t>
      </w:r>
      <w:r>
        <w:rPr>
          <w:rFonts w:ascii="Times New Roman" w:hAnsi="Times New Roman" w:eastAsia="仿宋_GB2312" w:cs="Times New Roman"/>
          <w:sz w:val="32"/>
          <w:szCs w:val="32"/>
        </w:rPr>
        <w:t>本次征收农用地区片</w:t>
      </w:r>
      <w:r>
        <w:rPr>
          <w:rFonts w:hint="eastAsia" w:ascii="Times New Roman" w:hAnsi="Times New Roman" w:eastAsia="仿宋_GB2312" w:cs="Times New Roman"/>
          <w:sz w:val="32"/>
          <w:szCs w:val="32"/>
        </w:rPr>
        <w:t>综合</w:t>
      </w:r>
      <w:r>
        <w:rPr>
          <w:rFonts w:ascii="Times New Roman" w:hAnsi="Times New Roman" w:eastAsia="仿宋_GB2312" w:cs="Times New Roman"/>
          <w:sz w:val="32"/>
          <w:szCs w:val="32"/>
        </w:rPr>
        <w:t>地价</w:t>
      </w:r>
      <w:r>
        <w:rPr>
          <w:rFonts w:hint="eastAsia" w:ascii="Times New Roman" w:hAnsi="Times New Roman" w:eastAsia="仿宋_GB2312" w:cs="Times New Roman"/>
          <w:sz w:val="32"/>
          <w:szCs w:val="32"/>
        </w:rPr>
        <w:t>修订后</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一区片</w:t>
      </w:r>
      <w:r>
        <w:rPr>
          <w:rFonts w:ascii="Times New Roman" w:hAnsi="Times New Roman" w:eastAsia="仿宋_GB2312" w:cs="Times New Roman"/>
          <w:sz w:val="32"/>
          <w:szCs w:val="32"/>
        </w:rPr>
        <w:t>为</w:t>
      </w:r>
      <w:r>
        <w:rPr>
          <w:rFonts w:hint="eastAsia" w:ascii="Times New Roman" w:hAnsi="Times New Roman" w:eastAsia="仿宋_GB2312" w:cs="Times New Roman"/>
          <w:sz w:val="32"/>
          <w:szCs w:val="32"/>
        </w:rPr>
        <w:t>35</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00</w:t>
      </w:r>
      <w:r>
        <w:rPr>
          <w:rFonts w:ascii="Times New Roman" w:hAnsi="Times New Roman" w:eastAsia="仿宋_GB2312" w:cs="Times New Roman"/>
          <w:sz w:val="32"/>
          <w:szCs w:val="32"/>
        </w:rPr>
        <w:t>元/亩，</w:t>
      </w:r>
      <w:r>
        <w:rPr>
          <w:rFonts w:hint="eastAsia" w:ascii="Times New Roman" w:hAnsi="Times New Roman" w:eastAsia="仿宋_GB2312" w:cs="Times New Roman"/>
          <w:sz w:val="32"/>
          <w:szCs w:val="32"/>
        </w:rPr>
        <w:t>二区片</w:t>
      </w:r>
      <w:r>
        <w:rPr>
          <w:rFonts w:ascii="Times New Roman" w:hAnsi="Times New Roman" w:eastAsia="仿宋_GB2312" w:cs="Times New Roman"/>
          <w:sz w:val="32"/>
          <w:szCs w:val="32"/>
        </w:rPr>
        <w:t>为</w:t>
      </w:r>
      <w:r>
        <w:rPr>
          <w:rFonts w:hint="eastAsia" w:ascii="Times New Roman" w:hAnsi="Times New Roman" w:eastAsia="仿宋_GB2312" w:cs="Times New Roman"/>
          <w:sz w:val="32"/>
          <w:szCs w:val="32"/>
        </w:rPr>
        <w:t>33</w:t>
      </w:r>
      <w:r>
        <w:rPr>
          <w:rFonts w:ascii="Times New Roman" w:hAnsi="Times New Roman" w:eastAsia="仿宋_GB2312" w:cs="Times New Roman"/>
          <w:sz w:val="32"/>
          <w:szCs w:val="32"/>
        </w:rPr>
        <w:t>8</w:t>
      </w:r>
      <w:r>
        <w:rPr>
          <w:rFonts w:hint="eastAsia" w:ascii="Times New Roman" w:hAnsi="Times New Roman" w:eastAsia="仿宋_GB2312" w:cs="Times New Roman"/>
          <w:sz w:val="32"/>
          <w:szCs w:val="32"/>
        </w:rPr>
        <w:t>00</w:t>
      </w:r>
      <w:r>
        <w:rPr>
          <w:rFonts w:ascii="Times New Roman" w:hAnsi="Times New Roman" w:eastAsia="仿宋_GB2312" w:cs="Times New Roman"/>
          <w:sz w:val="32"/>
          <w:szCs w:val="32"/>
        </w:rPr>
        <w:t>元/亩，</w:t>
      </w:r>
      <w:r>
        <w:rPr>
          <w:rFonts w:hint="eastAsia" w:ascii="Times New Roman" w:hAnsi="Times New Roman" w:eastAsia="仿宋_GB2312" w:cs="Times New Roman"/>
          <w:sz w:val="32"/>
          <w:szCs w:val="32"/>
        </w:rPr>
        <w:t>三区片</w:t>
      </w:r>
      <w:r>
        <w:rPr>
          <w:rFonts w:ascii="Times New Roman" w:hAnsi="Times New Roman" w:eastAsia="仿宋_GB2312" w:cs="Times New Roman"/>
          <w:sz w:val="32"/>
          <w:szCs w:val="32"/>
        </w:rPr>
        <w:t>为</w:t>
      </w:r>
      <w:r>
        <w:rPr>
          <w:rFonts w:hint="eastAsia" w:ascii="Times New Roman" w:hAnsi="Times New Roman" w:eastAsia="仿宋_GB2312" w:cs="Times New Roman"/>
          <w:sz w:val="32"/>
          <w:szCs w:val="32"/>
        </w:rPr>
        <w:t>32</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00</w:t>
      </w:r>
      <w:r>
        <w:rPr>
          <w:rFonts w:ascii="Times New Roman" w:hAnsi="Times New Roman" w:eastAsia="仿宋_GB2312" w:cs="Times New Roman"/>
          <w:sz w:val="32"/>
          <w:szCs w:val="32"/>
        </w:rPr>
        <w:t>元/亩。</w:t>
      </w:r>
      <w:r>
        <w:rPr>
          <w:rFonts w:hint="eastAsia" w:ascii="Times New Roman" w:hAnsi="Times New Roman" w:eastAsia="仿宋_GB2312" w:cs="Times New Roman"/>
          <w:sz w:val="32"/>
          <w:szCs w:val="32"/>
        </w:rPr>
        <w:t>在</w:t>
      </w:r>
      <w:r>
        <w:rPr>
          <w:rFonts w:ascii="Times New Roman" w:hAnsi="Times New Roman" w:eastAsia="仿宋_GB2312" w:cs="Times New Roman"/>
          <w:sz w:val="32"/>
          <w:szCs w:val="32"/>
        </w:rPr>
        <w:t>此基础上，本次设置</w:t>
      </w:r>
      <w:r>
        <w:rPr>
          <w:rFonts w:hint="eastAsia" w:ascii="Times New Roman" w:hAnsi="Times New Roman" w:eastAsia="仿宋_GB2312" w:cs="Times New Roman"/>
          <w:sz w:val="32"/>
          <w:szCs w:val="32"/>
        </w:rPr>
        <w:t>耕地调节系数为1.6，园地调节系数为1.5，</w:t>
      </w:r>
      <w:r>
        <w:rPr>
          <w:rFonts w:ascii="Times New Roman" w:hAnsi="Times New Roman" w:eastAsia="仿宋_GB2312" w:cs="Times New Roman"/>
          <w:sz w:val="32"/>
          <w:szCs w:val="32"/>
        </w:rPr>
        <w:t>即</w:t>
      </w:r>
      <w:r>
        <w:rPr>
          <w:rFonts w:hint="eastAsia" w:ascii="Times New Roman" w:hAnsi="Times New Roman" w:eastAsia="仿宋_GB2312" w:cs="Times New Roman"/>
          <w:sz w:val="32"/>
          <w:szCs w:val="32"/>
        </w:rPr>
        <w:t>征收</w:t>
      </w:r>
      <w:r>
        <w:rPr>
          <w:rFonts w:ascii="Times New Roman" w:hAnsi="Times New Roman" w:eastAsia="仿宋_GB2312" w:cs="Times New Roman"/>
          <w:sz w:val="32"/>
          <w:szCs w:val="32"/>
        </w:rPr>
        <w:t>耕地的补偿标准为区片综合地价的</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倍</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一区片</w:t>
      </w:r>
      <w:r>
        <w:rPr>
          <w:rFonts w:ascii="Times New Roman" w:hAnsi="Times New Roman" w:eastAsia="仿宋_GB2312" w:cs="Times New Roman"/>
          <w:sz w:val="32"/>
          <w:szCs w:val="32"/>
        </w:rPr>
        <w:t>56960</w:t>
      </w:r>
      <w:r>
        <w:rPr>
          <w:rFonts w:hint="eastAsia" w:ascii="Times New Roman" w:hAnsi="Times New Roman" w:eastAsia="仿宋_GB2312" w:cs="Times New Roman"/>
          <w:sz w:val="32"/>
          <w:szCs w:val="32"/>
        </w:rPr>
        <w:t>元/亩，二区片</w:t>
      </w:r>
      <w:r>
        <w:rPr>
          <w:rFonts w:ascii="Times New Roman" w:hAnsi="Times New Roman" w:eastAsia="仿宋_GB2312" w:cs="Times New Roman"/>
          <w:sz w:val="32"/>
          <w:szCs w:val="32"/>
        </w:rPr>
        <w:t>54080</w:t>
      </w:r>
      <w:r>
        <w:rPr>
          <w:rFonts w:hint="eastAsia" w:ascii="Times New Roman" w:hAnsi="Times New Roman" w:eastAsia="仿宋_GB2312" w:cs="Times New Roman"/>
          <w:sz w:val="32"/>
          <w:szCs w:val="32"/>
        </w:rPr>
        <w:t>元/亩，三区片</w:t>
      </w:r>
      <w:r>
        <w:rPr>
          <w:rFonts w:ascii="Times New Roman" w:hAnsi="Times New Roman" w:eastAsia="仿宋_GB2312" w:cs="Times New Roman"/>
          <w:sz w:val="32"/>
          <w:szCs w:val="32"/>
        </w:rPr>
        <w:t>51520</w:t>
      </w:r>
      <w:r>
        <w:rPr>
          <w:rFonts w:hint="eastAsia" w:ascii="Times New Roman" w:hAnsi="Times New Roman" w:eastAsia="仿宋_GB2312" w:cs="Times New Roman"/>
          <w:sz w:val="32"/>
          <w:szCs w:val="32"/>
        </w:rPr>
        <w:t>元/亩，征收园地</w:t>
      </w:r>
      <w:r>
        <w:rPr>
          <w:rFonts w:ascii="Times New Roman" w:hAnsi="Times New Roman" w:eastAsia="仿宋_GB2312" w:cs="Times New Roman"/>
          <w:sz w:val="32"/>
          <w:szCs w:val="32"/>
        </w:rPr>
        <w:t>的补偿标准为区片综合地价的</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倍</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一区片</w:t>
      </w:r>
      <w:r>
        <w:rPr>
          <w:rFonts w:ascii="Times New Roman" w:hAnsi="Times New Roman" w:eastAsia="仿宋_GB2312" w:cs="Times New Roman"/>
          <w:sz w:val="32"/>
          <w:szCs w:val="32"/>
        </w:rPr>
        <w:t>53400</w:t>
      </w:r>
      <w:r>
        <w:rPr>
          <w:rFonts w:hint="eastAsia" w:ascii="Times New Roman" w:hAnsi="Times New Roman" w:eastAsia="仿宋_GB2312" w:cs="Times New Roman"/>
          <w:sz w:val="32"/>
          <w:szCs w:val="32"/>
        </w:rPr>
        <w:t>元/亩，二区片</w:t>
      </w:r>
      <w:r>
        <w:rPr>
          <w:rFonts w:ascii="Times New Roman" w:hAnsi="Times New Roman" w:eastAsia="仿宋_GB2312" w:cs="Times New Roman"/>
          <w:sz w:val="32"/>
          <w:szCs w:val="32"/>
        </w:rPr>
        <w:t>50700</w:t>
      </w:r>
      <w:r>
        <w:rPr>
          <w:rFonts w:hint="eastAsia" w:ascii="Times New Roman" w:hAnsi="Times New Roman" w:eastAsia="仿宋_GB2312" w:cs="Times New Roman"/>
          <w:sz w:val="32"/>
          <w:szCs w:val="32"/>
        </w:rPr>
        <w:t>元/亩，三区片</w:t>
      </w:r>
      <w:r>
        <w:rPr>
          <w:rFonts w:ascii="Times New Roman" w:hAnsi="Times New Roman" w:eastAsia="仿宋_GB2312" w:cs="Times New Roman"/>
          <w:sz w:val="32"/>
          <w:szCs w:val="32"/>
        </w:rPr>
        <w:t>48300</w:t>
      </w:r>
      <w:r>
        <w:rPr>
          <w:rFonts w:hint="eastAsia" w:ascii="Times New Roman" w:hAnsi="Times New Roman" w:eastAsia="仿宋_GB2312" w:cs="Times New Roman"/>
          <w:sz w:val="32"/>
          <w:szCs w:val="32"/>
        </w:rPr>
        <w:t>元/亩。</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b/>
          <w:sz w:val="28"/>
          <w:szCs w:val="32"/>
        </w:rPr>
      </w:pPr>
      <w:r>
        <w:rPr>
          <w:rFonts w:hint="eastAsia" w:ascii="仿宋_GB2312" w:eastAsia="仿宋_GB2312"/>
          <w:b/>
          <w:sz w:val="28"/>
          <w:szCs w:val="32"/>
        </w:rPr>
        <w:t>黑水县征收农用地区片综合地价表</w:t>
      </w:r>
    </w:p>
    <w:tbl>
      <w:tblPr>
        <w:tblStyle w:val="33"/>
        <w:tblW w:w="8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1007"/>
        <w:gridCol w:w="992"/>
        <w:gridCol w:w="1134"/>
        <w:gridCol w:w="1417"/>
        <w:gridCol w:w="1960"/>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61" w:type="dxa"/>
            <w:vMerge w:val="restart"/>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序号</w:t>
            </w:r>
          </w:p>
        </w:tc>
        <w:tc>
          <w:tcPr>
            <w:tcW w:w="1007" w:type="dxa"/>
            <w:vMerge w:val="restart"/>
            <w:vAlign w:val="center"/>
          </w:tcPr>
          <w:p>
            <w:pPr>
              <w:widowControl/>
              <w:jc w:val="center"/>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区片</w:t>
            </w:r>
          </w:p>
          <w:p>
            <w:pPr>
              <w:widowControl/>
              <w:jc w:val="center"/>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编号</w:t>
            </w:r>
          </w:p>
        </w:tc>
        <w:tc>
          <w:tcPr>
            <w:tcW w:w="992" w:type="dxa"/>
            <w:vMerge w:val="restart"/>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区片价</w:t>
            </w:r>
            <w:r>
              <w:rPr>
                <w:rFonts w:ascii="Times New Roman" w:hAnsi="Times New Roman" w:eastAsia="仿宋" w:cs="Times New Roman"/>
                <w:color w:val="000000"/>
                <w:kern w:val="0"/>
                <w:sz w:val="24"/>
                <w:szCs w:val="24"/>
              </w:rPr>
              <w:t>档次</w:t>
            </w:r>
          </w:p>
        </w:tc>
        <w:tc>
          <w:tcPr>
            <w:tcW w:w="1134" w:type="dxa"/>
            <w:vMerge w:val="restart"/>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区片</w:t>
            </w:r>
            <w:r>
              <w:rPr>
                <w:rFonts w:ascii="Times New Roman" w:hAnsi="Times New Roman" w:eastAsia="仿宋" w:cs="Times New Roman"/>
                <w:color w:val="000000"/>
                <w:kern w:val="0"/>
                <w:sz w:val="24"/>
                <w:szCs w:val="24"/>
              </w:rPr>
              <w:t>综合地价（元/亩）</w:t>
            </w:r>
          </w:p>
        </w:tc>
        <w:tc>
          <w:tcPr>
            <w:tcW w:w="3377" w:type="dxa"/>
            <w:gridSpan w:val="2"/>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区片范围</w:t>
            </w:r>
            <w:r>
              <w:rPr>
                <w:rFonts w:ascii="Times New Roman" w:hAnsi="Times New Roman" w:eastAsia="仿宋" w:cs="Times New Roman"/>
                <w:color w:val="000000"/>
                <w:kern w:val="0"/>
                <w:sz w:val="24"/>
                <w:szCs w:val="24"/>
              </w:rPr>
              <w:t>描述</w:t>
            </w:r>
          </w:p>
        </w:tc>
        <w:tc>
          <w:tcPr>
            <w:tcW w:w="1418" w:type="dxa"/>
            <w:vMerge w:val="restart"/>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61" w:type="dxa"/>
            <w:vMerge w:val="continue"/>
            <w:vAlign w:val="center"/>
          </w:tcPr>
          <w:p>
            <w:pPr>
              <w:widowControl/>
              <w:jc w:val="center"/>
              <w:rPr>
                <w:rFonts w:ascii="Times New Roman" w:hAnsi="Times New Roman" w:eastAsia="仿宋" w:cs="Times New Roman"/>
                <w:color w:val="000000"/>
                <w:kern w:val="0"/>
                <w:sz w:val="24"/>
                <w:szCs w:val="24"/>
              </w:rPr>
            </w:pPr>
          </w:p>
        </w:tc>
        <w:tc>
          <w:tcPr>
            <w:tcW w:w="1007" w:type="dxa"/>
            <w:vMerge w:val="continue"/>
            <w:vAlign w:val="center"/>
          </w:tcPr>
          <w:p>
            <w:pPr>
              <w:widowControl/>
              <w:jc w:val="center"/>
              <w:rPr>
                <w:rFonts w:ascii="Times New Roman" w:hAnsi="Times New Roman" w:eastAsia="仿宋" w:cs="Times New Roman"/>
                <w:color w:val="000000"/>
                <w:kern w:val="0"/>
                <w:sz w:val="24"/>
                <w:szCs w:val="24"/>
              </w:rPr>
            </w:pPr>
          </w:p>
        </w:tc>
        <w:tc>
          <w:tcPr>
            <w:tcW w:w="992" w:type="dxa"/>
            <w:vMerge w:val="continue"/>
            <w:vAlign w:val="center"/>
          </w:tcPr>
          <w:p>
            <w:pPr>
              <w:widowControl/>
              <w:jc w:val="center"/>
              <w:rPr>
                <w:rFonts w:ascii="Times New Roman" w:hAnsi="Times New Roman" w:eastAsia="仿宋" w:cs="Times New Roman"/>
                <w:color w:val="000000"/>
                <w:kern w:val="0"/>
                <w:sz w:val="24"/>
                <w:szCs w:val="24"/>
              </w:rPr>
            </w:pPr>
          </w:p>
        </w:tc>
        <w:tc>
          <w:tcPr>
            <w:tcW w:w="1134" w:type="dxa"/>
            <w:vMerge w:val="continue"/>
            <w:vAlign w:val="center"/>
          </w:tcPr>
          <w:p>
            <w:pPr>
              <w:widowControl/>
              <w:jc w:val="center"/>
              <w:rPr>
                <w:rFonts w:ascii="Times New Roman" w:hAnsi="Times New Roman" w:eastAsia="仿宋" w:cs="Times New Roman"/>
                <w:color w:val="000000"/>
                <w:kern w:val="0"/>
                <w:sz w:val="24"/>
                <w:szCs w:val="24"/>
              </w:rPr>
            </w:pPr>
          </w:p>
        </w:tc>
        <w:tc>
          <w:tcPr>
            <w:tcW w:w="1417" w:type="dxa"/>
            <w:noWrap/>
            <w:vAlign w:val="center"/>
          </w:tcPr>
          <w:p>
            <w:pPr>
              <w:widowControl/>
              <w:jc w:val="center"/>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乡镇（街道）名称</w:t>
            </w:r>
          </w:p>
        </w:tc>
        <w:tc>
          <w:tcPr>
            <w:tcW w:w="1960" w:type="dxa"/>
            <w:vAlign w:val="center"/>
          </w:tcPr>
          <w:p>
            <w:pPr>
              <w:widowControl/>
              <w:jc w:val="center"/>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村（社区）名称</w:t>
            </w:r>
          </w:p>
        </w:tc>
        <w:tc>
          <w:tcPr>
            <w:tcW w:w="1418" w:type="dxa"/>
            <w:vMerge w:val="continue"/>
            <w:vAlign w:val="center"/>
          </w:tcPr>
          <w:p>
            <w:pPr>
              <w:widowControl/>
              <w:jc w:val="center"/>
              <w:rPr>
                <w:rFonts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61" w:type="dxa"/>
            <w:vMerge w:val="restart"/>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1</w:t>
            </w:r>
          </w:p>
        </w:tc>
        <w:tc>
          <w:tcPr>
            <w:tcW w:w="1007" w:type="dxa"/>
            <w:vMerge w:val="restart"/>
            <w:vAlign w:val="center"/>
          </w:tcPr>
          <w:p>
            <w:pPr>
              <w:widowControl/>
              <w:jc w:val="center"/>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51322820260001</w:t>
            </w:r>
          </w:p>
        </w:tc>
        <w:tc>
          <w:tcPr>
            <w:tcW w:w="992" w:type="dxa"/>
            <w:vMerge w:val="restart"/>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Ⅰ</w:t>
            </w:r>
          </w:p>
        </w:tc>
        <w:tc>
          <w:tcPr>
            <w:tcW w:w="1134" w:type="dxa"/>
            <w:vMerge w:val="restart"/>
            <w:vAlign w:val="center"/>
          </w:tcPr>
          <w:p>
            <w:pPr>
              <w:widowControl/>
              <w:jc w:val="center"/>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35600</w:t>
            </w:r>
          </w:p>
        </w:tc>
        <w:tc>
          <w:tcPr>
            <w:tcW w:w="1417"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色尔古镇</w:t>
            </w:r>
          </w:p>
        </w:tc>
        <w:tc>
          <w:tcPr>
            <w:tcW w:w="1960"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包含所辖</w:t>
            </w:r>
            <w:r>
              <w:rPr>
                <w:rFonts w:ascii="Times New Roman" w:hAnsi="Times New Roman" w:eastAsia="仿宋" w:cs="Times New Roman"/>
                <w:color w:val="000000"/>
                <w:kern w:val="0"/>
                <w:sz w:val="24"/>
                <w:szCs w:val="24"/>
              </w:rPr>
              <w:t>全部村</w:t>
            </w:r>
          </w:p>
        </w:tc>
        <w:tc>
          <w:tcPr>
            <w:tcW w:w="1418" w:type="dxa"/>
            <w:vMerge w:val="restart"/>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耕地调节系数为1.6，园地调节系数为1.5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61" w:type="dxa"/>
            <w:vMerge w:val="continue"/>
            <w:vAlign w:val="center"/>
          </w:tcPr>
          <w:p>
            <w:pPr>
              <w:widowControl/>
              <w:jc w:val="center"/>
              <w:rPr>
                <w:rFonts w:ascii="Times New Roman" w:hAnsi="Times New Roman" w:eastAsia="仿宋" w:cs="Times New Roman"/>
                <w:color w:val="000000"/>
                <w:kern w:val="0"/>
                <w:sz w:val="24"/>
                <w:szCs w:val="24"/>
              </w:rPr>
            </w:pPr>
          </w:p>
        </w:tc>
        <w:tc>
          <w:tcPr>
            <w:tcW w:w="1007" w:type="dxa"/>
            <w:vMerge w:val="continue"/>
            <w:vAlign w:val="center"/>
          </w:tcPr>
          <w:p>
            <w:pPr>
              <w:widowControl/>
              <w:jc w:val="center"/>
              <w:rPr>
                <w:rFonts w:ascii="Times New Roman" w:hAnsi="Times New Roman" w:eastAsia="仿宋" w:cs="Times New Roman"/>
                <w:color w:val="000000"/>
                <w:kern w:val="0"/>
                <w:sz w:val="24"/>
                <w:szCs w:val="24"/>
              </w:rPr>
            </w:pPr>
          </w:p>
        </w:tc>
        <w:tc>
          <w:tcPr>
            <w:tcW w:w="992" w:type="dxa"/>
            <w:vMerge w:val="continue"/>
            <w:vAlign w:val="center"/>
          </w:tcPr>
          <w:p>
            <w:pPr>
              <w:widowControl/>
              <w:jc w:val="center"/>
              <w:rPr>
                <w:rFonts w:ascii="Times New Roman" w:hAnsi="Times New Roman" w:eastAsia="仿宋" w:cs="Times New Roman"/>
                <w:color w:val="000000"/>
                <w:kern w:val="0"/>
                <w:sz w:val="24"/>
                <w:szCs w:val="24"/>
              </w:rPr>
            </w:pPr>
          </w:p>
        </w:tc>
        <w:tc>
          <w:tcPr>
            <w:tcW w:w="1134" w:type="dxa"/>
            <w:vMerge w:val="continue"/>
            <w:vAlign w:val="center"/>
          </w:tcPr>
          <w:p>
            <w:pPr>
              <w:widowControl/>
              <w:jc w:val="center"/>
              <w:rPr>
                <w:rFonts w:ascii="Times New Roman" w:hAnsi="Times New Roman" w:eastAsia="仿宋" w:cs="Times New Roman"/>
                <w:color w:val="000000"/>
                <w:kern w:val="0"/>
                <w:sz w:val="24"/>
                <w:szCs w:val="24"/>
              </w:rPr>
            </w:pPr>
          </w:p>
        </w:tc>
        <w:tc>
          <w:tcPr>
            <w:tcW w:w="1417"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西尔镇</w:t>
            </w:r>
          </w:p>
        </w:tc>
        <w:tc>
          <w:tcPr>
            <w:tcW w:w="1960"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包含所辖</w:t>
            </w:r>
            <w:r>
              <w:rPr>
                <w:rFonts w:ascii="Times New Roman" w:hAnsi="Times New Roman" w:eastAsia="仿宋" w:cs="Times New Roman"/>
                <w:color w:val="000000"/>
                <w:kern w:val="0"/>
                <w:sz w:val="24"/>
                <w:szCs w:val="24"/>
              </w:rPr>
              <w:t>全部村</w:t>
            </w:r>
          </w:p>
        </w:tc>
        <w:tc>
          <w:tcPr>
            <w:tcW w:w="1418" w:type="dxa"/>
            <w:vMerge w:val="continue"/>
            <w:vAlign w:val="center"/>
          </w:tcPr>
          <w:p>
            <w:pPr>
              <w:widowControl/>
              <w:jc w:val="center"/>
              <w:rPr>
                <w:rFonts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61" w:type="dxa"/>
            <w:vMerge w:val="continue"/>
            <w:vAlign w:val="center"/>
          </w:tcPr>
          <w:p>
            <w:pPr>
              <w:widowControl/>
              <w:jc w:val="center"/>
              <w:rPr>
                <w:rFonts w:ascii="Times New Roman" w:hAnsi="Times New Roman" w:eastAsia="仿宋" w:cs="Times New Roman"/>
                <w:color w:val="000000"/>
                <w:kern w:val="0"/>
                <w:sz w:val="24"/>
                <w:szCs w:val="24"/>
              </w:rPr>
            </w:pPr>
          </w:p>
        </w:tc>
        <w:tc>
          <w:tcPr>
            <w:tcW w:w="1007" w:type="dxa"/>
            <w:vMerge w:val="continue"/>
            <w:vAlign w:val="center"/>
          </w:tcPr>
          <w:p>
            <w:pPr>
              <w:widowControl/>
              <w:jc w:val="center"/>
              <w:rPr>
                <w:rFonts w:ascii="Times New Roman" w:hAnsi="Times New Roman" w:eastAsia="仿宋" w:cs="Times New Roman"/>
                <w:color w:val="000000"/>
                <w:kern w:val="0"/>
                <w:sz w:val="24"/>
                <w:szCs w:val="24"/>
              </w:rPr>
            </w:pPr>
          </w:p>
        </w:tc>
        <w:tc>
          <w:tcPr>
            <w:tcW w:w="992" w:type="dxa"/>
            <w:vMerge w:val="continue"/>
            <w:vAlign w:val="center"/>
          </w:tcPr>
          <w:p>
            <w:pPr>
              <w:widowControl/>
              <w:jc w:val="center"/>
              <w:rPr>
                <w:rFonts w:ascii="Times New Roman" w:hAnsi="Times New Roman" w:eastAsia="仿宋" w:cs="Times New Roman"/>
                <w:color w:val="000000"/>
                <w:kern w:val="0"/>
                <w:sz w:val="24"/>
                <w:szCs w:val="24"/>
              </w:rPr>
            </w:pPr>
          </w:p>
        </w:tc>
        <w:tc>
          <w:tcPr>
            <w:tcW w:w="1134" w:type="dxa"/>
            <w:vMerge w:val="continue"/>
            <w:vAlign w:val="center"/>
          </w:tcPr>
          <w:p>
            <w:pPr>
              <w:widowControl/>
              <w:jc w:val="center"/>
              <w:rPr>
                <w:rFonts w:ascii="Times New Roman" w:hAnsi="Times New Roman" w:eastAsia="仿宋" w:cs="Times New Roman"/>
                <w:color w:val="000000"/>
                <w:kern w:val="0"/>
                <w:sz w:val="24"/>
                <w:szCs w:val="24"/>
              </w:rPr>
            </w:pPr>
          </w:p>
        </w:tc>
        <w:tc>
          <w:tcPr>
            <w:tcW w:w="1417"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木苏镇</w:t>
            </w:r>
          </w:p>
        </w:tc>
        <w:tc>
          <w:tcPr>
            <w:tcW w:w="1960"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包含所辖</w:t>
            </w:r>
            <w:r>
              <w:rPr>
                <w:rFonts w:ascii="Times New Roman" w:hAnsi="Times New Roman" w:eastAsia="仿宋" w:cs="Times New Roman"/>
                <w:color w:val="000000"/>
                <w:kern w:val="0"/>
                <w:sz w:val="24"/>
                <w:szCs w:val="24"/>
              </w:rPr>
              <w:t>全部村</w:t>
            </w:r>
          </w:p>
        </w:tc>
        <w:tc>
          <w:tcPr>
            <w:tcW w:w="1418" w:type="dxa"/>
            <w:vMerge w:val="continue"/>
            <w:vAlign w:val="center"/>
          </w:tcPr>
          <w:p>
            <w:pPr>
              <w:widowControl/>
              <w:jc w:val="center"/>
              <w:rPr>
                <w:rFonts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61" w:type="dxa"/>
            <w:vMerge w:val="continue"/>
            <w:vAlign w:val="center"/>
          </w:tcPr>
          <w:p>
            <w:pPr>
              <w:widowControl/>
              <w:jc w:val="center"/>
              <w:rPr>
                <w:rFonts w:ascii="Times New Roman" w:hAnsi="Times New Roman" w:eastAsia="仿宋" w:cs="Times New Roman"/>
                <w:color w:val="000000"/>
                <w:kern w:val="0"/>
                <w:sz w:val="24"/>
                <w:szCs w:val="24"/>
              </w:rPr>
            </w:pPr>
          </w:p>
        </w:tc>
        <w:tc>
          <w:tcPr>
            <w:tcW w:w="1007" w:type="dxa"/>
            <w:vMerge w:val="continue"/>
            <w:vAlign w:val="center"/>
          </w:tcPr>
          <w:p>
            <w:pPr>
              <w:widowControl/>
              <w:jc w:val="center"/>
              <w:rPr>
                <w:rFonts w:ascii="Times New Roman" w:hAnsi="Times New Roman" w:eastAsia="仿宋" w:cs="Times New Roman"/>
                <w:color w:val="000000"/>
                <w:kern w:val="0"/>
                <w:sz w:val="24"/>
                <w:szCs w:val="24"/>
              </w:rPr>
            </w:pPr>
          </w:p>
        </w:tc>
        <w:tc>
          <w:tcPr>
            <w:tcW w:w="992" w:type="dxa"/>
            <w:vMerge w:val="continue"/>
            <w:vAlign w:val="center"/>
          </w:tcPr>
          <w:p>
            <w:pPr>
              <w:widowControl/>
              <w:jc w:val="center"/>
              <w:rPr>
                <w:rFonts w:ascii="Times New Roman" w:hAnsi="Times New Roman" w:eastAsia="仿宋" w:cs="Times New Roman"/>
                <w:color w:val="000000"/>
                <w:kern w:val="0"/>
                <w:sz w:val="24"/>
                <w:szCs w:val="24"/>
              </w:rPr>
            </w:pPr>
          </w:p>
        </w:tc>
        <w:tc>
          <w:tcPr>
            <w:tcW w:w="1134" w:type="dxa"/>
            <w:vMerge w:val="continue"/>
            <w:vAlign w:val="center"/>
          </w:tcPr>
          <w:p>
            <w:pPr>
              <w:widowControl/>
              <w:jc w:val="center"/>
              <w:rPr>
                <w:rFonts w:ascii="Times New Roman" w:hAnsi="Times New Roman" w:eastAsia="仿宋" w:cs="Times New Roman"/>
                <w:color w:val="000000"/>
                <w:kern w:val="0"/>
                <w:sz w:val="24"/>
                <w:szCs w:val="24"/>
              </w:rPr>
            </w:pPr>
          </w:p>
        </w:tc>
        <w:tc>
          <w:tcPr>
            <w:tcW w:w="1417"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知木林镇</w:t>
            </w:r>
          </w:p>
        </w:tc>
        <w:tc>
          <w:tcPr>
            <w:tcW w:w="1960"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包含所辖</w:t>
            </w:r>
            <w:r>
              <w:rPr>
                <w:rFonts w:ascii="Times New Roman" w:hAnsi="Times New Roman" w:eastAsia="仿宋" w:cs="Times New Roman"/>
                <w:color w:val="000000"/>
                <w:kern w:val="0"/>
                <w:sz w:val="24"/>
                <w:szCs w:val="24"/>
              </w:rPr>
              <w:t>全部村</w:t>
            </w:r>
          </w:p>
        </w:tc>
        <w:tc>
          <w:tcPr>
            <w:tcW w:w="1418" w:type="dxa"/>
            <w:vMerge w:val="continue"/>
            <w:vAlign w:val="center"/>
          </w:tcPr>
          <w:p>
            <w:pPr>
              <w:widowControl/>
              <w:jc w:val="center"/>
              <w:rPr>
                <w:rFonts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61" w:type="dxa"/>
            <w:vMerge w:val="continue"/>
            <w:vAlign w:val="center"/>
          </w:tcPr>
          <w:p>
            <w:pPr>
              <w:widowControl/>
              <w:jc w:val="center"/>
              <w:rPr>
                <w:rFonts w:ascii="Times New Roman" w:hAnsi="Times New Roman" w:eastAsia="仿宋" w:cs="Times New Roman"/>
                <w:color w:val="000000"/>
                <w:kern w:val="0"/>
                <w:sz w:val="24"/>
                <w:szCs w:val="24"/>
              </w:rPr>
            </w:pPr>
          </w:p>
        </w:tc>
        <w:tc>
          <w:tcPr>
            <w:tcW w:w="1007" w:type="dxa"/>
            <w:vMerge w:val="continue"/>
            <w:vAlign w:val="center"/>
          </w:tcPr>
          <w:p>
            <w:pPr>
              <w:widowControl/>
              <w:jc w:val="center"/>
              <w:rPr>
                <w:rFonts w:ascii="Times New Roman" w:hAnsi="Times New Roman" w:eastAsia="仿宋" w:cs="Times New Roman"/>
                <w:color w:val="000000"/>
                <w:kern w:val="0"/>
                <w:sz w:val="24"/>
                <w:szCs w:val="24"/>
              </w:rPr>
            </w:pPr>
          </w:p>
        </w:tc>
        <w:tc>
          <w:tcPr>
            <w:tcW w:w="992" w:type="dxa"/>
            <w:vMerge w:val="continue"/>
            <w:vAlign w:val="center"/>
          </w:tcPr>
          <w:p>
            <w:pPr>
              <w:widowControl/>
              <w:jc w:val="center"/>
              <w:rPr>
                <w:rFonts w:ascii="Times New Roman" w:hAnsi="Times New Roman" w:eastAsia="仿宋" w:cs="Times New Roman"/>
                <w:color w:val="000000"/>
                <w:kern w:val="0"/>
                <w:sz w:val="24"/>
                <w:szCs w:val="24"/>
              </w:rPr>
            </w:pPr>
          </w:p>
        </w:tc>
        <w:tc>
          <w:tcPr>
            <w:tcW w:w="1134" w:type="dxa"/>
            <w:vMerge w:val="continue"/>
            <w:vAlign w:val="center"/>
          </w:tcPr>
          <w:p>
            <w:pPr>
              <w:widowControl/>
              <w:jc w:val="center"/>
              <w:rPr>
                <w:rFonts w:ascii="Times New Roman" w:hAnsi="Times New Roman" w:eastAsia="仿宋" w:cs="Times New Roman"/>
                <w:color w:val="000000"/>
                <w:kern w:val="0"/>
                <w:sz w:val="24"/>
                <w:szCs w:val="24"/>
              </w:rPr>
            </w:pPr>
          </w:p>
        </w:tc>
        <w:tc>
          <w:tcPr>
            <w:tcW w:w="1417"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扎窝镇</w:t>
            </w:r>
          </w:p>
        </w:tc>
        <w:tc>
          <w:tcPr>
            <w:tcW w:w="1960"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包含所辖</w:t>
            </w:r>
            <w:r>
              <w:rPr>
                <w:rFonts w:ascii="Times New Roman" w:hAnsi="Times New Roman" w:eastAsia="仿宋" w:cs="Times New Roman"/>
                <w:color w:val="000000"/>
                <w:kern w:val="0"/>
                <w:sz w:val="24"/>
                <w:szCs w:val="24"/>
              </w:rPr>
              <w:t>全部村</w:t>
            </w:r>
          </w:p>
        </w:tc>
        <w:tc>
          <w:tcPr>
            <w:tcW w:w="1418" w:type="dxa"/>
            <w:vMerge w:val="continue"/>
            <w:vAlign w:val="center"/>
          </w:tcPr>
          <w:p>
            <w:pPr>
              <w:widowControl/>
              <w:jc w:val="center"/>
              <w:rPr>
                <w:rFonts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61" w:type="dxa"/>
            <w:vMerge w:val="continue"/>
            <w:vAlign w:val="center"/>
          </w:tcPr>
          <w:p>
            <w:pPr>
              <w:widowControl/>
              <w:jc w:val="center"/>
              <w:rPr>
                <w:rFonts w:ascii="Times New Roman" w:hAnsi="Times New Roman" w:eastAsia="仿宋" w:cs="Times New Roman"/>
                <w:color w:val="000000"/>
                <w:kern w:val="0"/>
                <w:sz w:val="24"/>
                <w:szCs w:val="24"/>
              </w:rPr>
            </w:pPr>
          </w:p>
        </w:tc>
        <w:tc>
          <w:tcPr>
            <w:tcW w:w="1007" w:type="dxa"/>
            <w:vMerge w:val="continue"/>
            <w:vAlign w:val="center"/>
          </w:tcPr>
          <w:p>
            <w:pPr>
              <w:widowControl/>
              <w:jc w:val="center"/>
              <w:rPr>
                <w:rFonts w:ascii="Times New Roman" w:hAnsi="Times New Roman" w:eastAsia="仿宋" w:cs="Times New Roman"/>
                <w:color w:val="000000"/>
                <w:kern w:val="0"/>
                <w:sz w:val="24"/>
                <w:szCs w:val="24"/>
              </w:rPr>
            </w:pPr>
          </w:p>
        </w:tc>
        <w:tc>
          <w:tcPr>
            <w:tcW w:w="992" w:type="dxa"/>
            <w:vMerge w:val="continue"/>
            <w:vAlign w:val="center"/>
          </w:tcPr>
          <w:p>
            <w:pPr>
              <w:widowControl/>
              <w:jc w:val="center"/>
              <w:rPr>
                <w:rFonts w:ascii="Times New Roman" w:hAnsi="Times New Roman" w:eastAsia="仿宋" w:cs="Times New Roman"/>
                <w:color w:val="000000"/>
                <w:kern w:val="0"/>
                <w:sz w:val="24"/>
                <w:szCs w:val="24"/>
              </w:rPr>
            </w:pPr>
          </w:p>
        </w:tc>
        <w:tc>
          <w:tcPr>
            <w:tcW w:w="1134" w:type="dxa"/>
            <w:vMerge w:val="continue"/>
            <w:vAlign w:val="center"/>
          </w:tcPr>
          <w:p>
            <w:pPr>
              <w:widowControl/>
              <w:jc w:val="center"/>
              <w:rPr>
                <w:rFonts w:ascii="Times New Roman" w:hAnsi="Times New Roman" w:eastAsia="仿宋" w:cs="Times New Roman"/>
                <w:color w:val="000000"/>
                <w:kern w:val="0"/>
                <w:sz w:val="24"/>
                <w:szCs w:val="24"/>
              </w:rPr>
            </w:pPr>
          </w:p>
        </w:tc>
        <w:tc>
          <w:tcPr>
            <w:tcW w:w="1417"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瓦钵梁子乡</w:t>
            </w:r>
          </w:p>
        </w:tc>
        <w:tc>
          <w:tcPr>
            <w:tcW w:w="1960"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包含所辖</w:t>
            </w:r>
            <w:r>
              <w:rPr>
                <w:rFonts w:ascii="Times New Roman" w:hAnsi="Times New Roman" w:eastAsia="仿宋" w:cs="Times New Roman"/>
                <w:color w:val="000000"/>
                <w:kern w:val="0"/>
                <w:sz w:val="24"/>
                <w:szCs w:val="24"/>
              </w:rPr>
              <w:t>全部村</w:t>
            </w:r>
          </w:p>
        </w:tc>
        <w:tc>
          <w:tcPr>
            <w:tcW w:w="1418" w:type="dxa"/>
            <w:vMerge w:val="continue"/>
            <w:vAlign w:val="center"/>
          </w:tcPr>
          <w:p>
            <w:pPr>
              <w:widowControl/>
              <w:jc w:val="center"/>
              <w:rPr>
                <w:rFonts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61" w:type="dxa"/>
            <w:vMerge w:val="continue"/>
            <w:vAlign w:val="center"/>
          </w:tcPr>
          <w:p>
            <w:pPr>
              <w:widowControl/>
              <w:jc w:val="center"/>
              <w:rPr>
                <w:rFonts w:ascii="Times New Roman" w:hAnsi="Times New Roman" w:eastAsia="仿宋" w:cs="Times New Roman"/>
                <w:color w:val="000000"/>
                <w:kern w:val="0"/>
                <w:sz w:val="24"/>
                <w:szCs w:val="24"/>
              </w:rPr>
            </w:pPr>
          </w:p>
        </w:tc>
        <w:tc>
          <w:tcPr>
            <w:tcW w:w="1007" w:type="dxa"/>
            <w:vMerge w:val="continue"/>
            <w:vAlign w:val="center"/>
          </w:tcPr>
          <w:p>
            <w:pPr>
              <w:widowControl/>
              <w:jc w:val="center"/>
              <w:rPr>
                <w:rFonts w:ascii="Times New Roman" w:hAnsi="Times New Roman" w:eastAsia="仿宋" w:cs="Times New Roman"/>
                <w:color w:val="000000"/>
                <w:kern w:val="0"/>
                <w:sz w:val="24"/>
                <w:szCs w:val="24"/>
              </w:rPr>
            </w:pPr>
          </w:p>
        </w:tc>
        <w:tc>
          <w:tcPr>
            <w:tcW w:w="992" w:type="dxa"/>
            <w:vMerge w:val="continue"/>
            <w:vAlign w:val="center"/>
          </w:tcPr>
          <w:p>
            <w:pPr>
              <w:widowControl/>
              <w:jc w:val="center"/>
              <w:rPr>
                <w:rFonts w:ascii="Times New Roman" w:hAnsi="Times New Roman" w:eastAsia="仿宋" w:cs="Times New Roman"/>
                <w:color w:val="000000"/>
                <w:kern w:val="0"/>
                <w:sz w:val="24"/>
                <w:szCs w:val="24"/>
              </w:rPr>
            </w:pPr>
          </w:p>
        </w:tc>
        <w:tc>
          <w:tcPr>
            <w:tcW w:w="1134" w:type="dxa"/>
            <w:vMerge w:val="continue"/>
            <w:vAlign w:val="center"/>
          </w:tcPr>
          <w:p>
            <w:pPr>
              <w:widowControl/>
              <w:jc w:val="center"/>
              <w:rPr>
                <w:rFonts w:ascii="Times New Roman" w:hAnsi="Times New Roman" w:eastAsia="仿宋" w:cs="Times New Roman"/>
                <w:color w:val="000000"/>
                <w:kern w:val="0"/>
                <w:sz w:val="24"/>
                <w:szCs w:val="24"/>
              </w:rPr>
            </w:pPr>
          </w:p>
        </w:tc>
        <w:tc>
          <w:tcPr>
            <w:tcW w:w="1417"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维古乡</w:t>
            </w:r>
          </w:p>
        </w:tc>
        <w:tc>
          <w:tcPr>
            <w:tcW w:w="1960"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包含所辖</w:t>
            </w:r>
            <w:r>
              <w:rPr>
                <w:rFonts w:ascii="Times New Roman" w:hAnsi="Times New Roman" w:eastAsia="仿宋" w:cs="Times New Roman"/>
                <w:color w:val="000000"/>
                <w:kern w:val="0"/>
                <w:sz w:val="24"/>
                <w:szCs w:val="24"/>
              </w:rPr>
              <w:t>全部村</w:t>
            </w:r>
          </w:p>
        </w:tc>
        <w:tc>
          <w:tcPr>
            <w:tcW w:w="1418" w:type="dxa"/>
            <w:vMerge w:val="continue"/>
            <w:vAlign w:val="center"/>
          </w:tcPr>
          <w:p>
            <w:pPr>
              <w:widowControl/>
              <w:jc w:val="center"/>
              <w:rPr>
                <w:rFonts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61" w:type="dxa"/>
            <w:vMerge w:val="restart"/>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2</w:t>
            </w:r>
          </w:p>
        </w:tc>
        <w:tc>
          <w:tcPr>
            <w:tcW w:w="1007" w:type="dxa"/>
            <w:vMerge w:val="restart"/>
            <w:vAlign w:val="center"/>
          </w:tcPr>
          <w:p>
            <w:pPr>
              <w:widowControl/>
              <w:jc w:val="center"/>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51322820260002</w:t>
            </w:r>
          </w:p>
        </w:tc>
        <w:tc>
          <w:tcPr>
            <w:tcW w:w="992" w:type="dxa"/>
            <w:vMerge w:val="restart"/>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Ⅱ</w:t>
            </w:r>
          </w:p>
        </w:tc>
        <w:tc>
          <w:tcPr>
            <w:tcW w:w="1134" w:type="dxa"/>
            <w:vMerge w:val="restart"/>
            <w:vAlign w:val="center"/>
          </w:tcPr>
          <w:p>
            <w:pPr>
              <w:widowControl/>
              <w:jc w:val="center"/>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33800</w:t>
            </w:r>
          </w:p>
        </w:tc>
        <w:tc>
          <w:tcPr>
            <w:tcW w:w="1417"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芦花镇</w:t>
            </w:r>
          </w:p>
        </w:tc>
        <w:tc>
          <w:tcPr>
            <w:tcW w:w="1960"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包含所辖</w:t>
            </w:r>
            <w:r>
              <w:rPr>
                <w:rFonts w:ascii="Times New Roman" w:hAnsi="Times New Roman" w:eastAsia="仿宋" w:cs="Times New Roman"/>
                <w:color w:val="000000"/>
                <w:kern w:val="0"/>
                <w:sz w:val="24"/>
                <w:szCs w:val="24"/>
              </w:rPr>
              <w:t>全部村</w:t>
            </w:r>
          </w:p>
        </w:tc>
        <w:tc>
          <w:tcPr>
            <w:tcW w:w="1418" w:type="dxa"/>
            <w:vMerge w:val="continue"/>
            <w:vAlign w:val="center"/>
          </w:tcPr>
          <w:p>
            <w:pPr>
              <w:widowControl/>
              <w:jc w:val="center"/>
              <w:rPr>
                <w:rFonts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61" w:type="dxa"/>
            <w:vMerge w:val="continue"/>
            <w:vAlign w:val="center"/>
          </w:tcPr>
          <w:p>
            <w:pPr>
              <w:widowControl/>
              <w:jc w:val="center"/>
              <w:rPr>
                <w:rFonts w:ascii="Times New Roman" w:hAnsi="Times New Roman" w:eastAsia="仿宋" w:cs="Times New Roman"/>
                <w:color w:val="000000"/>
                <w:kern w:val="0"/>
                <w:sz w:val="24"/>
                <w:szCs w:val="24"/>
              </w:rPr>
            </w:pPr>
          </w:p>
        </w:tc>
        <w:tc>
          <w:tcPr>
            <w:tcW w:w="1007" w:type="dxa"/>
            <w:vMerge w:val="continue"/>
            <w:vAlign w:val="center"/>
          </w:tcPr>
          <w:p>
            <w:pPr>
              <w:widowControl/>
              <w:jc w:val="center"/>
              <w:rPr>
                <w:rFonts w:ascii="Times New Roman" w:hAnsi="Times New Roman" w:eastAsia="仿宋" w:cs="Times New Roman"/>
                <w:color w:val="000000"/>
                <w:kern w:val="0"/>
                <w:sz w:val="24"/>
                <w:szCs w:val="24"/>
              </w:rPr>
            </w:pPr>
          </w:p>
        </w:tc>
        <w:tc>
          <w:tcPr>
            <w:tcW w:w="992" w:type="dxa"/>
            <w:vMerge w:val="continue"/>
            <w:vAlign w:val="center"/>
          </w:tcPr>
          <w:p>
            <w:pPr>
              <w:widowControl/>
              <w:jc w:val="center"/>
              <w:rPr>
                <w:rFonts w:ascii="Times New Roman" w:hAnsi="Times New Roman" w:eastAsia="仿宋" w:cs="Times New Roman"/>
                <w:color w:val="000000"/>
                <w:kern w:val="0"/>
                <w:sz w:val="24"/>
                <w:szCs w:val="24"/>
              </w:rPr>
            </w:pPr>
          </w:p>
        </w:tc>
        <w:tc>
          <w:tcPr>
            <w:tcW w:w="1134" w:type="dxa"/>
            <w:vMerge w:val="continue"/>
            <w:vAlign w:val="center"/>
          </w:tcPr>
          <w:p>
            <w:pPr>
              <w:widowControl/>
              <w:jc w:val="center"/>
              <w:rPr>
                <w:rFonts w:ascii="Times New Roman" w:hAnsi="Times New Roman" w:eastAsia="仿宋" w:cs="Times New Roman"/>
                <w:color w:val="000000"/>
                <w:kern w:val="0"/>
                <w:sz w:val="24"/>
                <w:szCs w:val="24"/>
              </w:rPr>
            </w:pPr>
          </w:p>
        </w:tc>
        <w:tc>
          <w:tcPr>
            <w:tcW w:w="1417"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石碉楼乡</w:t>
            </w:r>
          </w:p>
        </w:tc>
        <w:tc>
          <w:tcPr>
            <w:tcW w:w="1960"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包含所辖</w:t>
            </w:r>
            <w:r>
              <w:rPr>
                <w:rFonts w:ascii="Times New Roman" w:hAnsi="Times New Roman" w:eastAsia="仿宋" w:cs="Times New Roman"/>
                <w:color w:val="000000"/>
                <w:kern w:val="0"/>
                <w:sz w:val="24"/>
                <w:szCs w:val="24"/>
              </w:rPr>
              <w:t>全部村</w:t>
            </w:r>
          </w:p>
        </w:tc>
        <w:tc>
          <w:tcPr>
            <w:tcW w:w="1418" w:type="dxa"/>
            <w:vMerge w:val="continue"/>
            <w:vAlign w:val="center"/>
          </w:tcPr>
          <w:p>
            <w:pPr>
              <w:widowControl/>
              <w:jc w:val="center"/>
              <w:rPr>
                <w:rFonts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61" w:type="dxa"/>
            <w:vMerge w:val="continue"/>
            <w:vAlign w:val="center"/>
          </w:tcPr>
          <w:p>
            <w:pPr>
              <w:widowControl/>
              <w:jc w:val="center"/>
              <w:rPr>
                <w:rFonts w:ascii="Times New Roman" w:hAnsi="Times New Roman" w:eastAsia="仿宋" w:cs="Times New Roman"/>
                <w:color w:val="000000"/>
                <w:kern w:val="0"/>
                <w:sz w:val="24"/>
                <w:szCs w:val="24"/>
              </w:rPr>
            </w:pPr>
          </w:p>
        </w:tc>
        <w:tc>
          <w:tcPr>
            <w:tcW w:w="1007" w:type="dxa"/>
            <w:vMerge w:val="continue"/>
            <w:vAlign w:val="center"/>
          </w:tcPr>
          <w:p>
            <w:pPr>
              <w:widowControl/>
              <w:jc w:val="center"/>
              <w:rPr>
                <w:rFonts w:ascii="Times New Roman" w:hAnsi="Times New Roman" w:eastAsia="仿宋" w:cs="Times New Roman"/>
                <w:color w:val="000000"/>
                <w:kern w:val="0"/>
                <w:sz w:val="24"/>
                <w:szCs w:val="24"/>
              </w:rPr>
            </w:pPr>
          </w:p>
        </w:tc>
        <w:tc>
          <w:tcPr>
            <w:tcW w:w="992" w:type="dxa"/>
            <w:vMerge w:val="continue"/>
            <w:vAlign w:val="center"/>
          </w:tcPr>
          <w:p>
            <w:pPr>
              <w:widowControl/>
              <w:jc w:val="center"/>
              <w:rPr>
                <w:rFonts w:ascii="Times New Roman" w:hAnsi="Times New Roman" w:eastAsia="仿宋" w:cs="Times New Roman"/>
                <w:color w:val="000000"/>
                <w:kern w:val="0"/>
                <w:sz w:val="24"/>
                <w:szCs w:val="24"/>
              </w:rPr>
            </w:pPr>
          </w:p>
        </w:tc>
        <w:tc>
          <w:tcPr>
            <w:tcW w:w="1134" w:type="dxa"/>
            <w:vMerge w:val="continue"/>
            <w:vAlign w:val="center"/>
          </w:tcPr>
          <w:p>
            <w:pPr>
              <w:widowControl/>
              <w:jc w:val="center"/>
              <w:rPr>
                <w:rFonts w:ascii="Times New Roman" w:hAnsi="Times New Roman" w:eastAsia="仿宋" w:cs="Times New Roman"/>
                <w:color w:val="000000"/>
                <w:kern w:val="0"/>
                <w:sz w:val="24"/>
                <w:szCs w:val="24"/>
              </w:rPr>
            </w:pPr>
          </w:p>
        </w:tc>
        <w:tc>
          <w:tcPr>
            <w:tcW w:w="1417"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龙坝乡</w:t>
            </w:r>
          </w:p>
        </w:tc>
        <w:tc>
          <w:tcPr>
            <w:tcW w:w="1960"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包含所辖</w:t>
            </w:r>
            <w:r>
              <w:rPr>
                <w:rFonts w:ascii="Times New Roman" w:hAnsi="Times New Roman" w:eastAsia="仿宋" w:cs="Times New Roman"/>
                <w:color w:val="000000"/>
                <w:kern w:val="0"/>
                <w:sz w:val="24"/>
                <w:szCs w:val="24"/>
              </w:rPr>
              <w:t>全部村</w:t>
            </w:r>
          </w:p>
        </w:tc>
        <w:tc>
          <w:tcPr>
            <w:tcW w:w="1418" w:type="dxa"/>
            <w:vMerge w:val="continue"/>
            <w:vAlign w:val="center"/>
          </w:tcPr>
          <w:p>
            <w:pPr>
              <w:widowControl/>
              <w:jc w:val="center"/>
              <w:rPr>
                <w:rFonts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61" w:type="dxa"/>
            <w:vMerge w:val="continue"/>
            <w:vAlign w:val="center"/>
          </w:tcPr>
          <w:p>
            <w:pPr>
              <w:widowControl/>
              <w:jc w:val="center"/>
              <w:rPr>
                <w:rFonts w:ascii="Times New Roman" w:hAnsi="Times New Roman" w:eastAsia="仿宋" w:cs="Times New Roman"/>
                <w:color w:val="000000"/>
                <w:kern w:val="0"/>
                <w:sz w:val="24"/>
                <w:szCs w:val="24"/>
              </w:rPr>
            </w:pPr>
          </w:p>
        </w:tc>
        <w:tc>
          <w:tcPr>
            <w:tcW w:w="1007" w:type="dxa"/>
            <w:vMerge w:val="continue"/>
            <w:vAlign w:val="center"/>
          </w:tcPr>
          <w:p>
            <w:pPr>
              <w:widowControl/>
              <w:jc w:val="center"/>
              <w:rPr>
                <w:rFonts w:ascii="Times New Roman" w:hAnsi="Times New Roman" w:eastAsia="仿宋" w:cs="Times New Roman"/>
                <w:color w:val="000000"/>
                <w:kern w:val="0"/>
                <w:sz w:val="24"/>
                <w:szCs w:val="24"/>
              </w:rPr>
            </w:pPr>
          </w:p>
        </w:tc>
        <w:tc>
          <w:tcPr>
            <w:tcW w:w="992" w:type="dxa"/>
            <w:vMerge w:val="continue"/>
            <w:vAlign w:val="center"/>
          </w:tcPr>
          <w:p>
            <w:pPr>
              <w:widowControl/>
              <w:jc w:val="center"/>
              <w:rPr>
                <w:rFonts w:ascii="Times New Roman" w:hAnsi="Times New Roman" w:eastAsia="仿宋" w:cs="Times New Roman"/>
                <w:color w:val="000000"/>
                <w:kern w:val="0"/>
                <w:sz w:val="24"/>
                <w:szCs w:val="24"/>
              </w:rPr>
            </w:pPr>
          </w:p>
        </w:tc>
        <w:tc>
          <w:tcPr>
            <w:tcW w:w="1134" w:type="dxa"/>
            <w:vMerge w:val="continue"/>
            <w:vAlign w:val="center"/>
          </w:tcPr>
          <w:p>
            <w:pPr>
              <w:widowControl/>
              <w:jc w:val="center"/>
              <w:rPr>
                <w:rFonts w:ascii="Times New Roman" w:hAnsi="Times New Roman" w:eastAsia="仿宋" w:cs="Times New Roman"/>
                <w:color w:val="000000"/>
                <w:kern w:val="0"/>
                <w:sz w:val="24"/>
                <w:szCs w:val="24"/>
              </w:rPr>
            </w:pPr>
          </w:p>
        </w:tc>
        <w:tc>
          <w:tcPr>
            <w:tcW w:w="1417"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慈坝乡</w:t>
            </w:r>
          </w:p>
        </w:tc>
        <w:tc>
          <w:tcPr>
            <w:tcW w:w="1960"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包含所辖</w:t>
            </w:r>
            <w:r>
              <w:rPr>
                <w:rFonts w:ascii="Times New Roman" w:hAnsi="Times New Roman" w:eastAsia="仿宋" w:cs="Times New Roman"/>
                <w:color w:val="000000"/>
                <w:kern w:val="0"/>
                <w:sz w:val="24"/>
                <w:szCs w:val="24"/>
              </w:rPr>
              <w:t>全部村</w:t>
            </w:r>
          </w:p>
        </w:tc>
        <w:tc>
          <w:tcPr>
            <w:tcW w:w="1418" w:type="dxa"/>
            <w:vMerge w:val="continue"/>
            <w:vAlign w:val="center"/>
          </w:tcPr>
          <w:p>
            <w:pPr>
              <w:widowControl/>
              <w:jc w:val="center"/>
              <w:rPr>
                <w:rFonts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61" w:type="dxa"/>
            <w:vMerge w:val="restart"/>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3</w:t>
            </w:r>
          </w:p>
        </w:tc>
        <w:tc>
          <w:tcPr>
            <w:tcW w:w="1007" w:type="dxa"/>
            <w:vMerge w:val="restart"/>
            <w:vAlign w:val="center"/>
          </w:tcPr>
          <w:p>
            <w:pPr>
              <w:widowControl/>
              <w:jc w:val="center"/>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51322820260003</w:t>
            </w:r>
          </w:p>
        </w:tc>
        <w:tc>
          <w:tcPr>
            <w:tcW w:w="992" w:type="dxa"/>
            <w:vMerge w:val="restart"/>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Ш</w:t>
            </w:r>
          </w:p>
        </w:tc>
        <w:tc>
          <w:tcPr>
            <w:tcW w:w="1134" w:type="dxa"/>
            <w:vMerge w:val="restart"/>
            <w:vAlign w:val="center"/>
          </w:tcPr>
          <w:p>
            <w:pPr>
              <w:widowControl/>
              <w:jc w:val="center"/>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32200</w:t>
            </w:r>
          </w:p>
        </w:tc>
        <w:tc>
          <w:tcPr>
            <w:tcW w:w="1417"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卡龙镇</w:t>
            </w:r>
          </w:p>
        </w:tc>
        <w:tc>
          <w:tcPr>
            <w:tcW w:w="1960"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包含所辖</w:t>
            </w:r>
            <w:r>
              <w:rPr>
                <w:rFonts w:ascii="Times New Roman" w:hAnsi="Times New Roman" w:eastAsia="仿宋" w:cs="Times New Roman"/>
                <w:color w:val="000000"/>
                <w:kern w:val="0"/>
                <w:sz w:val="24"/>
                <w:szCs w:val="24"/>
              </w:rPr>
              <w:t>全部村</w:t>
            </w:r>
          </w:p>
        </w:tc>
        <w:tc>
          <w:tcPr>
            <w:tcW w:w="1418" w:type="dxa"/>
            <w:vMerge w:val="continue"/>
            <w:vAlign w:val="center"/>
          </w:tcPr>
          <w:p>
            <w:pPr>
              <w:widowControl/>
              <w:jc w:val="center"/>
              <w:rPr>
                <w:rFonts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61" w:type="dxa"/>
            <w:vMerge w:val="continue"/>
            <w:vAlign w:val="center"/>
          </w:tcPr>
          <w:p>
            <w:pPr>
              <w:widowControl/>
              <w:jc w:val="center"/>
              <w:rPr>
                <w:rFonts w:ascii="Times New Roman" w:hAnsi="Times New Roman" w:eastAsia="仿宋" w:cs="Times New Roman"/>
                <w:color w:val="000000"/>
                <w:kern w:val="0"/>
                <w:sz w:val="24"/>
                <w:szCs w:val="24"/>
              </w:rPr>
            </w:pPr>
          </w:p>
        </w:tc>
        <w:tc>
          <w:tcPr>
            <w:tcW w:w="1007" w:type="dxa"/>
            <w:vMerge w:val="continue"/>
            <w:vAlign w:val="center"/>
          </w:tcPr>
          <w:p>
            <w:pPr>
              <w:widowControl/>
              <w:jc w:val="center"/>
              <w:rPr>
                <w:rFonts w:ascii="Times New Roman" w:hAnsi="Times New Roman" w:eastAsia="仿宋" w:cs="Times New Roman"/>
                <w:color w:val="000000"/>
                <w:kern w:val="0"/>
                <w:sz w:val="24"/>
                <w:szCs w:val="24"/>
              </w:rPr>
            </w:pPr>
          </w:p>
        </w:tc>
        <w:tc>
          <w:tcPr>
            <w:tcW w:w="992" w:type="dxa"/>
            <w:vMerge w:val="continue"/>
            <w:vAlign w:val="center"/>
          </w:tcPr>
          <w:p>
            <w:pPr>
              <w:widowControl/>
              <w:jc w:val="center"/>
              <w:rPr>
                <w:rFonts w:ascii="Times New Roman" w:hAnsi="Times New Roman" w:eastAsia="仿宋" w:cs="Times New Roman"/>
                <w:color w:val="000000"/>
                <w:kern w:val="0"/>
                <w:sz w:val="24"/>
                <w:szCs w:val="24"/>
              </w:rPr>
            </w:pPr>
          </w:p>
        </w:tc>
        <w:tc>
          <w:tcPr>
            <w:tcW w:w="1134" w:type="dxa"/>
            <w:vMerge w:val="continue"/>
            <w:vAlign w:val="center"/>
          </w:tcPr>
          <w:p>
            <w:pPr>
              <w:widowControl/>
              <w:jc w:val="center"/>
              <w:rPr>
                <w:rFonts w:ascii="Times New Roman" w:hAnsi="Times New Roman" w:eastAsia="仿宋" w:cs="Times New Roman"/>
                <w:color w:val="000000"/>
                <w:kern w:val="0"/>
                <w:sz w:val="24"/>
                <w:szCs w:val="24"/>
              </w:rPr>
            </w:pPr>
          </w:p>
        </w:tc>
        <w:tc>
          <w:tcPr>
            <w:tcW w:w="1417"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沙石多镇</w:t>
            </w:r>
          </w:p>
        </w:tc>
        <w:tc>
          <w:tcPr>
            <w:tcW w:w="1960"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包含所辖</w:t>
            </w:r>
            <w:r>
              <w:rPr>
                <w:rFonts w:ascii="Times New Roman" w:hAnsi="Times New Roman" w:eastAsia="仿宋" w:cs="Times New Roman"/>
                <w:color w:val="000000"/>
                <w:kern w:val="0"/>
                <w:sz w:val="24"/>
                <w:szCs w:val="24"/>
              </w:rPr>
              <w:t>全部村</w:t>
            </w:r>
          </w:p>
        </w:tc>
        <w:tc>
          <w:tcPr>
            <w:tcW w:w="1418" w:type="dxa"/>
            <w:vMerge w:val="continue"/>
            <w:vAlign w:val="center"/>
          </w:tcPr>
          <w:p>
            <w:pPr>
              <w:widowControl/>
              <w:jc w:val="center"/>
              <w:rPr>
                <w:rFonts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61" w:type="dxa"/>
            <w:vMerge w:val="continue"/>
            <w:vAlign w:val="center"/>
          </w:tcPr>
          <w:p>
            <w:pPr>
              <w:widowControl/>
              <w:jc w:val="center"/>
              <w:rPr>
                <w:rFonts w:ascii="Times New Roman" w:hAnsi="Times New Roman" w:eastAsia="仿宋" w:cs="Times New Roman"/>
                <w:color w:val="000000"/>
                <w:kern w:val="0"/>
                <w:sz w:val="24"/>
                <w:szCs w:val="24"/>
              </w:rPr>
            </w:pPr>
          </w:p>
        </w:tc>
        <w:tc>
          <w:tcPr>
            <w:tcW w:w="1007" w:type="dxa"/>
            <w:vMerge w:val="continue"/>
            <w:vAlign w:val="center"/>
          </w:tcPr>
          <w:p>
            <w:pPr>
              <w:widowControl/>
              <w:jc w:val="center"/>
              <w:rPr>
                <w:rFonts w:ascii="Times New Roman" w:hAnsi="Times New Roman" w:eastAsia="仿宋" w:cs="Times New Roman"/>
                <w:color w:val="000000"/>
                <w:kern w:val="0"/>
                <w:sz w:val="24"/>
                <w:szCs w:val="24"/>
              </w:rPr>
            </w:pPr>
          </w:p>
        </w:tc>
        <w:tc>
          <w:tcPr>
            <w:tcW w:w="992" w:type="dxa"/>
            <w:vMerge w:val="continue"/>
            <w:vAlign w:val="center"/>
          </w:tcPr>
          <w:p>
            <w:pPr>
              <w:widowControl/>
              <w:jc w:val="center"/>
              <w:rPr>
                <w:rFonts w:ascii="Times New Roman" w:hAnsi="Times New Roman" w:eastAsia="仿宋" w:cs="Times New Roman"/>
                <w:color w:val="000000"/>
                <w:kern w:val="0"/>
                <w:sz w:val="24"/>
                <w:szCs w:val="24"/>
              </w:rPr>
            </w:pPr>
          </w:p>
        </w:tc>
        <w:tc>
          <w:tcPr>
            <w:tcW w:w="1134" w:type="dxa"/>
            <w:vMerge w:val="continue"/>
            <w:vAlign w:val="center"/>
          </w:tcPr>
          <w:p>
            <w:pPr>
              <w:widowControl/>
              <w:jc w:val="center"/>
              <w:rPr>
                <w:rFonts w:ascii="Times New Roman" w:hAnsi="Times New Roman" w:eastAsia="仿宋" w:cs="Times New Roman"/>
                <w:color w:val="000000"/>
                <w:kern w:val="0"/>
                <w:sz w:val="24"/>
                <w:szCs w:val="24"/>
              </w:rPr>
            </w:pPr>
          </w:p>
        </w:tc>
        <w:tc>
          <w:tcPr>
            <w:tcW w:w="1417"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洛多乡</w:t>
            </w:r>
          </w:p>
        </w:tc>
        <w:tc>
          <w:tcPr>
            <w:tcW w:w="1960"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包含所辖</w:t>
            </w:r>
            <w:r>
              <w:rPr>
                <w:rFonts w:ascii="Times New Roman" w:hAnsi="Times New Roman" w:eastAsia="仿宋" w:cs="Times New Roman"/>
                <w:color w:val="000000"/>
                <w:kern w:val="0"/>
                <w:sz w:val="24"/>
                <w:szCs w:val="24"/>
              </w:rPr>
              <w:t>全部村</w:t>
            </w:r>
          </w:p>
        </w:tc>
        <w:tc>
          <w:tcPr>
            <w:tcW w:w="1418" w:type="dxa"/>
            <w:vMerge w:val="continue"/>
            <w:vAlign w:val="center"/>
          </w:tcPr>
          <w:p>
            <w:pPr>
              <w:widowControl/>
              <w:jc w:val="center"/>
              <w:rPr>
                <w:rFonts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61" w:type="dxa"/>
            <w:vMerge w:val="continue"/>
            <w:vAlign w:val="center"/>
          </w:tcPr>
          <w:p>
            <w:pPr>
              <w:widowControl/>
              <w:jc w:val="center"/>
              <w:rPr>
                <w:rFonts w:ascii="Times New Roman" w:hAnsi="Times New Roman" w:eastAsia="仿宋" w:cs="Times New Roman"/>
                <w:color w:val="000000"/>
                <w:kern w:val="0"/>
                <w:sz w:val="24"/>
                <w:szCs w:val="24"/>
              </w:rPr>
            </w:pPr>
          </w:p>
        </w:tc>
        <w:tc>
          <w:tcPr>
            <w:tcW w:w="1007" w:type="dxa"/>
            <w:vMerge w:val="continue"/>
            <w:vAlign w:val="center"/>
          </w:tcPr>
          <w:p>
            <w:pPr>
              <w:widowControl/>
              <w:jc w:val="center"/>
              <w:rPr>
                <w:rFonts w:ascii="Times New Roman" w:hAnsi="Times New Roman" w:eastAsia="仿宋" w:cs="Times New Roman"/>
                <w:color w:val="000000"/>
                <w:kern w:val="0"/>
                <w:sz w:val="24"/>
                <w:szCs w:val="24"/>
              </w:rPr>
            </w:pPr>
          </w:p>
        </w:tc>
        <w:tc>
          <w:tcPr>
            <w:tcW w:w="992" w:type="dxa"/>
            <w:vMerge w:val="continue"/>
            <w:vAlign w:val="center"/>
          </w:tcPr>
          <w:p>
            <w:pPr>
              <w:widowControl/>
              <w:jc w:val="center"/>
              <w:rPr>
                <w:rFonts w:ascii="Times New Roman" w:hAnsi="Times New Roman" w:eastAsia="仿宋" w:cs="Times New Roman"/>
                <w:color w:val="000000"/>
                <w:kern w:val="0"/>
                <w:sz w:val="24"/>
                <w:szCs w:val="24"/>
              </w:rPr>
            </w:pPr>
          </w:p>
        </w:tc>
        <w:tc>
          <w:tcPr>
            <w:tcW w:w="1134" w:type="dxa"/>
            <w:vMerge w:val="continue"/>
            <w:vAlign w:val="center"/>
          </w:tcPr>
          <w:p>
            <w:pPr>
              <w:widowControl/>
              <w:jc w:val="center"/>
              <w:rPr>
                <w:rFonts w:ascii="Times New Roman" w:hAnsi="Times New Roman" w:eastAsia="仿宋" w:cs="Times New Roman"/>
                <w:color w:val="000000"/>
                <w:kern w:val="0"/>
                <w:sz w:val="24"/>
                <w:szCs w:val="24"/>
              </w:rPr>
            </w:pPr>
          </w:p>
        </w:tc>
        <w:tc>
          <w:tcPr>
            <w:tcW w:w="1417"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晴朗乡</w:t>
            </w:r>
          </w:p>
        </w:tc>
        <w:tc>
          <w:tcPr>
            <w:tcW w:w="1960" w:type="dxa"/>
            <w:noWrap/>
            <w:vAlign w:val="center"/>
          </w:tcPr>
          <w:p>
            <w:pPr>
              <w:widowControl/>
              <w:jc w:val="center"/>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包含所辖</w:t>
            </w:r>
            <w:r>
              <w:rPr>
                <w:rFonts w:ascii="Times New Roman" w:hAnsi="Times New Roman" w:eastAsia="仿宋" w:cs="Times New Roman"/>
                <w:color w:val="000000"/>
                <w:kern w:val="0"/>
                <w:sz w:val="24"/>
                <w:szCs w:val="24"/>
              </w:rPr>
              <w:t>全部村</w:t>
            </w:r>
          </w:p>
        </w:tc>
        <w:tc>
          <w:tcPr>
            <w:tcW w:w="1418" w:type="dxa"/>
            <w:vMerge w:val="continue"/>
            <w:vAlign w:val="center"/>
          </w:tcPr>
          <w:p>
            <w:pPr>
              <w:widowControl/>
              <w:jc w:val="center"/>
              <w:rPr>
                <w:rFonts w:ascii="Times New Roman" w:hAnsi="Times New Roman" w:eastAsia="仿宋" w:cs="Times New Roman"/>
                <w:color w:val="000000"/>
                <w:kern w:val="0"/>
                <w:sz w:val="24"/>
                <w:szCs w:val="24"/>
              </w:rPr>
            </w:pPr>
          </w:p>
        </w:tc>
      </w:tr>
    </w:tbl>
    <w:p>
      <w:pPr>
        <w:widowControl/>
        <w:spacing w:before="156" w:beforeLines="50" w:after="156" w:afterLines="50"/>
        <w:outlineLvl w:val="0"/>
        <w:rPr>
          <w:rFonts w:ascii="仿宋_GB2312" w:eastAsia="仿宋_GB2312"/>
          <w:b/>
          <w:sz w:val="32"/>
          <w:szCs w:val="32"/>
        </w:rPr>
        <w:sectPr>
          <w:footerReference r:id="rId3" w:type="default"/>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b w:val="0"/>
          <w:bCs/>
          <w:sz w:val="32"/>
          <w:szCs w:val="32"/>
        </w:rPr>
      </w:pPr>
      <w:r>
        <w:rPr>
          <w:rFonts w:hint="eastAsia" w:ascii="黑体" w:hAnsi="黑体" w:eastAsia="黑体" w:cs="黑体"/>
          <w:b w:val="0"/>
          <w:bCs/>
          <w:sz w:val="32"/>
          <w:szCs w:val="32"/>
        </w:rPr>
        <w:t>四、区片综合地价分配比例</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按照征地补偿费用主要用于被征地农民的原则，参照近年实际支付的征地补偿费用在农村集体和农民个人之间的分配比例，综合确定本次黑水县征收农用地区片综合地价中土地补偿费和安置补助费的比例为3:7，与上轮一致。</w:t>
      </w:r>
    </w:p>
    <w:p>
      <w:pPr>
        <w:ind w:firstLine="640" w:firstLineChars="200"/>
        <w:rPr>
          <w:rFonts w:ascii="Times New Roman" w:hAnsi="Times New Roman" w:eastAsia="仿宋_GB2312" w:cs="Times New Roman"/>
          <w:sz w:val="32"/>
          <w:szCs w:val="32"/>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黑体" w:hAnsi="黑体" w:eastAsia="黑体" w:cs="黑体"/>
          <w:b w:val="0"/>
          <w:bCs/>
          <w:sz w:val="32"/>
          <w:szCs w:val="32"/>
        </w:rPr>
      </w:pPr>
      <w:bookmarkStart w:id="1" w:name="_Toc34036455"/>
      <w:r>
        <w:rPr>
          <w:rFonts w:hint="eastAsia" w:ascii="黑体" w:hAnsi="黑体" w:eastAsia="黑体" w:cs="黑体"/>
          <w:b w:val="0"/>
          <w:bCs/>
          <w:sz w:val="32"/>
          <w:szCs w:val="32"/>
        </w:rPr>
        <w:t>附图：黑水县征收农用地区片综合地价分布图</w:t>
      </w:r>
      <w:bookmarkEnd w:id="1"/>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黑体" w:hAnsi="黑体" w:eastAsia="黑体" w:cs="黑体"/>
          <w:b w:val="0"/>
          <w:bCs/>
          <w:sz w:val="32"/>
          <w:szCs w:val="32"/>
        </w:rPr>
      </w:pPr>
    </w:p>
    <w:p>
      <w:pPr>
        <w:jc w:val="center"/>
        <w:rPr>
          <w:rFonts w:hint="eastAsia" w:ascii="Times New Roman" w:hAnsi="Times New Roman" w:eastAsia="仿宋_GB2312" w:cs="Times New Roman"/>
          <w:sz w:val="32"/>
          <w:szCs w:val="32"/>
          <w:lang w:val="en-US" w:eastAsia="zh-CN"/>
        </w:rPr>
      </w:pPr>
      <w:r>
        <w:drawing>
          <wp:inline distT="0" distB="0" distL="0" distR="0">
            <wp:extent cx="5103495" cy="7218680"/>
            <wp:effectExtent l="0" t="0" r="1905"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103495" cy="7218680"/>
                    </a:xfrm>
                    <a:prstGeom prst="rect">
                      <a:avLst/>
                    </a:prstGeom>
                  </pic:spPr>
                </pic:pic>
              </a:graphicData>
            </a:graphic>
          </wp:inline>
        </w:drawing>
      </w:r>
      <w:bookmarkStart w:id="2" w:name="_GoBack"/>
      <w:bookmarkEnd w:id="2"/>
    </w:p>
    <w:sectPr>
      <w:headerReference r:id="rId4" w:type="default"/>
      <w:footerReference r:id="rId5" w:type="default"/>
      <w:pgSz w:w="11907" w:h="16840"/>
      <w:pgMar w:top="2098" w:right="1474" w:bottom="1984" w:left="1587" w:header="851" w:footer="992" w:gutter="0"/>
      <w:pgNumType w:fmt="decimal"/>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00007A87" w:usb1="8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-85725</wp:posOffset>
              </wp:positionV>
              <wp:extent cx="643255" cy="223520"/>
              <wp:effectExtent l="0" t="0" r="0" b="0"/>
              <wp:wrapNone/>
              <wp:docPr id="4" name="文本框 4"/>
              <wp:cNvGraphicFramePr/>
              <a:graphic xmlns:a="http://schemas.openxmlformats.org/drawingml/2006/main">
                <a:graphicData uri="http://schemas.microsoft.com/office/word/2010/wordprocessingShape">
                  <wps:wsp>
                    <wps:cNvSpPr txBox="1"/>
                    <wps:spPr>
                      <a:xfrm>
                        <a:off x="0" y="0"/>
                        <a:ext cx="643255" cy="2235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jc w:val="center"/>
                            <w:rPr>
                              <w:color w:val="auto"/>
                              <w:sz w:val="28"/>
                              <w:szCs w:val="28"/>
                            </w:rPr>
                          </w:pPr>
                          <w:r>
                            <w:rPr>
                              <w:color w:val="auto"/>
                              <w:sz w:val="28"/>
                              <w:szCs w:val="28"/>
                            </w:rPr>
                            <w:t xml:space="preserve">— </w:t>
                          </w:r>
                          <w:r>
                            <w:rPr>
                              <w:color w:val="auto"/>
                              <w:sz w:val="28"/>
                              <w:szCs w:val="28"/>
                            </w:rPr>
                            <w:fldChar w:fldCharType="begin"/>
                          </w:r>
                          <w:r>
                            <w:rPr>
                              <w:color w:val="auto"/>
                              <w:sz w:val="28"/>
                              <w:szCs w:val="28"/>
                            </w:rPr>
                            <w:instrText xml:space="preserve"> PAGE  \* MERGEFORMAT </w:instrText>
                          </w:r>
                          <w:r>
                            <w:rPr>
                              <w:color w:val="auto"/>
                              <w:sz w:val="28"/>
                              <w:szCs w:val="28"/>
                            </w:rPr>
                            <w:fldChar w:fldCharType="separate"/>
                          </w:r>
                          <w:r>
                            <w:rPr>
                              <w:color w:val="auto"/>
                              <w:sz w:val="28"/>
                              <w:szCs w:val="28"/>
                            </w:rPr>
                            <w:t>- 1 -</w:t>
                          </w:r>
                          <w:r>
                            <w:rPr>
                              <w:color w:val="auto"/>
                              <w:sz w:val="28"/>
                              <w:szCs w:val="28"/>
                            </w:rPr>
                            <w:fldChar w:fldCharType="end"/>
                          </w:r>
                          <w:r>
                            <w:rPr>
                              <w:color w:val="auto"/>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6.75pt;height:17.6pt;width:50.65pt;mso-position-horizontal:outside;mso-position-horizontal-relative:margin;z-index:251660288;mso-width-relative:page;mso-height-relative:page;" filled="f" stroked="f" coordsize="21600,21600" o:gfxdata="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">
              <v:fill on="f" focussize="0,0"/>
              <v:stroke on="f" weight="0.5pt"/>
              <v:imagedata o:title=""/>
              <o:lock v:ext="edit" aspectratio="f"/>
              <v:textbox inset="0mm,0mm,0mm,0mm">
                <w:txbxContent>
                  <w:p>
                    <w:pPr>
                      <w:pStyle w:val="22"/>
                      <w:jc w:val="center"/>
                      <w:rPr>
                        <w:color w:val="auto"/>
                        <w:sz w:val="28"/>
                        <w:szCs w:val="28"/>
                      </w:rPr>
                    </w:pPr>
                    <w:r>
                      <w:rPr>
                        <w:color w:val="auto"/>
                        <w:sz w:val="28"/>
                        <w:szCs w:val="28"/>
                      </w:rPr>
                      <w:t xml:space="preserve">— </w:t>
                    </w:r>
                    <w:r>
                      <w:rPr>
                        <w:color w:val="auto"/>
                        <w:sz w:val="28"/>
                        <w:szCs w:val="28"/>
                      </w:rPr>
                      <w:fldChar w:fldCharType="begin"/>
                    </w:r>
                    <w:r>
                      <w:rPr>
                        <w:color w:val="auto"/>
                        <w:sz w:val="28"/>
                        <w:szCs w:val="28"/>
                      </w:rPr>
                      <w:instrText xml:space="preserve"> PAGE  \* MERGEFORMAT </w:instrText>
                    </w:r>
                    <w:r>
                      <w:rPr>
                        <w:color w:val="auto"/>
                        <w:sz w:val="28"/>
                        <w:szCs w:val="28"/>
                      </w:rPr>
                      <w:fldChar w:fldCharType="separate"/>
                    </w:r>
                    <w:r>
                      <w:rPr>
                        <w:color w:val="auto"/>
                        <w:sz w:val="28"/>
                        <w:szCs w:val="28"/>
                      </w:rPr>
                      <w:t>- 1 -</w:t>
                    </w:r>
                    <w:r>
                      <w:rPr>
                        <w:color w:val="auto"/>
                        <w:sz w:val="28"/>
                        <w:szCs w:val="28"/>
                      </w:rPr>
                      <w:fldChar w:fldCharType="end"/>
                    </w:r>
                    <w:r>
                      <w:rPr>
                        <w:color w:val="auto"/>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-85725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7</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6.75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">
              <v:fill on="f" focussize="0,0"/>
              <v:stroke on="f" weight="0.5pt"/>
              <v:imagedata o:title=""/>
              <o:lock v:ext="edit" aspectratio="f"/>
              <v:textbox inset="0mm,0mm,0mm,0mm" style="mso-fit-shape-to-text:t;">
                <w:txbxContent>
                  <w:p>
                    <w:pPr>
                      <w:pStyle w:val="2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7</w:t>
                    </w:r>
                    <w:r>
                      <w:rPr>
                        <w:sz w:val="28"/>
                        <w:szCs w:val="28"/>
                      </w:rPr>
                      <w:fldChar w:fldCharType="end"/>
                    </w:r>
                    <w:r>
                      <w:rPr>
                        <w:sz w:val="28"/>
                        <w:szCs w:val="28"/>
                      </w:rPr>
                      <w:t xml:space="preserve"> —</w:t>
                    </w:r>
                  </w:p>
                </w:txbxContent>
              </v:textbox>
            </v:shape>
          </w:pict>
        </mc:Fallback>
      </mc:AlternateContent>
    </w:r>
  </w:p>
  <w:p>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tabs>
        <w:tab w:val="right" w:pos="8307"/>
        <w:tab w:val="clear" w:pos="8306"/>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E31AA4"/>
    <w:multiLevelType w:val="singleLevel"/>
    <w:tmpl w:val="50E31AA4"/>
    <w:lvl w:ilvl="0" w:tentative="0">
      <w:start w:val="1"/>
      <w:numFmt w:val="decimal"/>
      <w:pStyle w:val="19"/>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4OGUwZjU3MGU5ZjIwM2I2MTVkMTU1NDJmZmNmNDgifQ=="/>
  </w:docVars>
  <w:rsids>
    <w:rsidRoot w:val="0CA208B1"/>
    <w:rsid w:val="00004D87"/>
    <w:rsid w:val="0001007C"/>
    <w:rsid w:val="00025805"/>
    <w:rsid w:val="00035CCF"/>
    <w:rsid w:val="0004738E"/>
    <w:rsid w:val="00066B51"/>
    <w:rsid w:val="000867D0"/>
    <w:rsid w:val="000D536B"/>
    <w:rsid w:val="000D700D"/>
    <w:rsid w:val="000E5E92"/>
    <w:rsid w:val="00107F00"/>
    <w:rsid w:val="00141383"/>
    <w:rsid w:val="001537DD"/>
    <w:rsid w:val="00170D0D"/>
    <w:rsid w:val="0021251D"/>
    <w:rsid w:val="00224775"/>
    <w:rsid w:val="002633F1"/>
    <w:rsid w:val="002940E1"/>
    <w:rsid w:val="002F3DAB"/>
    <w:rsid w:val="003772F2"/>
    <w:rsid w:val="003A1AFD"/>
    <w:rsid w:val="00425E8C"/>
    <w:rsid w:val="004309FD"/>
    <w:rsid w:val="004678FF"/>
    <w:rsid w:val="0049449D"/>
    <w:rsid w:val="004F43A6"/>
    <w:rsid w:val="00573F5C"/>
    <w:rsid w:val="005F7047"/>
    <w:rsid w:val="0061431F"/>
    <w:rsid w:val="006463B0"/>
    <w:rsid w:val="00653FD1"/>
    <w:rsid w:val="00700AAA"/>
    <w:rsid w:val="00723AA6"/>
    <w:rsid w:val="0073217C"/>
    <w:rsid w:val="007706DE"/>
    <w:rsid w:val="007F38C8"/>
    <w:rsid w:val="008324FC"/>
    <w:rsid w:val="0084768F"/>
    <w:rsid w:val="008634D4"/>
    <w:rsid w:val="00871FCE"/>
    <w:rsid w:val="00887596"/>
    <w:rsid w:val="008C19C2"/>
    <w:rsid w:val="008D7E7F"/>
    <w:rsid w:val="008F6CE0"/>
    <w:rsid w:val="00913D1A"/>
    <w:rsid w:val="0099275F"/>
    <w:rsid w:val="009C1E44"/>
    <w:rsid w:val="009F4250"/>
    <w:rsid w:val="009F688E"/>
    <w:rsid w:val="00A2611C"/>
    <w:rsid w:val="00A8711E"/>
    <w:rsid w:val="00AA750F"/>
    <w:rsid w:val="00AF5CE8"/>
    <w:rsid w:val="00B05864"/>
    <w:rsid w:val="00B06BC9"/>
    <w:rsid w:val="00B52371"/>
    <w:rsid w:val="00B81366"/>
    <w:rsid w:val="00BB5123"/>
    <w:rsid w:val="00BF1097"/>
    <w:rsid w:val="00C12A8B"/>
    <w:rsid w:val="00C20C58"/>
    <w:rsid w:val="00C35505"/>
    <w:rsid w:val="00C7023C"/>
    <w:rsid w:val="00C930DC"/>
    <w:rsid w:val="00CB21AA"/>
    <w:rsid w:val="00D47F75"/>
    <w:rsid w:val="00D755BC"/>
    <w:rsid w:val="00DE6E9C"/>
    <w:rsid w:val="00E1385A"/>
    <w:rsid w:val="00E3235D"/>
    <w:rsid w:val="00E508E5"/>
    <w:rsid w:val="00E5773A"/>
    <w:rsid w:val="00E63948"/>
    <w:rsid w:val="00E963E2"/>
    <w:rsid w:val="00EA4508"/>
    <w:rsid w:val="00EE2918"/>
    <w:rsid w:val="00EE570B"/>
    <w:rsid w:val="00EF4F54"/>
    <w:rsid w:val="00F346B8"/>
    <w:rsid w:val="00F459D1"/>
    <w:rsid w:val="01022450"/>
    <w:rsid w:val="01511039"/>
    <w:rsid w:val="022D7445"/>
    <w:rsid w:val="02462E0B"/>
    <w:rsid w:val="02512E6C"/>
    <w:rsid w:val="02757B17"/>
    <w:rsid w:val="028E5767"/>
    <w:rsid w:val="02D7157F"/>
    <w:rsid w:val="02EB46D1"/>
    <w:rsid w:val="02F005A9"/>
    <w:rsid w:val="0309532E"/>
    <w:rsid w:val="03702C35"/>
    <w:rsid w:val="03793CEA"/>
    <w:rsid w:val="039C560B"/>
    <w:rsid w:val="03E003D0"/>
    <w:rsid w:val="05CF2E29"/>
    <w:rsid w:val="06BC42B7"/>
    <w:rsid w:val="06C45D98"/>
    <w:rsid w:val="06D274AB"/>
    <w:rsid w:val="073C2554"/>
    <w:rsid w:val="07F607A3"/>
    <w:rsid w:val="082B6ED0"/>
    <w:rsid w:val="08E57F9F"/>
    <w:rsid w:val="093F3A64"/>
    <w:rsid w:val="09B10162"/>
    <w:rsid w:val="09B41F01"/>
    <w:rsid w:val="09EE586D"/>
    <w:rsid w:val="0A4C6688"/>
    <w:rsid w:val="0A5925F5"/>
    <w:rsid w:val="0A7D54DF"/>
    <w:rsid w:val="0B071A91"/>
    <w:rsid w:val="0BCF0F3A"/>
    <w:rsid w:val="0C3F7561"/>
    <w:rsid w:val="0C452D30"/>
    <w:rsid w:val="0C5D0656"/>
    <w:rsid w:val="0CA208B1"/>
    <w:rsid w:val="0CD81BE1"/>
    <w:rsid w:val="0D144D57"/>
    <w:rsid w:val="0D5C1B29"/>
    <w:rsid w:val="0E611762"/>
    <w:rsid w:val="0E8202E5"/>
    <w:rsid w:val="0EA0188B"/>
    <w:rsid w:val="0EF35B66"/>
    <w:rsid w:val="0FEA05A8"/>
    <w:rsid w:val="0FFF28A2"/>
    <w:rsid w:val="101B330B"/>
    <w:rsid w:val="10207A9E"/>
    <w:rsid w:val="10226262"/>
    <w:rsid w:val="102A5B4D"/>
    <w:rsid w:val="113F1124"/>
    <w:rsid w:val="117C7383"/>
    <w:rsid w:val="130D4181"/>
    <w:rsid w:val="14353777"/>
    <w:rsid w:val="14A9361D"/>
    <w:rsid w:val="14BD22D5"/>
    <w:rsid w:val="14FE7CC3"/>
    <w:rsid w:val="1511460E"/>
    <w:rsid w:val="15BF44EA"/>
    <w:rsid w:val="16AB73B5"/>
    <w:rsid w:val="172D57F8"/>
    <w:rsid w:val="175B0C69"/>
    <w:rsid w:val="17CD529B"/>
    <w:rsid w:val="17F251D9"/>
    <w:rsid w:val="1800572A"/>
    <w:rsid w:val="188269DF"/>
    <w:rsid w:val="18892FD3"/>
    <w:rsid w:val="18C04B74"/>
    <w:rsid w:val="1954601C"/>
    <w:rsid w:val="19B821E6"/>
    <w:rsid w:val="1A114025"/>
    <w:rsid w:val="1A772A39"/>
    <w:rsid w:val="1AA9331C"/>
    <w:rsid w:val="1B966601"/>
    <w:rsid w:val="1C0A2194"/>
    <w:rsid w:val="1C1974D4"/>
    <w:rsid w:val="1C22707B"/>
    <w:rsid w:val="1C2E6F7A"/>
    <w:rsid w:val="1C461BF2"/>
    <w:rsid w:val="1C876BD6"/>
    <w:rsid w:val="1C8F1E59"/>
    <w:rsid w:val="1CE44A03"/>
    <w:rsid w:val="1D030BAC"/>
    <w:rsid w:val="1D2E1084"/>
    <w:rsid w:val="1D7A2EE8"/>
    <w:rsid w:val="1DBB1C57"/>
    <w:rsid w:val="1E0D6422"/>
    <w:rsid w:val="1E476DB9"/>
    <w:rsid w:val="1EF30556"/>
    <w:rsid w:val="1F5515D1"/>
    <w:rsid w:val="1F63628C"/>
    <w:rsid w:val="1FA060F1"/>
    <w:rsid w:val="20410416"/>
    <w:rsid w:val="204A70BF"/>
    <w:rsid w:val="217671A6"/>
    <w:rsid w:val="22476665"/>
    <w:rsid w:val="22A26637"/>
    <w:rsid w:val="22EF2221"/>
    <w:rsid w:val="231B3D60"/>
    <w:rsid w:val="24044127"/>
    <w:rsid w:val="24BE5F0A"/>
    <w:rsid w:val="24F46A34"/>
    <w:rsid w:val="254D7CC2"/>
    <w:rsid w:val="26821007"/>
    <w:rsid w:val="26C01A21"/>
    <w:rsid w:val="26E5558A"/>
    <w:rsid w:val="273E1345"/>
    <w:rsid w:val="273F3E34"/>
    <w:rsid w:val="27BC0D18"/>
    <w:rsid w:val="281A7906"/>
    <w:rsid w:val="28244B6B"/>
    <w:rsid w:val="2854343C"/>
    <w:rsid w:val="28F079B5"/>
    <w:rsid w:val="29495A91"/>
    <w:rsid w:val="2968067B"/>
    <w:rsid w:val="299C42D3"/>
    <w:rsid w:val="29DC5C20"/>
    <w:rsid w:val="2B8B50CA"/>
    <w:rsid w:val="2BCA5C66"/>
    <w:rsid w:val="2BD83380"/>
    <w:rsid w:val="2BF16BCD"/>
    <w:rsid w:val="2C222516"/>
    <w:rsid w:val="2C4D184B"/>
    <w:rsid w:val="2C6B1B99"/>
    <w:rsid w:val="2D314196"/>
    <w:rsid w:val="2D7B2DE1"/>
    <w:rsid w:val="2D8D453A"/>
    <w:rsid w:val="2DA5764C"/>
    <w:rsid w:val="2DAD2EA5"/>
    <w:rsid w:val="2DC36E36"/>
    <w:rsid w:val="2F006EEF"/>
    <w:rsid w:val="2F5E167A"/>
    <w:rsid w:val="307B1E6B"/>
    <w:rsid w:val="310F5189"/>
    <w:rsid w:val="31E337F7"/>
    <w:rsid w:val="327518B6"/>
    <w:rsid w:val="329C503F"/>
    <w:rsid w:val="32BC3287"/>
    <w:rsid w:val="33AE6D56"/>
    <w:rsid w:val="33BF02F5"/>
    <w:rsid w:val="33BF2903"/>
    <w:rsid w:val="33F42D4E"/>
    <w:rsid w:val="347545A1"/>
    <w:rsid w:val="348E44FD"/>
    <w:rsid w:val="34F8339C"/>
    <w:rsid w:val="35546537"/>
    <w:rsid w:val="35A97FD7"/>
    <w:rsid w:val="35CF519F"/>
    <w:rsid w:val="35FB7695"/>
    <w:rsid w:val="36050658"/>
    <w:rsid w:val="3634347B"/>
    <w:rsid w:val="36375BC8"/>
    <w:rsid w:val="36546526"/>
    <w:rsid w:val="36731930"/>
    <w:rsid w:val="36940077"/>
    <w:rsid w:val="36C2414F"/>
    <w:rsid w:val="37054E0D"/>
    <w:rsid w:val="3763276B"/>
    <w:rsid w:val="37BF1C6F"/>
    <w:rsid w:val="37D43619"/>
    <w:rsid w:val="383E517F"/>
    <w:rsid w:val="38987953"/>
    <w:rsid w:val="38DE382B"/>
    <w:rsid w:val="39FE1779"/>
    <w:rsid w:val="3A6B569F"/>
    <w:rsid w:val="3B506B77"/>
    <w:rsid w:val="3BA6793A"/>
    <w:rsid w:val="3BAA73E7"/>
    <w:rsid w:val="3BEE417E"/>
    <w:rsid w:val="3CC72853"/>
    <w:rsid w:val="3E47142F"/>
    <w:rsid w:val="3EBC4E7A"/>
    <w:rsid w:val="3FCB7AA6"/>
    <w:rsid w:val="3FD47719"/>
    <w:rsid w:val="40412196"/>
    <w:rsid w:val="405D5034"/>
    <w:rsid w:val="406477B5"/>
    <w:rsid w:val="40E60BDA"/>
    <w:rsid w:val="410D3C04"/>
    <w:rsid w:val="4247766C"/>
    <w:rsid w:val="428C13F3"/>
    <w:rsid w:val="42FA73ED"/>
    <w:rsid w:val="43551E15"/>
    <w:rsid w:val="448029B9"/>
    <w:rsid w:val="44AE661F"/>
    <w:rsid w:val="45104CC0"/>
    <w:rsid w:val="45773825"/>
    <w:rsid w:val="46117980"/>
    <w:rsid w:val="46411D36"/>
    <w:rsid w:val="466A3DE1"/>
    <w:rsid w:val="46B14091"/>
    <w:rsid w:val="46B63725"/>
    <w:rsid w:val="46EE39F0"/>
    <w:rsid w:val="470C3D18"/>
    <w:rsid w:val="47580F9C"/>
    <w:rsid w:val="478422B4"/>
    <w:rsid w:val="48D2780D"/>
    <w:rsid w:val="48EE6326"/>
    <w:rsid w:val="49404145"/>
    <w:rsid w:val="49CE521B"/>
    <w:rsid w:val="4A527A1F"/>
    <w:rsid w:val="4AA07A95"/>
    <w:rsid w:val="4AF62C56"/>
    <w:rsid w:val="4B9805C6"/>
    <w:rsid w:val="4BEB5A25"/>
    <w:rsid w:val="4C8F1529"/>
    <w:rsid w:val="4D3651B9"/>
    <w:rsid w:val="4D413D92"/>
    <w:rsid w:val="4D6863E5"/>
    <w:rsid w:val="4DFC57B0"/>
    <w:rsid w:val="4EB204E0"/>
    <w:rsid w:val="4EC7459E"/>
    <w:rsid w:val="4EF72012"/>
    <w:rsid w:val="4F56728C"/>
    <w:rsid w:val="5057605B"/>
    <w:rsid w:val="508A6144"/>
    <w:rsid w:val="508C552B"/>
    <w:rsid w:val="51271DE5"/>
    <w:rsid w:val="51A06C9B"/>
    <w:rsid w:val="521F23EC"/>
    <w:rsid w:val="52BD1EA0"/>
    <w:rsid w:val="52E90101"/>
    <w:rsid w:val="53385DBB"/>
    <w:rsid w:val="537F017D"/>
    <w:rsid w:val="53A52444"/>
    <w:rsid w:val="53AC0356"/>
    <w:rsid w:val="53CC4DD0"/>
    <w:rsid w:val="54E5018A"/>
    <w:rsid w:val="55EB088B"/>
    <w:rsid w:val="56562571"/>
    <w:rsid w:val="565A5D3C"/>
    <w:rsid w:val="57D96931"/>
    <w:rsid w:val="589B48D1"/>
    <w:rsid w:val="58A4570A"/>
    <w:rsid w:val="58CE17C8"/>
    <w:rsid w:val="58FA31D0"/>
    <w:rsid w:val="59714B75"/>
    <w:rsid w:val="59BB6342"/>
    <w:rsid w:val="59E51E15"/>
    <w:rsid w:val="5ABE3C84"/>
    <w:rsid w:val="5AC20E23"/>
    <w:rsid w:val="5CF33CF1"/>
    <w:rsid w:val="5CFE59D4"/>
    <w:rsid w:val="5E1B53F9"/>
    <w:rsid w:val="5E1F1083"/>
    <w:rsid w:val="5E7D2A25"/>
    <w:rsid w:val="5E9F58E0"/>
    <w:rsid w:val="5EAF1CEB"/>
    <w:rsid w:val="5F3335A2"/>
    <w:rsid w:val="5FB55714"/>
    <w:rsid w:val="5FED3403"/>
    <w:rsid w:val="60CE7FD9"/>
    <w:rsid w:val="61164056"/>
    <w:rsid w:val="611F2AAF"/>
    <w:rsid w:val="61587941"/>
    <w:rsid w:val="617424D6"/>
    <w:rsid w:val="61C74490"/>
    <w:rsid w:val="61D370CA"/>
    <w:rsid w:val="620F1AC2"/>
    <w:rsid w:val="623A2061"/>
    <w:rsid w:val="626C64B3"/>
    <w:rsid w:val="62734040"/>
    <w:rsid w:val="62F022F5"/>
    <w:rsid w:val="63125EF4"/>
    <w:rsid w:val="637E7CC8"/>
    <w:rsid w:val="64477E80"/>
    <w:rsid w:val="64555096"/>
    <w:rsid w:val="649C7C96"/>
    <w:rsid w:val="64B466A1"/>
    <w:rsid w:val="64D139C4"/>
    <w:rsid w:val="658F5EAE"/>
    <w:rsid w:val="663414BA"/>
    <w:rsid w:val="66921388"/>
    <w:rsid w:val="677E1BB2"/>
    <w:rsid w:val="67B3102F"/>
    <w:rsid w:val="67F81F03"/>
    <w:rsid w:val="680038F4"/>
    <w:rsid w:val="681F0FD0"/>
    <w:rsid w:val="68333622"/>
    <w:rsid w:val="697B284D"/>
    <w:rsid w:val="69CA3620"/>
    <w:rsid w:val="6A25488F"/>
    <w:rsid w:val="6A856869"/>
    <w:rsid w:val="6B7C0915"/>
    <w:rsid w:val="6C353803"/>
    <w:rsid w:val="6D3D3702"/>
    <w:rsid w:val="6DB10E69"/>
    <w:rsid w:val="6E1E0640"/>
    <w:rsid w:val="6E950C7A"/>
    <w:rsid w:val="6F0F5F11"/>
    <w:rsid w:val="6F2B4810"/>
    <w:rsid w:val="6FA575FC"/>
    <w:rsid w:val="6FDC4D5F"/>
    <w:rsid w:val="6FFD4EF9"/>
    <w:rsid w:val="7027736E"/>
    <w:rsid w:val="70845F27"/>
    <w:rsid w:val="70EB4072"/>
    <w:rsid w:val="7159653E"/>
    <w:rsid w:val="719C0F72"/>
    <w:rsid w:val="719E7794"/>
    <w:rsid w:val="71C25D69"/>
    <w:rsid w:val="722950CA"/>
    <w:rsid w:val="724452A9"/>
    <w:rsid w:val="728564EA"/>
    <w:rsid w:val="73E27BB3"/>
    <w:rsid w:val="73E6382C"/>
    <w:rsid w:val="74596FEE"/>
    <w:rsid w:val="74EE0065"/>
    <w:rsid w:val="75A90742"/>
    <w:rsid w:val="75D31C9B"/>
    <w:rsid w:val="75E26373"/>
    <w:rsid w:val="75F51D2C"/>
    <w:rsid w:val="77CF1C65"/>
    <w:rsid w:val="780B421D"/>
    <w:rsid w:val="79730E56"/>
    <w:rsid w:val="79B50530"/>
    <w:rsid w:val="79B853F7"/>
    <w:rsid w:val="7A7570F7"/>
    <w:rsid w:val="7B692A28"/>
    <w:rsid w:val="7B7B16A3"/>
    <w:rsid w:val="7BCC4140"/>
    <w:rsid w:val="7C632DC9"/>
    <w:rsid w:val="7CFA59E0"/>
    <w:rsid w:val="7EBB39C0"/>
    <w:rsid w:val="7F456FD5"/>
    <w:rsid w:val="7FBA31F6"/>
    <w:rsid w:val="FFDAC6D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40"/>
    <w:qFormat/>
    <w:uiPriority w:val="0"/>
    <w:pPr>
      <w:keepNext/>
      <w:keepLines/>
      <w:widowControl w:val="0"/>
      <w:spacing w:beforeLines="50" w:line="520" w:lineRule="exact"/>
      <w:ind w:firstLine="883" w:firstLineChars="200"/>
      <w:jc w:val="center"/>
      <w:outlineLvl w:val="0"/>
    </w:pPr>
    <w:rPr>
      <w:rFonts w:ascii="黑体" w:hAnsi="黑体" w:eastAsia="黑体" w:cs="黑体"/>
      <w:b/>
      <w:bCs/>
      <w:kern w:val="44"/>
      <w:sz w:val="36"/>
      <w:szCs w:val="36"/>
      <w:lang w:val="en-US" w:eastAsia="zh-CN" w:bidi="ar-SA"/>
    </w:rPr>
  </w:style>
  <w:style w:type="paragraph" w:styleId="3">
    <w:name w:val="heading 2"/>
    <w:basedOn w:val="1"/>
    <w:next w:val="1"/>
    <w:link w:val="51"/>
    <w:unhideWhenUsed/>
    <w:qFormat/>
    <w:uiPriority w:val="0"/>
    <w:pPr>
      <w:keepNext/>
      <w:keepLines/>
      <w:spacing w:beforeLines="50" w:afterLines="50" w:line="520" w:lineRule="exact"/>
      <w:ind w:firstLine="883" w:firstLineChars="200"/>
      <w:outlineLvl w:val="1"/>
    </w:pPr>
    <w:rPr>
      <w:rFonts w:ascii="黑体" w:hAnsi="黑体" w:cs="黑体"/>
      <w:b/>
      <w:sz w:val="30"/>
      <w:szCs w:val="30"/>
    </w:rPr>
  </w:style>
  <w:style w:type="paragraph" w:styleId="4">
    <w:name w:val="heading 3"/>
    <w:basedOn w:val="1"/>
    <w:next w:val="1"/>
    <w:link w:val="42"/>
    <w:unhideWhenUsed/>
    <w:qFormat/>
    <w:uiPriority w:val="0"/>
    <w:pPr>
      <w:keepNext/>
      <w:keepLines/>
      <w:spacing w:beforeLines="50" w:afterLines="50" w:line="560" w:lineRule="exact"/>
      <w:ind w:firstLine="883" w:firstLineChars="200"/>
      <w:outlineLvl w:val="2"/>
    </w:pPr>
    <w:rPr>
      <w:rFonts w:ascii="黑体" w:hAnsi="黑体" w:cs="黑体"/>
      <w:b/>
      <w:sz w:val="30"/>
      <w:szCs w:val="30"/>
    </w:rPr>
  </w:style>
  <w:style w:type="paragraph" w:styleId="5">
    <w:name w:val="heading 4"/>
    <w:basedOn w:val="1"/>
    <w:next w:val="1"/>
    <w:unhideWhenUsed/>
    <w:qFormat/>
    <w:uiPriority w:val="0"/>
    <w:pPr>
      <w:keepNext/>
      <w:keepLines/>
      <w:spacing w:line="360" w:lineRule="auto"/>
      <w:ind w:firstLine="800" w:firstLineChars="200"/>
      <w:outlineLvl w:val="3"/>
    </w:pPr>
    <w:rPr>
      <w:rFonts w:ascii="宋体" w:hAnsi="宋体" w:eastAsia="仿宋"/>
      <w:b/>
      <w:sz w:val="28"/>
    </w:rPr>
  </w:style>
  <w:style w:type="paragraph" w:styleId="6">
    <w:name w:val="heading 5"/>
    <w:basedOn w:val="1"/>
    <w:next w:val="1"/>
    <w:link w:val="47"/>
    <w:unhideWhenUsed/>
    <w:qFormat/>
    <w:uiPriority w:val="0"/>
    <w:pPr>
      <w:keepNext/>
      <w:keepLines/>
      <w:spacing w:before="280" w:after="290" w:line="376" w:lineRule="auto"/>
      <w:outlineLvl w:val="4"/>
    </w:pPr>
    <w:rPr>
      <w:b/>
      <w:bCs/>
      <w:sz w:val="28"/>
      <w:szCs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8"/>
    <w:unhideWhenUsed/>
    <w:qFormat/>
    <w:uiPriority w:val="99"/>
    <w:pPr>
      <w:adjustRightInd w:val="0"/>
      <w:spacing w:line="520" w:lineRule="exact"/>
      <w:ind w:firstLine="640" w:firstLineChars="200"/>
      <w:textAlignment w:val="baseline"/>
    </w:pPr>
    <w:rPr>
      <w:rFonts w:ascii="Times New Roman" w:hAnsi="Times New Roman" w:eastAsia="仿宋_GB2312"/>
      <w:kern w:val="0"/>
      <w:sz w:val="32"/>
    </w:rPr>
  </w:style>
  <w:style w:type="paragraph" w:styleId="8">
    <w:name w:val="Body Text First Indent"/>
    <w:basedOn w:val="9"/>
    <w:qFormat/>
    <w:uiPriority w:val="0"/>
    <w:pPr>
      <w:spacing w:line="240" w:lineRule="auto"/>
      <w:ind w:firstLine="420" w:firstLineChars="100"/>
    </w:pPr>
    <w:rPr>
      <w:sz w:val="21"/>
      <w:szCs w:val="24"/>
    </w:rPr>
  </w:style>
  <w:style w:type="paragraph" w:styleId="9">
    <w:name w:val="Body Text"/>
    <w:basedOn w:val="1"/>
    <w:link w:val="43"/>
    <w:qFormat/>
    <w:uiPriority w:val="0"/>
    <w:pPr>
      <w:spacing w:after="120"/>
    </w:pPr>
    <w:rPr>
      <w:rFonts w:ascii="Times New Roman" w:hAnsi="Times New Roman"/>
      <w:szCs w:val="20"/>
    </w:rPr>
  </w:style>
  <w:style w:type="paragraph" w:styleId="10">
    <w:name w:val="index 5"/>
    <w:basedOn w:val="1"/>
    <w:next w:val="1"/>
    <w:unhideWhenUsed/>
    <w:qFormat/>
    <w:uiPriority w:val="99"/>
    <w:pPr>
      <w:ind w:left="800" w:leftChars="800"/>
    </w:pPr>
  </w:style>
  <w:style w:type="paragraph" w:styleId="11">
    <w:name w:val="Document Map"/>
    <w:basedOn w:val="1"/>
    <w:link w:val="45"/>
    <w:qFormat/>
    <w:uiPriority w:val="0"/>
    <w:rPr>
      <w:rFonts w:ascii="宋体"/>
      <w:sz w:val="18"/>
      <w:szCs w:val="18"/>
    </w:rPr>
  </w:style>
  <w:style w:type="paragraph" w:styleId="12">
    <w:name w:val="index 6"/>
    <w:basedOn w:val="1"/>
    <w:next w:val="1"/>
    <w:qFormat/>
    <w:uiPriority w:val="0"/>
    <w:pPr>
      <w:ind w:left="2100"/>
    </w:pPr>
  </w:style>
  <w:style w:type="paragraph" w:styleId="13">
    <w:name w:val="Salutation"/>
    <w:basedOn w:val="1"/>
    <w:next w:val="1"/>
    <w:qFormat/>
    <w:uiPriority w:val="0"/>
    <w:rPr>
      <w:rFonts w:ascii="Times New Roman" w:hAnsi="Times New Roman" w:eastAsia="微软雅黑" w:cs="Calibri"/>
      <w:kern w:val="0"/>
      <w:sz w:val="20"/>
      <w:szCs w:val="24"/>
    </w:rPr>
  </w:style>
  <w:style w:type="paragraph" w:styleId="14">
    <w:name w:val="Body Text 3"/>
    <w:basedOn w:val="1"/>
    <w:qFormat/>
    <w:uiPriority w:val="0"/>
    <w:pPr>
      <w:spacing w:line="240" w:lineRule="exact"/>
      <w:ind w:right="40"/>
      <w:jc w:val="center"/>
    </w:pPr>
    <w:rPr>
      <w:rFonts w:ascii="仿宋_GB2312" w:eastAsia="仿宋_GB2312"/>
      <w:color w:val="000000"/>
      <w:szCs w:val="20"/>
    </w:rPr>
  </w:style>
  <w:style w:type="paragraph" w:styleId="15">
    <w:name w:val="Body Text Indent"/>
    <w:basedOn w:val="1"/>
    <w:qFormat/>
    <w:uiPriority w:val="0"/>
    <w:pPr>
      <w:adjustRightInd w:val="0"/>
      <w:snapToGrid w:val="0"/>
      <w:spacing w:line="600" w:lineRule="exact"/>
      <w:ind w:firstLine="645"/>
    </w:pPr>
    <w:rPr>
      <w:rFonts w:ascii="Times New Roman" w:hAnsi="Times New Roman" w:eastAsia="宋体" w:cs="Times New Roman"/>
      <w:sz w:val="32"/>
      <w:lang w:bidi="ar-SA"/>
    </w:rPr>
  </w:style>
  <w:style w:type="paragraph" w:styleId="16">
    <w:name w:val="toc 5"/>
    <w:basedOn w:val="1"/>
    <w:next w:val="1"/>
    <w:qFormat/>
    <w:uiPriority w:val="0"/>
    <w:pPr>
      <w:widowControl w:val="0"/>
      <w:ind w:left="800" w:leftChars="800"/>
      <w:jc w:val="both"/>
    </w:pPr>
    <w:rPr>
      <w:rFonts w:ascii="Calibri" w:hAnsi="Calibri" w:eastAsia="宋体" w:cs="Times New Roman"/>
      <w:kern w:val="2"/>
      <w:sz w:val="32"/>
      <w:szCs w:val="32"/>
      <w:lang w:val="en-US" w:eastAsia="zh-CN" w:bidi="ar-SA"/>
    </w:rPr>
  </w:style>
  <w:style w:type="paragraph" w:styleId="17">
    <w:name w:val="toc 3"/>
    <w:basedOn w:val="1"/>
    <w:next w:val="1"/>
    <w:qFormat/>
    <w:uiPriority w:val="39"/>
    <w:pPr>
      <w:ind w:left="840" w:leftChars="400"/>
    </w:pPr>
  </w:style>
  <w:style w:type="paragraph" w:styleId="18">
    <w:name w:val="Plain Text"/>
    <w:basedOn w:val="1"/>
    <w:next w:val="19"/>
    <w:unhideWhenUsed/>
    <w:qFormat/>
    <w:uiPriority w:val="99"/>
    <w:rPr>
      <w:rFonts w:ascii="宋体" w:hAnsi="Courier New" w:cs="Courier New"/>
    </w:rPr>
  </w:style>
  <w:style w:type="paragraph" w:styleId="19">
    <w:name w:val="List Number 5"/>
    <w:basedOn w:val="1"/>
    <w:qFormat/>
    <w:uiPriority w:val="0"/>
    <w:pPr>
      <w:numPr>
        <w:ilvl w:val="0"/>
        <w:numId w:val="1"/>
      </w:numPr>
    </w:pPr>
  </w:style>
  <w:style w:type="paragraph" w:styleId="20">
    <w:name w:val="Body Text Indent 2"/>
    <w:basedOn w:val="1"/>
    <w:qFormat/>
    <w:uiPriority w:val="0"/>
    <w:pPr>
      <w:widowControl w:val="0"/>
      <w:spacing w:after="120" w:line="480" w:lineRule="auto"/>
      <w:ind w:left="420" w:leftChars="200" w:firstLine="200" w:firstLineChars="200"/>
      <w:jc w:val="both"/>
    </w:pPr>
    <w:rPr>
      <w:rFonts w:ascii="Times New Roman" w:hAnsi="Times New Roman" w:eastAsia="仿宋_GB2312" w:cs="Times New Roman"/>
      <w:kern w:val="2"/>
      <w:sz w:val="28"/>
      <w:szCs w:val="24"/>
      <w:lang w:val="en-US" w:eastAsia="zh-CN" w:bidi="ar-SA"/>
    </w:rPr>
  </w:style>
  <w:style w:type="paragraph" w:styleId="21">
    <w:name w:val="Balloon Text"/>
    <w:basedOn w:val="1"/>
    <w:link w:val="46"/>
    <w:qFormat/>
    <w:uiPriority w:val="0"/>
    <w:rPr>
      <w:sz w:val="18"/>
      <w:szCs w:val="18"/>
    </w:rPr>
  </w:style>
  <w:style w:type="paragraph" w:styleId="22">
    <w:name w:val="footer"/>
    <w:basedOn w:val="1"/>
    <w:next w:val="1"/>
    <w:link w:val="44"/>
    <w:qFormat/>
    <w:uiPriority w:val="99"/>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styleId="2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4">
    <w:name w:val="toc 1"/>
    <w:next w:val="1"/>
    <w:qFormat/>
    <w:uiPriority w:val="39"/>
    <w:pPr>
      <w:widowControl w:val="0"/>
      <w:tabs>
        <w:tab w:val="right" w:leader="dot" w:pos="8296"/>
      </w:tabs>
      <w:jc w:val="center"/>
    </w:pPr>
    <w:rPr>
      <w:rFonts w:ascii="Times New Roman" w:hAnsi="Times New Roman" w:eastAsia="宋体" w:cs="Times New Roman"/>
      <w:b/>
      <w:kern w:val="2"/>
      <w:sz w:val="32"/>
      <w:szCs w:val="32"/>
      <w:lang w:val="en-US" w:eastAsia="zh-CN" w:bidi="ar-SA"/>
    </w:rPr>
  </w:style>
  <w:style w:type="paragraph" w:styleId="25">
    <w:name w:val="Subtitle"/>
    <w:next w:val="1"/>
    <w:qFormat/>
    <w:uiPriority w:val="0"/>
    <w:pPr>
      <w:widowControl w:val="0"/>
      <w:spacing w:line="360" w:lineRule="auto"/>
      <w:outlineLvl w:val="1"/>
    </w:pPr>
    <w:rPr>
      <w:rFonts w:ascii="Cambria" w:hAnsi="Cambria" w:eastAsia="宋体" w:cs="Times New Roman"/>
      <w:b/>
      <w:bCs/>
      <w:kern w:val="28"/>
      <w:sz w:val="32"/>
      <w:szCs w:val="32"/>
      <w:lang w:val="en-US" w:eastAsia="zh-CN" w:bidi="ar-SA"/>
    </w:rPr>
  </w:style>
  <w:style w:type="paragraph" w:styleId="26">
    <w:name w:val="table of figures"/>
    <w:basedOn w:val="1"/>
    <w:next w:val="1"/>
    <w:qFormat/>
    <w:uiPriority w:val="0"/>
    <w:pPr>
      <w:ind w:left="200" w:leftChars="200" w:hanging="200" w:hangingChars="200"/>
    </w:pPr>
  </w:style>
  <w:style w:type="paragraph" w:styleId="27">
    <w:name w:val="toc 2"/>
    <w:next w:val="1"/>
    <w:qFormat/>
    <w:uiPriority w:val="39"/>
    <w:pPr>
      <w:widowControl w:val="0"/>
      <w:ind w:left="200" w:leftChars="200"/>
      <w:jc w:val="both"/>
    </w:pPr>
    <w:rPr>
      <w:rFonts w:ascii="Times New Roman" w:hAnsi="Times New Roman" w:eastAsia="宋体" w:cs="Times New Roman"/>
      <w:kern w:val="2"/>
      <w:sz w:val="21"/>
      <w:szCs w:val="22"/>
      <w:lang w:val="en-US" w:eastAsia="zh-CN" w:bidi="ar-SA"/>
    </w:rPr>
  </w:style>
  <w:style w:type="paragraph" w:styleId="28">
    <w:name w:val="Body Text 2"/>
    <w:basedOn w:val="1"/>
    <w:qFormat/>
    <w:uiPriority w:val="0"/>
    <w:pPr>
      <w:spacing w:line="360" w:lineRule="auto"/>
    </w:pPr>
    <w:rPr>
      <w:sz w:val="28"/>
    </w:rPr>
  </w:style>
  <w:style w:type="paragraph" w:styleId="2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0">
    <w:name w:val="Normal (Web)"/>
    <w:basedOn w:val="1"/>
    <w:qFormat/>
    <w:uiPriority w:val="0"/>
    <w:rPr>
      <w:rFonts w:ascii="宋体" w:hAnsi="宋体" w:eastAsia="楷体_GB2312" w:cs="宋体"/>
      <w:sz w:val="24"/>
    </w:rPr>
  </w:style>
  <w:style w:type="paragraph" w:styleId="31">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styleId="32">
    <w:name w:val="Body Text First Indent 2"/>
    <w:basedOn w:val="15"/>
    <w:qFormat/>
    <w:uiPriority w:val="0"/>
    <w:pPr>
      <w:ind w:firstLine="420" w:firstLineChars="200"/>
    </w:pPr>
    <w:rPr>
      <w:rFonts w:ascii="Times New Roman" w:hAnsi="Times New Roman"/>
    </w:r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qFormat/>
    <w:uiPriority w:val="0"/>
    <w:rPr>
      <w:b/>
    </w:rPr>
  </w:style>
  <w:style w:type="character" w:styleId="37">
    <w:name w:val="Emphasis"/>
    <w:basedOn w:val="35"/>
    <w:qFormat/>
    <w:uiPriority w:val="0"/>
    <w:rPr>
      <w:i/>
    </w:rPr>
  </w:style>
  <w:style w:type="character" w:styleId="38">
    <w:name w:val="Hyperlink"/>
    <w:qFormat/>
    <w:uiPriority w:val="99"/>
    <w:rPr>
      <w:color w:val="0000FF"/>
      <w:u w:val="single"/>
    </w:rPr>
  </w:style>
  <w:style w:type="paragraph" w:customStyle="1" w:styleId="39">
    <w:name w:val="Default"/>
    <w:next w:val="1"/>
    <w:qFormat/>
    <w:uiPriority w:val="0"/>
    <w:pPr>
      <w:widowControl w:val="0"/>
      <w:autoSpaceDE w:val="0"/>
      <w:autoSpaceDN w:val="0"/>
      <w:adjustRightInd w:val="0"/>
      <w:spacing w:line="360" w:lineRule="auto"/>
      <w:jc w:val="both"/>
    </w:pPr>
    <w:rPr>
      <w:rFonts w:ascii="黑体" w:hAnsi="Times New Roman" w:eastAsia="黑体" w:cs="黑体"/>
      <w:color w:val="000000"/>
      <w:sz w:val="24"/>
      <w:szCs w:val="24"/>
      <w:lang w:val="en-US" w:eastAsia="zh-CN" w:bidi="ar-SA"/>
    </w:rPr>
  </w:style>
  <w:style w:type="character" w:customStyle="1" w:styleId="40">
    <w:name w:val="标题 1 Char"/>
    <w:basedOn w:val="35"/>
    <w:link w:val="2"/>
    <w:qFormat/>
    <w:uiPriority w:val="0"/>
    <w:rPr>
      <w:rFonts w:ascii="黑体" w:hAnsi="黑体" w:eastAsia="黑体" w:cs="黑体"/>
      <w:b/>
      <w:bCs/>
      <w:kern w:val="44"/>
      <w:sz w:val="36"/>
      <w:szCs w:val="36"/>
      <w:lang w:val="en-US" w:eastAsia="zh-CN" w:bidi="ar-SA"/>
    </w:rPr>
  </w:style>
  <w:style w:type="character" w:customStyle="1" w:styleId="41">
    <w:name w:val="标题 2 Char"/>
    <w:link w:val="3"/>
    <w:qFormat/>
    <w:uiPriority w:val="0"/>
    <w:rPr>
      <w:rFonts w:ascii="黑体" w:hAnsi="黑体" w:eastAsia="宋体" w:cs="黑体"/>
      <w:b/>
      <w:sz w:val="30"/>
      <w:szCs w:val="30"/>
    </w:rPr>
  </w:style>
  <w:style w:type="character" w:customStyle="1" w:styleId="42">
    <w:name w:val="标题 3 Char"/>
    <w:link w:val="4"/>
    <w:qFormat/>
    <w:uiPriority w:val="0"/>
    <w:rPr>
      <w:rFonts w:ascii="黑体" w:hAnsi="黑体" w:eastAsia="宋体" w:cs="黑体"/>
      <w:b/>
      <w:sz w:val="30"/>
      <w:szCs w:val="30"/>
    </w:rPr>
  </w:style>
  <w:style w:type="character" w:customStyle="1" w:styleId="43">
    <w:name w:val="正文文本 Char"/>
    <w:basedOn w:val="35"/>
    <w:link w:val="9"/>
    <w:qFormat/>
    <w:uiPriority w:val="0"/>
    <w:rPr>
      <w:kern w:val="2"/>
      <w:sz w:val="21"/>
    </w:rPr>
  </w:style>
  <w:style w:type="character" w:customStyle="1" w:styleId="44">
    <w:name w:val="页脚 Char"/>
    <w:basedOn w:val="35"/>
    <w:link w:val="22"/>
    <w:qFormat/>
    <w:uiPriority w:val="99"/>
    <w:rPr>
      <w:kern w:val="2"/>
      <w:sz w:val="18"/>
      <w:szCs w:val="18"/>
    </w:rPr>
  </w:style>
  <w:style w:type="character" w:customStyle="1" w:styleId="45">
    <w:name w:val="文档结构图 Char"/>
    <w:basedOn w:val="35"/>
    <w:link w:val="11"/>
    <w:qFormat/>
    <w:uiPriority w:val="0"/>
    <w:rPr>
      <w:rFonts w:ascii="宋体" w:hAnsi="Calibri"/>
      <w:kern w:val="2"/>
      <w:sz w:val="18"/>
      <w:szCs w:val="18"/>
    </w:rPr>
  </w:style>
  <w:style w:type="character" w:customStyle="1" w:styleId="46">
    <w:name w:val="批注框文本 Char"/>
    <w:basedOn w:val="35"/>
    <w:link w:val="21"/>
    <w:qFormat/>
    <w:uiPriority w:val="0"/>
    <w:rPr>
      <w:rFonts w:ascii="Calibri" w:hAnsi="Calibri"/>
      <w:kern w:val="2"/>
      <w:sz w:val="18"/>
      <w:szCs w:val="18"/>
    </w:rPr>
  </w:style>
  <w:style w:type="character" w:customStyle="1" w:styleId="47">
    <w:name w:val="标题 5 Char"/>
    <w:basedOn w:val="35"/>
    <w:link w:val="6"/>
    <w:qFormat/>
    <w:uiPriority w:val="0"/>
    <w:rPr>
      <w:rFonts w:ascii="Calibri" w:hAnsi="Calibri"/>
      <w:b/>
      <w:bCs/>
      <w:kern w:val="2"/>
      <w:sz w:val="28"/>
      <w:szCs w:val="28"/>
    </w:rPr>
  </w:style>
  <w:style w:type="character" w:customStyle="1" w:styleId="48">
    <w:name w:val="UserStyle_1 Char"/>
    <w:basedOn w:val="35"/>
    <w:qFormat/>
    <w:uiPriority w:val="0"/>
    <w:rPr>
      <w:rFonts w:ascii="宋体" w:hAnsi="宋体" w:eastAsia="楷体_GB2312"/>
      <w:kern w:val="0"/>
      <w:sz w:val="32"/>
      <w:szCs w:val="28"/>
    </w:rPr>
  </w:style>
  <w:style w:type="paragraph" w:customStyle="1" w:styleId="49">
    <w:name w:val="UserStyle_1"/>
    <w:basedOn w:val="1"/>
    <w:qFormat/>
    <w:uiPriority w:val="0"/>
    <w:pPr>
      <w:widowControl/>
      <w:spacing w:line="240" w:lineRule="atLeast"/>
      <w:ind w:firstLine="200" w:firstLineChars="200"/>
    </w:pPr>
    <w:rPr>
      <w:rFonts w:ascii="宋体" w:hAnsi="宋体" w:eastAsia="楷体_GB2312"/>
      <w:kern w:val="0"/>
      <w:sz w:val="32"/>
      <w:szCs w:val="28"/>
    </w:rPr>
  </w:style>
  <w:style w:type="character" w:customStyle="1" w:styleId="50">
    <w:name w:val="font41"/>
    <w:basedOn w:val="35"/>
    <w:qFormat/>
    <w:uiPriority w:val="0"/>
    <w:rPr>
      <w:rFonts w:hint="eastAsia" w:ascii="宋体" w:hAnsi="宋体" w:eastAsia="宋体" w:cs="宋体"/>
      <w:color w:val="FF0000"/>
      <w:sz w:val="20"/>
      <w:szCs w:val="20"/>
      <w:u w:val="none"/>
    </w:rPr>
  </w:style>
  <w:style w:type="character" w:customStyle="1" w:styleId="51">
    <w:name w:val="标题 2 字符"/>
    <w:link w:val="3"/>
    <w:qFormat/>
    <w:uiPriority w:val="0"/>
  </w:style>
  <w:style w:type="paragraph" w:styleId="52">
    <w:name w:val="List Paragraph"/>
    <w:basedOn w:val="1"/>
    <w:qFormat/>
    <w:uiPriority w:val="0"/>
    <w:pPr>
      <w:ind w:firstLine="200" w:firstLineChars="200"/>
    </w:pPr>
  </w:style>
  <w:style w:type="paragraph" w:customStyle="1" w:styleId="53">
    <w:name w:val="BX正文"/>
    <w:basedOn w:val="1"/>
    <w:qFormat/>
    <w:uiPriority w:val="0"/>
    <w:pPr>
      <w:spacing w:line="360" w:lineRule="auto"/>
      <w:ind w:firstLine="200" w:firstLineChars="200"/>
    </w:pPr>
    <w:rPr>
      <w:sz w:val="24"/>
      <w:szCs w:val="22"/>
    </w:rPr>
  </w:style>
  <w:style w:type="character" w:customStyle="1" w:styleId="54">
    <w:name w:val="NormalCharacter"/>
    <w:link w:val="55"/>
    <w:semiHidden/>
    <w:qFormat/>
    <w:uiPriority w:val="0"/>
    <w:rPr>
      <w:rFonts w:ascii="宋体" w:hAnsi="宋体" w:eastAsia="楷体_GB2312"/>
      <w:kern w:val="0"/>
      <w:sz w:val="32"/>
      <w:szCs w:val="28"/>
    </w:rPr>
  </w:style>
  <w:style w:type="paragraph" w:customStyle="1" w:styleId="55">
    <w:name w:val="UserStyle_4"/>
    <w:basedOn w:val="56"/>
    <w:next w:val="56"/>
    <w:link w:val="54"/>
    <w:qFormat/>
    <w:uiPriority w:val="0"/>
    <w:pPr>
      <w:spacing w:line="240" w:lineRule="atLeast"/>
      <w:ind w:left="420" w:firstLine="420"/>
      <w:jc w:val="left"/>
      <w:textAlignment w:val="baseline"/>
    </w:pPr>
  </w:style>
  <w:style w:type="paragraph" w:customStyle="1" w:styleId="56">
    <w:name w:val="UserStyle_5"/>
    <w:qFormat/>
    <w:uiPriority w:val="0"/>
    <w:pPr>
      <w:jc w:val="both"/>
      <w:textAlignment w:val="baseline"/>
    </w:pPr>
    <w:rPr>
      <w:rFonts w:ascii="Times New Roman" w:hAnsi="Times New Roman" w:eastAsia="宋体" w:cs="黑体"/>
      <w:kern w:val="2"/>
      <w:sz w:val="21"/>
      <w:szCs w:val="24"/>
      <w:lang w:val="en-US" w:eastAsia="zh-CN" w:bidi="ar-SA"/>
    </w:rPr>
  </w:style>
  <w:style w:type="paragraph" w:customStyle="1" w:styleId="57">
    <w:name w:val="UserStyle_0"/>
    <w:basedOn w:val="1"/>
    <w:next w:val="1"/>
    <w:link w:val="62"/>
    <w:qFormat/>
    <w:uiPriority w:val="0"/>
    <w:pPr>
      <w:jc w:val="both"/>
      <w:textAlignment w:val="baseline"/>
    </w:pPr>
    <w:rPr>
      <w:rFonts w:ascii="Times New Roman" w:hAnsi="Times New Roman" w:eastAsia="宋体"/>
      <w:kern w:val="2"/>
      <w:sz w:val="21"/>
      <w:szCs w:val="24"/>
      <w:lang w:val="en-US" w:eastAsia="zh-CN" w:bidi="ar-SA"/>
    </w:rPr>
  </w:style>
  <w:style w:type="paragraph" w:customStyle="1" w:styleId="58">
    <w:name w:val="正文 A"/>
    <w:qFormat/>
    <w:uiPriority w:val="0"/>
    <w:pPr>
      <w:widowControl w:val="0"/>
      <w:jc w:val="both"/>
    </w:pPr>
    <w:rPr>
      <w:rFonts w:ascii="Calibri" w:hAnsi="Calibri" w:eastAsia="Calibri" w:cs="Times New Roman"/>
      <w:color w:val="000000"/>
      <w:kern w:val="2"/>
      <w:sz w:val="21"/>
      <w:szCs w:val="21"/>
      <w:u w:val="none" w:color="000000"/>
      <w:lang w:val="en-US" w:eastAsia="zh-CN" w:bidi="ar-SA"/>
    </w:rPr>
  </w:style>
  <w:style w:type="paragraph" w:customStyle="1" w:styleId="59">
    <w:name w:val="p0"/>
    <w:basedOn w:val="1"/>
    <w:qFormat/>
    <w:uiPriority w:val="0"/>
    <w:pPr>
      <w:widowControl/>
    </w:pPr>
    <w:rPr>
      <w:rFonts w:ascii="Times New Roman" w:hAnsi="Times New Roman"/>
      <w:kern w:val="0"/>
      <w:szCs w:val="21"/>
    </w:rPr>
  </w:style>
  <w:style w:type="character" w:customStyle="1" w:styleId="60">
    <w:name w:val="font71"/>
    <w:basedOn w:val="35"/>
    <w:qFormat/>
    <w:uiPriority w:val="0"/>
    <w:rPr>
      <w:rFonts w:ascii="Arial" w:hAnsi="Arial" w:cs="Arial"/>
      <w:color w:val="000000"/>
      <w:sz w:val="18"/>
      <w:szCs w:val="18"/>
      <w:u w:val="none"/>
    </w:rPr>
  </w:style>
  <w:style w:type="character" w:customStyle="1" w:styleId="61">
    <w:name w:val="font81"/>
    <w:basedOn w:val="35"/>
    <w:qFormat/>
    <w:uiPriority w:val="0"/>
    <w:rPr>
      <w:rFonts w:hint="default" w:ascii="Arial" w:hAnsi="Arial" w:cs="Arial"/>
      <w:color w:val="000000"/>
      <w:sz w:val="18"/>
      <w:szCs w:val="18"/>
      <w:u w:val="none"/>
    </w:rPr>
  </w:style>
  <w:style w:type="character" w:customStyle="1" w:styleId="62">
    <w:name w:val="UserStyle_0 Char"/>
    <w:basedOn w:val="35"/>
    <w:link w:val="57"/>
    <w:qFormat/>
    <w:uiPriority w:val="0"/>
    <w:rPr>
      <w:rFonts w:ascii="Times New Roman" w:hAnsi="Times New Roman" w:eastAsia="宋体" w:cs="Times New Roman"/>
      <w:kern w:val="2"/>
      <w:sz w:val="21"/>
      <w:szCs w:val="24"/>
      <w:lang w:val="en-US" w:eastAsia="zh-CN" w:bidi="ar-SA"/>
    </w:rPr>
  </w:style>
  <w:style w:type="paragraph" w:customStyle="1" w:styleId="63">
    <w:name w:val="Heading #2|1"/>
    <w:basedOn w:val="1"/>
    <w:qFormat/>
    <w:uiPriority w:val="0"/>
    <w:pPr>
      <w:widowControl w:val="0"/>
      <w:shd w:val="clear" w:color="auto" w:fill="auto"/>
      <w:spacing w:after="470" w:line="562" w:lineRule="exact"/>
      <w:jc w:val="center"/>
      <w:outlineLvl w:val="1"/>
    </w:pPr>
    <w:rPr>
      <w:rFonts w:ascii="宋体" w:hAnsi="宋体" w:eastAsia="宋体" w:cs="宋体"/>
      <w:sz w:val="42"/>
      <w:szCs w:val="42"/>
      <w:u w:val="none"/>
      <w:shd w:val="clear" w:color="auto" w:fill="auto"/>
      <w:lang w:val="zh-TW" w:eastAsia="zh-TW" w:bidi="zh-TW"/>
    </w:rPr>
  </w:style>
  <w:style w:type="paragraph" w:customStyle="1" w:styleId="64">
    <w:name w:val="Body text|2"/>
    <w:basedOn w:val="1"/>
    <w:qFormat/>
    <w:uiPriority w:val="0"/>
    <w:pPr>
      <w:widowControl w:val="0"/>
      <w:shd w:val="clear" w:color="auto" w:fill="auto"/>
      <w:spacing w:line="394" w:lineRule="auto"/>
      <w:ind w:firstLine="400"/>
    </w:pPr>
    <w:rPr>
      <w:rFonts w:ascii="宋体" w:hAnsi="宋体" w:eastAsia="宋体" w:cs="宋体"/>
      <w:sz w:val="30"/>
      <w:szCs w:val="30"/>
      <w:u w:val="none"/>
      <w:shd w:val="clear" w:color="auto" w:fill="auto"/>
      <w:lang w:val="zh-TW" w:eastAsia="zh-TW" w:bidi="zh-TW"/>
    </w:rPr>
  </w:style>
  <w:style w:type="paragraph" w:customStyle="1" w:styleId="65">
    <w:name w:val="主送对象"/>
    <w:next w:val="1"/>
    <w:qFormat/>
    <w:uiPriority w:val="0"/>
    <w:pPr>
      <w:spacing w:line="560" w:lineRule="exact"/>
    </w:pPr>
    <w:rPr>
      <w:rFonts w:ascii="仿宋_GB2312" w:hAnsi="仿宋_GB2312" w:eastAsia="仿宋_GB2312" w:cs="仿宋_GB2312"/>
      <w:sz w:val="32"/>
      <w:szCs w:val="32"/>
    </w:rPr>
  </w:style>
  <w:style w:type="paragraph" w:customStyle="1" w:styleId="66">
    <w:name w:val="正文2"/>
    <w:basedOn w:val="1"/>
    <w:next w:val="1"/>
    <w:qFormat/>
    <w:uiPriority w:val="0"/>
    <w:rPr>
      <w:rFonts w:hint="eastAsia"/>
    </w:rPr>
  </w:style>
  <w:style w:type="character" w:customStyle="1" w:styleId="67">
    <w:name w:val="font21"/>
    <w:basedOn w:val="35"/>
    <w:qFormat/>
    <w:uiPriority w:val="0"/>
    <w:rPr>
      <w:rFonts w:hint="eastAsia" w:ascii="宋体" w:hAnsi="宋体" w:eastAsia="宋体" w:cs="宋体"/>
      <w:color w:val="000000"/>
      <w:sz w:val="16"/>
      <w:szCs w:val="16"/>
      <w:u w:val="none"/>
    </w:rPr>
  </w:style>
  <w:style w:type="character" w:customStyle="1" w:styleId="68">
    <w:name w:val="font11"/>
    <w:basedOn w:val="35"/>
    <w:qFormat/>
    <w:uiPriority w:val="0"/>
    <w:rPr>
      <w:rFonts w:hint="eastAsia" w:ascii="宋体" w:hAnsi="宋体" w:eastAsia="宋体" w:cs="宋体"/>
      <w:b/>
      <w:bCs/>
      <w:color w:val="000000"/>
      <w:sz w:val="24"/>
      <w:szCs w:val="24"/>
      <w:u w:val="none"/>
    </w:rPr>
  </w:style>
  <w:style w:type="paragraph" w:customStyle="1" w:styleId="69">
    <w:name w:val="BodyText1I2"/>
    <w:basedOn w:val="70"/>
    <w:qFormat/>
    <w:uiPriority w:val="0"/>
    <w:pPr>
      <w:ind w:firstLine="640" w:firstLineChars="200"/>
    </w:pPr>
    <w:rPr>
      <w:color w:val="000000"/>
      <w:sz w:val="32"/>
    </w:rPr>
  </w:style>
  <w:style w:type="paragraph" w:customStyle="1" w:styleId="70">
    <w:name w:val="BodyTextIndent"/>
    <w:basedOn w:val="1"/>
    <w:qFormat/>
    <w:uiPriority w:val="0"/>
    <w:pPr>
      <w:spacing w:after="120"/>
      <w:ind w:left="420" w:leftChars="200"/>
    </w:pPr>
    <w:rPr>
      <w:rFonts w:ascii="Times New Roman" w:hAnsi="Times New Roman" w:eastAsia="宋体"/>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1706</Words>
  <Characters>1884</Characters>
  <Lines>110</Lines>
  <Paragraphs>31</Paragraphs>
  <TotalTime>10</TotalTime>
  <ScaleCrop>false</ScaleCrop>
  <LinksUpToDate>false</LinksUpToDate>
  <CharactersWithSpaces>2024</CharactersWithSpaces>
  <Application>WPS Office_11.8.2.1120_F1E327BC-269C-435d-A152-05C5408002CA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2022-04-15T15:47:00Z</dcterms:created>
  <dc:creator>苜蓿</dc:creator>
  <cp:lastModifiedBy>user</cp:lastModifiedBy>
  <cp:lastPrinted>2026-06-03T09:05:00Z</cp:lastPrinted>
  <dcterms:modified xsi:type="dcterms:W3CDTF">2026-06-04T16:05:57Z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2052-11.8.2.1120</vt:lpwstr>
  </property>
  <property fmtid="{D5CDD505-2E9C-101B-9397-08002B2CF9AE}" pid="3" name="ICV">
    <vt:lpwstr>82E5B69C604D4DDF8DE6DD26F55EF95C_13</vt:lpwstr>
  </property>
  <property fmtid="{D5CDD505-2E9C-101B-9397-08002B2CF9AE}" pid="4" name="KSOTemplateDocerSaveRecord">
    <vt:lpwstr>eyJoZGlkIjoiMzM4MGY3Y2Y5ZjNkOTAwYWU4NDNiNzI1MzczYmVmOTIiLCJ1c2VySWQiOiI4MjY5NDE4NTUifQ==</vt:lpwstr>
  </property>
</Properties>
</file>