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E3AF0">
      <w:pPr>
        <w:keepNext w:val="0"/>
        <w:keepLines w:val="0"/>
        <w:pageBreakBefore w:val="0"/>
        <w:widowControl w:val="0"/>
        <w:tabs>
          <w:tab w:val="left" w:pos="0"/>
        </w:tabs>
        <w:kinsoku/>
        <w:wordWrap/>
        <w:overflowPunct/>
        <w:topLinePunct w:val="0"/>
        <w:autoSpaceDE/>
        <w:autoSpaceDN/>
        <w:bidi w:val="0"/>
        <w:adjustRightInd/>
        <w:snapToGrid/>
        <w:spacing w:line="640" w:lineRule="exact"/>
        <w:ind w:firstLine="0" w:firstLineChars="0"/>
        <w:jc w:val="both"/>
        <w:textAlignment w:val="auto"/>
        <w:rPr>
          <w:rFonts w:hint="eastAsia" w:ascii="方正小标宋_GBK" w:hAnsi="方正小标宋_GBK" w:eastAsia="方正小标宋_GBK" w:cs="方正小标宋_GBK"/>
          <w:b w:val="0"/>
          <w:bCs w:val="0"/>
          <w:sz w:val="44"/>
          <w:szCs w:val="44"/>
          <w:lang w:eastAsia="zh-CN"/>
        </w:rPr>
      </w:pPr>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1</w:t>
      </w:r>
      <w:bookmarkStart w:id="1" w:name="_GoBack"/>
      <w:bookmarkEnd w:id="1"/>
    </w:p>
    <w:p w14:paraId="42DA86B0">
      <w:pPr>
        <w:keepNext w:val="0"/>
        <w:keepLines w:val="0"/>
        <w:pageBreakBefore w:val="0"/>
        <w:widowControl w:val="0"/>
        <w:tabs>
          <w:tab w:val="left" w:pos="0"/>
        </w:tabs>
        <w:kinsoku/>
        <w:wordWrap/>
        <w:overflowPunct/>
        <w:topLinePunct w:val="0"/>
        <w:autoSpaceDE/>
        <w:autoSpaceDN/>
        <w:bidi w:val="0"/>
        <w:adjustRightInd/>
        <w:snapToGrid/>
        <w:spacing w:line="640" w:lineRule="exact"/>
        <w:ind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黑水炬力燃气有限公司</w:t>
      </w:r>
    </w:p>
    <w:p w14:paraId="11D9F26B">
      <w:pPr>
        <w:keepNext w:val="0"/>
        <w:keepLines w:val="0"/>
        <w:pageBreakBefore w:val="0"/>
        <w:widowControl w:val="0"/>
        <w:tabs>
          <w:tab w:val="left" w:pos="0"/>
        </w:tabs>
        <w:kinsoku/>
        <w:wordWrap/>
        <w:overflowPunct/>
        <w:topLinePunct w:val="0"/>
        <w:autoSpaceDE/>
        <w:autoSpaceDN/>
        <w:bidi w:val="0"/>
        <w:adjustRightInd/>
        <w:snapToGrid/>
        <w:spacing w:line="640" w:lineRule="exact"/>
        <w:ind w:firstLine="0" w:firstLineChars="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城镇管道燃气配气成本</w:t>
      </w:r>
      <w:r>
        <w:rPr>
          <w:rFonts w:hint="eastAsia" w:ascii="方正小标宋_GBK" w:hAnsi="方正小标宋_GBK" w:eastAsia="方正小标宋_GBK" w:cs="方正小标宋_GBK"/>
          <w:b w:val="0"/>
          <w:bCs w:val="0"/>
          <w:sz w:val="44"/>
          <w:szCs w:val="44"/>
          <w:lang w:eastAsia="zh-CN"/>
        </w:rPr>
        <w:t>调查</w:t>
      </w:r>
      <w:r>
        <w:rPr>
          <w:rFonts w:hint="eastAsia" w:ascii="方正小标宋_GBK" w:hAnsi="方正小标宋_GBK" w:eastAsia="方正小标宋_GBK" w:cs="方正小标宋_GBK"/>
          <w:b w:val="0"/>
          <w:bCs w:val="0"/>
          <w:sz w:val="44"/>
          <w:szCs w:val="44"/>
        </w:rPr>
        <w:t>报告</w:t>
      </w:r>
    </w:p>
    <w:p w14:paraId="057759DA">
      <w:pPr>
        <w:ind w:firstLine="0" w:firstLineChars="0"/>
        <w:rPr>
          <w:rFonts w:ascii="Times New Roman" w:hAnsi="Times New Roman" w:cs="Times New Roman"/>
          <w:sz w:val="32"/>
          <w:szCs w:val="32"/>
        </w:rPr>
      </w:pPr>
    </w:p>
    <w:p w14:paraId="42D15931">
      <w:pPr>
        <w:pStyle w:val="7"/>
        <w:keepNext w:val="0"/>
        <w:keepLines w:val="0"/>
        <w:pageBreakBefore w:val="0"/>
        <w:widowControl/>
        <w:suppressLineNumbers w:val="0"/>
        <w:kinsoku/>
        <w:wordWrap/>
        <w:overflowPunct/>
        <w:topLinePunct w:val="0"/>
        <w:autoSpaceDE/>
        <w:autoSpaceDN/>
        <w:bidi w:val="0"/>
        <w:adjustRightInd/>
        <w:snapToGrid/>
        <w:spacing w:line="560" w:lineRule="atLeas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按照《中华人民共和国价格法》《政府制定价格成本监审办法》（国家发展和改革委员会令第 8号）和《&lt;四川省城镇管道燃气配气定价成本监审办法&gt;的通知》（川发改价格〔2020〕353号）》等法律规章及相关规范性文件</w:t>
      </w:r>
      <w:r>
        <w:rPr>
          <w:rFonts w:hint="eastAsia" w:ascii="仿宋_GB2312" w:eastAsia="仿宋_GB2312" w:cs="仿宋_GB2312"/>
          <w:color w:val="000000"/>
          <w:sz w:val="32"/>
          <w:szCs w:val="32"/>
          <w:lang w:eastAsia="zh-CN"/>
        </w:rPr>
        <w:t>规定</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黑水县发展改革和经信商务局</w:t>
      </w:r>
      <w:r>
        <w:rPr>
          <w:rFonts w:hint="eastAsia" w:ascii="仿宋_GB2312" w:eastAsia="仿宋_GB2312" w:cs="仿宋_GB2312"/>
          <w:color w:val="000000"/>
          <w:sz w:val="32"/>
          <w:szCs w:val="32"/>
        </w:rPr>
        <w:t>对黑水炬力燃气有限公司城镇管道燃气配气成本进行</w:t>
      </w:r>
      <w:r>
        <w:rPr>
          <w:rFonts w:hint="eastAsia" w:ascii="仿宋_GB2312" w:eastAsia="仿宋_GB2312" w:cs="仿宋_GB2312"/>
          <w:color w:val="000000"/>
          <w:sz w:val="32"/>
          <w:szCs w:val="32"/>
          <w:lang w:val="en-US" w:eastAsia="zh-CN"/>
        </w:rPr>
        <w:t>调查</w:t>
      </w:r>
      <w:r>
        <w:rPr>
          <w:rFonts w:hint="eastAsia" w:ascii="仿宋_GB2312" w:eastAsia="仿宋_GB2312" w:cs="仿宋_GB2312"/>
          <w:color w:val="000000"/>
          <w:sz w:val="32"/>
          <w:szCs w:val="32"/>
        </w:rPr>
        <w:t>。黑水炬力燃气有限公司提供了与成本</w:t>
      </w:r>
      <w:r>
        <w:rPr>
          <w:rFonts w:hint="eastAsia" w:ascii="仿宋_GB2312" w:eastAsia="仿宋_GB2312" w:cs="仿宋_GB2312"/>
          <w:color w:val="000000"/>
          <w:sz w:val="32"/>
          <w:szCs w:val="32"/>
          <w:lang w:eastAsia="zh-CN"/>
        </w:rPr>
        <w:t>调查</w:t>
      </w:r>
      <w:r>
        <w:rPr>
          <w:rFonts w:hint="eastAsia" w:ascii="仿宋_GB2312" w:eastAsia="仿宋_GB2312" w:cs="仿宋_GB2312"/>
          <w:color w:val="000000"/>
          <w:sz w:val="32"/>
          <w:szCs w:val="32"/>
        </w:rPr>
        <w:t>相关的文件资料，</w:t>
      </w:r>
      <w:r>
        <w:rPr>
          <w:rFonts w:hint="eastAsia" w:ascii="仿宋_GB2312" w:eastAsia="仿宋_GB2312" w:cs="仿宋_GB2312"/>
          <w:color w:val="000000"/>
          <w:sz w:val="32"/>
          <w:szCs w:val="32"/>
          <w:lang w:val="en-US" w:eastAsia="zh-CN"/>
        </w:rPr>
        <w:t>并对</w:t>
      </w:r>
      <w:r>
        <w:rPr>
          <w:rFonts w:hint="eastAsia" w:ascii="仿宋_GB2312" w:eastAsia="仿宋_GB2312" w:cs="仿宋_GB2312"/>
          <w:color w:val="000000"/>
          <w:sz w:val="32"/>
          <w:szCs w:val="32"/>
        </w:rPr>
        <w:t>上述资料的真实性、完整性、合法性负责。</w:t>
      </w:r>
    </w:p>
    <w:p w14:paraId="229A7BDB">
      <w:pPr>
        <w:pageBreakBefore w:val="0"/>
        <w:kinsoku/>
        <w:wordWrap/>
        <w:overflowPunct w:val="0"/>
        <w:topLinePunct w:val="0"/>
        <w:autoSpaceDE/>
        <w:autoSpaceDN/>
        <w:bidi w:val="0"/>
        <w:adjustRightInd/>
        <w:snapToGrid/>
        <w:spacing w:line="560" w:lineRule="atLeast"/>
        <w:ind w:firstLine="640"/>
        <w:textAlignment w:val="auto"/>
        <w:rPr>
          <w:rFonts w:hint="eastAsia" w:ascii="Times New Roman" w:hAnsi="Times New Roman" w:eastAsia="仿宋_GB2312" w:cs="Times New Roman"/>
          <w:sz w:val="32"/>
          <w:szCs w:val="32"/>
          <w:lang w:eastAsia="zh-CN"/>
        </w:rPr>
      </w:pPr>
      <w:r>
        <w:rPr>
          <w:rFonts w:hint="eastAsia" w:ascii="Times New Roman" w:hAnsi="Times New Roman" w:cs="Times New Roman"/>
          <w:sz w:val="32"/>
          <w:szCs w:val="32"/>
          <w:lang w:eastAsia="zh-CN"/>
        </w:rPr>
        <w:t>调查</w:t>
      </w:r>
      <w:r>
        <w:rPr>
          <w:rFonts w:ascii="Times New Roman" w:hAnsi="Times New Roman" w:cs="Times New Roman"/>
          <w:sz w:val="32"/>
          <w:szCs w:val="32"/>
        </w:rPr>
        <w:t>依据《中华人民共和国会计法》《</w:t>
      </w:r>
      <w:r>
        <w:rPr>
          <w:rFonts w:hint="eastAsia" w:ascii="Times New Roman" w:hAnsi="Times New Roman" w:cs="Times New Roman"/>
          <w:sz w:val="32"/>
          <w:szCs w:val="32"/>
        </w:rPr>
        <w:t>黑水县管道天然气入户引入社会资本项目实施方案</w:t>
      </w:r>
      <w:r>
        <w:rPr>
          <w:rFonts w:ascii="Times New Roman" w:hAnsi="Times New Roman" w:cs="Times New Roman"/>
          <w:sz w:val="32"/>
          <w:szCs w:val="32"/>
        </w:rPr>
        <w:t>》《</w:t>
      </w:r>
      <w:r>
        <w:rPr>
          <w:rFonts w:hint="eastAsia" w:ascii="Times New Roman" w:hAnsi="Times New Roman" w:cs="Times New Roman"/>
          <w:sz w:val="32"/>
          <w:szCs w:val="32"/>
        </w:rPr>
        <w:t>四川省城镇管道燃气配气定价成本监审办法</w:t>
      </w:r>
      <w:r>
        <w:rPr>
          <w:rFonts w:ascii="Times New Roman" w:hAnsi="Times New Roman" w:cs="Times New Roman"/>
          <w:sz w:val="32"/>
          <w:szCs w:val="32"/>
        </w:rPr>
        <w:t>》等相关</w:t>
      </w:r>
      <w:r>
        <w:rPr>
          <w:rFonts w:hint="eastAsia" w:ascii="Times New Roman" w:hAnsi="Times New Roman" w:cs="Times New Roman"/>
          <w:sz w:val="32"/>
          <w:szCs w:val="32"/>
        </w:rPr>
        <w:t>资料</w:t>
      </w:r>
      <w:r>
        <w:rPr>
          <w:rFonts w:ascii="Times New Roman" w:hAnsi="Times New Roman" w:cs="Times New Roman"/>
          <w:sz w:val="32"/>
          <w:szCs w:val="32"/>
        </w:rPr>
        <w:t>进行。</w:t>
      </w:r>
      <w:r>
        <w:rPr>
          <w:rFonts w:hint="eastAsia" w:ascii="Times New Roman" w:hAnsi="Times New Roman" w:cs="Times New Roman"/>
          <w:sz w:val="32"/>
          <w:szCs w:val="32"/>
          <w:lang w:eastAsia="zh-CN"/>
        </w:rPr>
        <w:t>调查</w:t>
      </w:r>
      <w:r>
        <w:rPr>
          <w:rFonts w:ascii="Times New Roman" w:hAnsi="Times New Roman" w:cs="Times New Roman"/>
          <w:sz w:val="32"/>
          <w:szCs w:val="32"/>
        </w:rPr>
        <w:t>过程中，结合</w:t>
      </w:r>
      <w:r>
        <w:rPr>
          <w:rFonts w:hint="eastAsia" w:ascii="Times New Roman" w:hAnsi="Times New Roman" w:cs="Times New Roman"/>
          <w:sz w:val="32"/>
          <w:szCs w:val="32"/>
        </w:rPr>
        <w:t>黑水炬力燃气有限公司</w:t>
      </w:r>
      <w:r>
        <w:rPr>
          <w:rFonts w:ascii="Times New Roman" w:hAnsi="Times New Roman" w:cs="Times New Roman"/>
          <w:sz w:val="32"/>
          <w:szCs w:val="32"/>
        </w:rPr>
        <w:t>的实际情况，实施了包括询问、</w:t>
      </w:r>
      <w:r>
        <w:rPr>
          <w:rFonts w:hint="eastAsia" w:ascii="Times New Roman" w:hAnsi="Times New Roman" w:cs="Times New Roman"/>
          <w:sz w:val="32"/>
          <w:szCs w:val="32"/>
        </w:rPr>
        <w:t>实地调查</w:t>
      </w:r>
      <w:r>
        <w:rPr>
          <w:rFonts w:ascii="Times New Roman" w:hAnsi="Times New Roman" w:cs="Times New Roman"/>
          <w:sz w:val="32"/>
          <w:szCs w:val="32"/>
        </w:rPr>
        <w:t>、</w:t>
      </w:r>
      <w:r>
        <w:rPr>
          <w:rFonts w:hint="eastAsia" w:ascii="Times New Roman" w:hAnsi="Times New Roman" w:cs="Times New Roman"/>
          <w:sz w:val="32"/>
          <w:szCs w:val="32"/>
        </w:rPr>
        <w:t>检查</w:t>
      </w:r>
      <w:r>
        <w:rPr>
          <w:rFonts w:ascii="Times New Roman" w:hAnsi="Times New Roman" w:cs="Times New Roman"/>
          <w:sz w:val="32"/>
          <w:szCs w:val="32"/>
        </w:rPr>
        <w:t>等必要的程序</w:t>
      </w:r>
      <w:r>
        <w:rPr>
          <w:rFonts w:hint="eastAsia" w:ascii="Times New Roman" w:hAnsi="Times New Roman" w:cs="Times New Roman"/>
          <w:sz w:val="32"/>
          <w:szCs w:val="32"/>
          <w:lang w:eastAsia="zh-CN"/>
        </w:rPr>
        <w:t>，</w:t>
      </w:r>
      <w:r>
        <w:rPr>
          <w:rFonts w:ascii="Times New Roman" w:hAnsi="Times New Roman" w:cs="Times New Roman"/>
          <w:sz w:val="32"/>
          <w:szCs w:val="32"/>
        </w:rPr>
        <w:t>现将</w:t>
      </w:r>
      <w:r>
        <w:rPr>
          <w:rFonts w:hint="eastAsia" w:ascii="Times New Roman" w:hAnsi="Times New Roman" w:cs="Times New Roman"/>
          <w:sz w:val="32"/>
          <w:szCs w:val="32"/>
          <w:lang w:eastAsia="zh-CN"/>
        </w:rPr>
        <w:t>调查</w:t>
      </w:r>
      <w:r>
        <w:rPr>
          <w:rFonts w:ascii="Times New Roman" w:hAnsi="Times New Roman" w:cs="Times New Roman"/>
          <w:sz w:val="32"/>
          <w:szCs w:val="32"/>
        </w:rPr>
        <w:t>情况报告如下</w:t>
      </w:r>
      <w:r>
        <w:rPr>
          <w:rFonts w:hint="eastAsia" w:ascii="Times New Roman" w:hAnsi="Times New Roman" w:cs="Times New Roman"/>
          <w:sz w:val="32"/>
          <w:szCs w:val="32"/>
          <w:lang w:eastAsia="zh-CN"/>
        </w:rPr>
        <w:t>。</w:t>
      </w:r>
    </w:p>
    <w:p w14:paraId="1B8E52AF">
      <w:pPr>
        <w:pStyle w:val="2"/>
        <w:keepNext w:val="0"/>
        <w:keepLines w:val="0"/>
        <w:pageBreakBefore w:val="0"/>
        <w:widowControl/>
        <w:kinsoku/>
        <w:wordWrap/>
        <w:topLinePunct w:val="0"/>
        <w:autoSpaceDE/>
        <w:autoSpaceDN/>
        <w:bidi w:val="0"/>
        <w:adjustRightInd/>
        <w:snapToGrid/>
        <w:spacing w:line="560" w:lineRule="atLeas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一、单位基本情况</w:t>
      </w:r>
    </w:p>
    <w:p w14:paraId="71197BDD">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水炬力燃气有限公司于2023年5月10日经黑水县市场监督管理局登记成立，注册资本：1,000万元，统一社会信用代码：91513228MACHM11G41，法定代表人：郑鸿鸣，注册地址：四川省阿坝藏族羌族自治州黑水县芦花镇彩林路108号。经营范围：许可项目：燃气经营；燃气燃烧器具安装、维修；燃气汽车加气经营；生物质燃气生产和供应；建设工程施工；发电业务、输电业务、供（配）电业务；建筑劳务分包；城市建筑垃圾处置（清运）；建筑物拆除作业（爆破作业除外）；建设工程设计；建设工程监理；公路管理与养护；供暖服务；电气安装服务。（依法须经批准的项目，经相关部门批准后方可开展经营活动，具体经营项目以相关部门批准文件或许可证件为准）一般项目：燃气器具生产；石油天然气技术服务；供应用仪器仪表销售；劳务服务（不含劳务派遣）；住宅水电安装维护服务；家用电器安装服务；工程技术服务（规划管理、勘察、设计、监理除外）；轻质建筑材料销售；非电力家用器具销售；技术服务、技术开发、技术咨询、技术交流、技术转让、技术推广；风力发电技术服务；燃煤烟气脱硫脱硝装备销售；电力电子元器件销售；电力测功电机销售；电力设施器材销售；普通机械设备安装服务；专用设备修理；通用设备修理；电气信号设备装置销售；网络设备销售；机械电气设备销售；太阳能热发电装备销售；太阳能热利用产品销售；太阳能发电技术服务；光伏设备及元器件销售；光伏发电设备租赁；半导体器件专用设备销售；新能源原动设备销售；新能源汽车电附件销售；新能源汽车换电设施销售；工程和技术研究和试验发展；智能输配电及控制设备销售；资源再生利用技术研发；建筑材料销售；建筑物清洁服务；机械设备销售；租赁服务（不含许可类租赁服务）；工程管理服务；园林绿化工程施工；城乡市容管理；节能管理服务；环境保护监测；市政设施管理；集贸市场管理服务；城市绿化管理；五金产品批发；照明器具销售；环境卫生公共设施安装服务；危险化学品应急救援服务（除依法须经批准的项目外，凭营业执照依法自主开展经营活动）。</w:t>
      </w:r>
    </w:p>
    <w:p w14:paraId="58D30886">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水炬力燃气有限公司于2023年11月24日中标，负责实施“黑水县管道天然气入户引入社会资本项目”并取得黑水县域管道天然气特许经营权。现有员工15人，累计完成固定资产投资2,115万元，已建成LNG和CNG双气站，敷设主管道6.5公里（九千年公司至西街哈德广场处，包含长征路），支管线1,200米，入户安装1,037户。</w:t>
      </w:r>
    </w:p>
    <w:p w14:paraId="0CF26AB6">
      <w:pPr>
        <w:pStyle w:val="2"/>
        <w:keepNext w:val="0"/>
        <w:keepLines w:val="0"/>
        <w:pageBreakBefore w:val="0"/>
        <w:widowControl/>
        <w:kinsoku/>
        <w:wordWrap/>
        <w:topLinePunct w:val="0"/>
        <w:autoSpaceDE/>
        <w:autoSpaceDN/>
        <w:bidi w:val="0"/>
        <w:adjustRightInd/>
        <w:snapToGrid/>
        <w:spacing w:line="560" w:lineRule="atLeas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二、成本</w:t>
      </w:r>
      <w:r>
        <w:rPr>
          <w:rFonts w:hint="eastAsia" w:ascii="Times New Roman" w:hAnsi="Times New Roman" w:cs="Times New Roman"/>
          <w:b w:val="0"/>
          <w:bCs w:val="0"/>
          <w:sz w:val="32"/>
          <w:szCs w:val="32"/>
          <w:lang w:eastAsia="zh-CN"/>
        </w:rPr>
        <w:t>调查</w:t>
      </w:r>
      <w:r>
        <w:rPr>
          <w:rFonts w:ascii="Times New Roman" w:hAnsi="Times New Roman" w:cs="Times New Roman"/>
          <w:b w:val="0"/>
          <w:bCs w:val="0"/>
          <w:sz w:val="32"/>
          <w:szCs w:val="32"/>
        </w:rPr>
        <w:t>依据</w:t>
      </w:r>
    </w:p>
    <w:p w14:paraId="3A0EF845">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（一）《中华人民共和国价格法》；</w:t>
      </w:r>
    </w:p>
    <w:p w14:paraId="0F6F3421">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（二）《政府制定价格成本监审办法》（国家发改委令第8号）；</w:t>
      </w:r>
    </w:p>
    <w:p w14:paraId="11BC7749">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（三）《四川省定价成本监审办法》（四川省人民政府令第221号）；</w:t>
      </w:r>
    </w:p>
    <w:p w14:paraId="51595115">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（四）《&lt;四川省城镇管道燃气配气定价成本监审办法&gt;的通知》（川发改价格〔2020〕353号）；</w:t>
      </w:r>
    </w:p>
    <w:p w14:paraId="0D0C9C69">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（五）《四川省定价成本监审目录（</w:t>
      </w:r>
      <w:r>
        <w:rPr>
          <w:rFonts w:hint="eastAsia" w:ascii="仿宋_GB2312" w:hAnsi="仿宋_GB2312" w:cs="仿宋_GB2312"/>
          <w:sz w:val="32"/>
          <w:szCs w:val="32"/>
          <w:lang w:val="en-US" w:eastAsia="zh-CN"/>
        </w:rPr>
        <w:t>2025</w:t>
      </w:r>
      <w:r>
        <w:rPr>
          <w:rFonts w:hint="eastAsia" w:ascii="仿宋_GB2312" w:hAnsi="仿宋_GB2312" w:eastAsia="仿宋_GB2312" w:cs="仿宋_GB2312"/>
          <w:sz w:val="32"/>
          <w:szCs w:val="32"/>
        </w:rPr>
        <w:t>年版）》；</w:t>
      </w:r>
    </w:p>
    <w:p w14:paraId="1E5EBBF0">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（六）《四川省发展和改革委关于印发〈四川省定价成本监审固定资产折旧技术规范〉的通知》（川价发〔2015〕24号）；</w:t>
      </w:r>
    </w:p>
    <w:p w14:paraId="03C1D1F3">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（七）《中华人民共和国会计法》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《企业会计制度》；</w:t>
      </w:r>
    </w:p>
    <w:p w14:paraId="1593701F">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（八）其他相关政策。</w:t>
      </w:r>
    </w:p>
    <w:p w14:paraId="20B7A213">
      <w:pPr>
        <w:pStyle w:val="2"/>
        <w:keepNext w:val="0"/>
        <w:keepLines w:val="0"/>
        <w:pageBreakBefore w:val="0"/>
        <w:widowControl/>
        <w:kinsoku/>
        <w:wordWrap/>
        <w:topLinePunct w:val="0"/>
        <w:autoSpaceDE/>
        <w:autoSpaceDN/>
        <w:bidi w:val="0"/>
        <w:adjustRightInd/>
        <w:snapToGrid/>
        <w:spacing w:line="560" w:lineRule="atLeas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三、成本</w:t>
      </w:r>
      <w:r>
        <w:rPr>
          <w:rFonts w:hint="eastAsia" w:ascii="Times New Roman" w:hAnsi="Times New Roman" w:cs="Times New Roman"/>
          <w:b w:val="0"/>
          <w:bCs w:val="0"/>
          <w:sz w:val="32"/>
          <w:szCs w:val="32"/>
          <w:lang w:eastAsia="zh-CN"/>
        </w:rPr>
        <w:t>调查</w:t>
      </w:r>
      <w:r>
        <w:rPr>
          <w:rFonts w:ascii="Times New Roman" w:hAnsi="Times New Roman" w:cs="Times New Roman"/>
          <w:b w:val="0"/>
          <w:bCs w:val="0"/>
          <w:sz w:val="32"/>
          <w:szCs w:val="32"/>
        </w:rPr>
        <w:t>程序</w:t>
      </w:r>
    </w:p>
    <w:p w14:paraId="6DE5F40B">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（一）发送成本</w:t>
      </w:r>
      <w:r>
        <w:rPr>
          <w:rFonts w:hint="eastAsia" w:ascii="楷体_GB2312" w:hAnsi="楷体_GB2312" w:eastAsia="楷体_GB2312" w:cs="楷体_GB2312"/>
          <w:b/>
          <w:bCs/>
          <w:sz w:val="32"/>
          <w:szCs w:val="32"/>
          <w:lang w:eastAsia="zh-CN"/>
        </w:rPr>
        <w:t>调查</w:t>
      </w:r>
      <w:r>
        <w:rPr>
          <w:rFonts w:hint="eastAsia" w:ascii="楷体_GB2312" w:hAnsi="楷体_GB2312" w:eastAsia="楷体_GB2312" w:cs="楷体_GB2312"/>
          <w:b/>
          <w:bCs/>
          <w:sz w:val="32"/>
          <w:szCs w:val="32"/>
        </w:rPr>
        <w:t>通知。</w:t>
      </w:r>
      <w:r>
        <w:rPr>
          <w:rFonts w:hint="eastAsia" w:ascii="仿宋_GB2312" w:hAnsi="仿宋_GB2312" w:eastAsia="仿宋_GB2312" w:cs="仿宋_GB2312"/>
          <w:sz w:val="32"/>
          <w:szCs w:val="32"/>
        </w:rPr>
        <w:t>由黑水县发展改革和经信商务局向黑水炬力燃气有限公司发送配气定价成本</w:t>
      </w:r>
      <w:r>
        <w:rPr>
          <w:rFonts w:hint="eastAsia" w:ascii="仿宋_GB2312" w:hAnsi="仿宋_GB2312" w:cs="仿宋_GB2312"/>
          <w:sz w:val="32"/>
          <w:szCs w:val="32"/>
          <w:lang w:eastAsia="zh-CN"/>
        </w:rPr>
        <w:t>调查</w:t>
      </w:r>
      <w:r>
        <w:rPr>
          <w:rFonts w:hint="eastAsia" w:ascii="仿宋_GB2312" w:hAnsi="仿宋_GB2312" w:eastAsia="仿宋_GB2312" w:cs="仿宋_GB2312"/>
          <w:sz w:val="32"/>
          <w:szCs w:val="32"/>
        </w:rPr>
        <w:t>通知书，要求其提供与黑水炬力燃气有限公司相关成本数据资料。</w:t>
      </w:r>
    </w:p>
    <w:p w14:paraId="33CA3A29">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（二）资料初审。</w:t>
      </w:r>
      <w:r>
        <w:rPr>
          <w:rFonts w:hint="eastAsia" w:ascii="仿宋_GB2312" w:hAnsi="仿宋_GB2312" w:eastAsia="仿宋_GB2312" w:cs="仿宋_GB2312"/>
          <w:sz w:val="32"/>
          <w:szCs w:val="32"/>
        </w:rPr>
        <w:t>对黑水炬力燃气有限公司所提供的相关成本资料进行初审。</w:t>
      </w:r>
    </w:p>
    <w:p w14:paraId="7B6BDB5C">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（三）实地检查。</w:t>
      </w:r>
      <w:r>
        <w:rPr>
          <w:rFonts w:hint="eastAsia" w:ascii="仿宋_GB2312" w:hAnsi="仿宋_GB2312" w:eastAsia="仿宋_GB2312" w:cs="仿宋_GB2312"/>
          <w:sz w:val="32"/>
          <w:szCs w:val="32"/>
        </w:rPr>
        <w:t>工作组对黑水炬力燃气有限公司的成本资料、合同、会计凭证、实物资产等进行现场审核，对相关成本数据进行归集。</w:t>
      </w:r>
    </w:p>
    <w:p w14:paraId="5953580C">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（四）数据检查。</w:t>
      </w:r>
      <w:r>
        <w:rPr>
          <w:rFonts w:hint="eastAsia" w:ascii="仿宋_GB2312" w:hAnsi="仿宋_GB2312" w:eastAsia="仿宋_GB2312" w:cs="仿宋_GB2312"/>
          <w:sz w:val="32"/>
          <w:szCs w:val="32"/>
        </w:rPr>
        <w:t>按照相关规定，根据成本项目、成本数据的具体情况，对其自行预测的成本科学性、合理性和规范性进行检查，提出成本</w:t>
      </w:r>
      <w:r>
        <w:rPr>
          <w:rFonts w:hint="eastAsia" w:ascii="仿宋_GB2312" w:hAnsi="仿宋_GB2312" w:cs="仿宋_GB2312"/>
          <w:sz w:val="32"/>
          <w:szCs w:val="32"/>
          <w:lang w:eastAsia="zh-CN"/>
        </w:rPr>
        <w:t>调查</w:t>
      </w:r>
      <w:r>
        <w:rPr>
          <w:rFonts w:hint="eastAsia" w:ascii="仿宋_GB2312" w:hAnsi="仿宋_GB2312" w:eastAsia="仿宋_GB2312" w:cs="仿宋_GB2312"/>
          <w:sz w:val="32"/>
          <w:szCs w:val="32"/>
        </w:rPr>
        <w:t>初步结论，召开成本</w:t>
      </w:r>
      <w:r>
        <w:rPr>
          <w:rFonts w:hint="eastAsia" w:ascii="仿宋_GB2312" w:hAnsi="仿宋_GB2312" w:cs="仿宋_GB2312"/>
          <w:sz w:val="32"/>
          <w:szCs w:val="32"/>
          <w:lang w:eastAsia="zh-CN"/>
        </w:rPr>
        <w:t>调查</w:t>
      </w:r>
      <w:r>
        <w:rPr>
          <w:rFonts w:hint="eastAsia" w:ascii="仿宋_GB2312" w:hAnsi="仿宋_GB2312" w:eastAsia="仿宋_GB2312" w:cs="仿宋_GB2312"/>
          <w:sz w:val="32"/>
          <w:szCs w:val="32"/>
        </w:rPr>
        <w:t>集体审议会议，告知被</w:t>
      </w:r>
      <w:r>
        <w:rPr>
          <w:rFonts w:hint="eastAsia" w:ascii="仿宋_GB2312" w:hAnsi="仿宋_GB2312" w:cs="仿宋_GB2312"/>
          <w:sz w:val="32"/>
          <w:szCs w:val="32"/>
          <w:lang w:eastAsia="zh-CN"/>
        </w:rPr>
        <w:t>调查</w:t>
      </w:r>
      <w:r>
        <w:rPr>
          <w:rFonts w:hint="eastAsia" w:ascii="仿宋_GB2312" w:hAnsi="仿宋_GB2312" w:eastAsia="仿宋_GB2312" w:cs="仿宋_GB2312"/>
          <w:sz w:val="32"/>
          <w:szCs w:val="32"/>
        </w:rPr>
        <w:t>单位征求意见。</w:t>
      </w:r>
    </w:p>
    <w:p w14:paraId="0C10CAFF">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（五）出具报告。</w:t>
      </w:r>
      <w:r>
        <w:rPr>
          <w:rFonts w:hint="eastAsia" w:ascii="仿宋_GB2312" w:hAnsi="仿宋_GB2312" w:eastAsia="仿宋_GB2312" w:cs="仿宋_GB2312"/>
          <w:sz w:val="32"/>
          <w:szCs w:val="32"/>
        </w:rPr>
        <w:t>根据黑水炬力燃气有限公司反馈意见再次对成本</w:t>
      </w:r>
      <w:r>
        <w:rPr>
          <w:rFonts w:hint="eastAsia" w:ascii="仿宋_GB2312" w:hAnsi="仿宋_GB2312" w:cs="仿宋_GB2312"/>
          <w:sz w:val="32"/>
          <w:szCs w:val="32"/>
          <w:lang w:eastAsia="zh-CN"/>
        </w:rPr>
        <w:t>调查</w:t>
      </w:r>
      <w:r>
        <w:rPr>
          <w:rFonts w:hint="eastAsia" w:ascii="仿宋_GB2312" w:hAnsi="仿宋_GB2312" w:eastAsia="仿宋_GB2312" w:cs="仿宋_GB2312"/>
          <w:sz w:val="32"/>
          <w:szCs w:val="32"/>
        </w:rPr>
        <w:t>完成复核，完善初步结论，出具成本</w:t>
      </w:r>
      <w:r>
        <w:rPr>
          <w:rFonts w:hint="eastAsia" w:ascii="仿宋_GB2312" w:hAnsi="仿宋_GB2312" w:cs="仿宋_GB2312"/>
          <w:sz w:val="32"/>
          <w:szCs w:val="32"/>
          <w:lang w:eastAsia="zh-CN"/>
        </w:rPr>
        <w:t>调查</w:t>
      </w:r>
      <w:r>
        <w:rPr>
          <w:rFonts w:hint="eastAsia" w:ascii="仿宋_GB2312" w:hAnsi="仿宋_GB2312" w:eastAsia="仿宋_GB2312" w:cs="仿宋_GB2312"/>
          <w:sz w:val="32"/>
          <w:szCs w:val="32"/>
        </w:rPr>
        <w:t>报告。</w:t>
      </w:r>
    </w:p>
    <w:p w14:paraId="1ABC610B">
      <w:pPr>
        <w:pStyle w:val="2"/>
        <w:keepNext w:val="0"/>
        <w:keepLines w:val="0"/>
        <w:pageBreakBefore w:val="0"/>
        <w:widowControl/>
        <w:kinsoku/>
        <w:wordWrap/>
        <w:topLinePunct w:val="0"/>
        <w:autoSpaceDE/>
        <w:autoSpaceDN/>
        <w:bidi w:val="0"/>
        <w:adjustRightInd/>
        <w:snapToGrid/>
        <w:spacing w:line="560" w:lineRule="atLeas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四、成本</w:t>
      </w:r>
      <w:r>
        <w:rPr>
          <w:rFonts w:hint="eastAsia" w:ascii="Times New Roman" w:hAnsi="Times New Roman" w:cs="Times New Roman"/>
          <w:b w:val="0"/>
          <w:bCs w:val="0"/>
          <w:sz w:val="32"/>
          <w:szCs w:val="32"/>
          <w:lang w:eastAsia="zh-CN"/>
        </w:rPr>
        <w:t>调查</w:t>
      </w:r>
      <w:r>
        <w:rPr>
          <w:rFonts w:ascii="Times New Roman" w:hAnsi="Times New Roman" w:cs="Times New Roman"/>
          <w:b w:val="0"/>
          <w:bCs w:val="0"/>
          <w:sz w:val="32"/>
          <w:szCs w:val="32"/>
        </w:rPr>
        <w:t>范围</w:t>
      </w:r>
    </w:p>
    <w:p w14:paraId="3488A936">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本次成本</w:t>
      </w:r>
      <w:r>
        <w:rPr>
          <w:rFonts w:hint="eastAsia" w:ascii="仿宋_GB2312" w:hAnsi="仿宋_GB2312" w:cs="仿宋_GB2312"/>
          <w:sz w:val="32"/>
          <w:szCs w:val="32"/>
          <w:lang w:eastAsia="zh-CN"/>
        </w:rPr>
        <w:t>调查</w:t>
      </w:r>
      <w:r>
        <w:rPr>
          <w:rFonts w:hint="eastAsia" w:ascii="仿宋_GB2312" w:hAnsi="仿宋_GB2312" w:eastAsia="仿宋_GB2312" w:cs="仿宋_GB2312"/>
          <w:sz w:val="32"/>
          <w:szCs w:val="32"/>
        </w:rPr>
        <w:t>，主要对黑水炬力燃气有限公司现有基本情况进行调查核实，以及试运行期间的各项配气成本费用的构成、分摊方法和比例是否合理；重点对固定资产折旧、直接配气成本、安全保护类费用、管理销售类费用、价内税金、年总计价量、LNG采购运输成本进行详细审核和调整，并按照有关规定核增和核减应计入和不应计入配气成本的费用。</w:t>
      </w:r>
    </w:p>
    <w:p w14:paraId="317CC104">
      <w:pPr>
        <w:pStyle w:val="2"/>
        <w:keepNext w:val="0"/>
        <w:keepLines w:val="0"/>
        <w:pageBreakBefore w:val="0"/>
        <w:widowControl/>
        <w:kinsoku/>
        <w:wordWrap/>
        <w:topLinePunct w:val="0"/>
        <w:autoSpaceDE/>
        <w:autoSpaceDN/>
        <w:bidi w:val="0"/>
        <w:adjustRightInd/>
        <w:snapToGrid/>
        <w:spacing w:line="560" w:lineRule="atLeast"/>
        <w:ind w:firstLine="643"/>
        <w:textAlignment w:val="auto"/>
        <w:rPr>
          <w:rFonts w:ascii="Times New Roman" w:hAnsi="Times New Roman" w:cs="Times New Roman"/>
          <w:b w:val="0"/>
          <w:bCs w:val="0"/>
          <w:sz w:val="32"/>
          <w:szCs w:val="32"/>
        </w:rPr>
      </w:pPr>
      <w:r>
        <w:rPr>
          <w:rFonts w:ascii="Times New Roman" w:hAnsi="Times New Roman" w:cs="Times New Roman"/>
          <w:b w:val="0"/>
          <w:bCs w:val="0"/>
          <w:sz w:val="32"/>
          <w:szCs w:val="32"/>
        </w:rPr>
        <w:t>五、</w:t>
      </w:r>
      <w:r>
        <w:rPr>
          <w:rFonts w:hint="eastAsia" w:ascii="Times New Roman" w:hAnsi="Times New Roman" w:cs="Times New Roman"/>
          <w:b w:val="0"/>
          <w:bCs w:val="0"/>
          <w:sz w:val="32"/>
          <w:szCs w:val="32"/>
        </w:rPr>
        <w:t>成本</w:t>
      </w:r>
      <w:r>
        <w:rPr>
          <w:rFonts w:hint="eastAsia" w:ascii="Times New Roman" w:hAnsi="Times New Roman" w:cs="Times New Roman"/>
          <w:b w:val="0"/>
          <w:bCs w:val="0"/>
          <w:sz w:val="32"/>
          <w:szCs w:val="32"/>
          <w:lang w:eastAsia="zh-CN"/>
        </w:rPr>
        <w:t>调查</w:t>
      </w:r>
      <w:r>
        <w:rPr>
          <w:rFonts w:hint="eastAsia" w:ascii="Times New Roman" w:hAnsi="Times New Roman" w:cs="Times New Roman"/>
          <w:b w:val="0"/>
          <w:bCs w:val="0"/>
          <w:sz w:val="32"/>
          <w:szCs w:val="32"/>
        </w:rPr>
        <w:t>核定情况及其理由</w:t>
      </w:r>
    </w:p>
    <w:p w14:paraId="2D0EDE4F">
      <w:pPr>
        <w:pStyle w:val="3"/>
        <w:pageBreakBefore w:val="0"/>
        <w:kinsoku/>
        <w:wordWrap/>
        <w:topLinePunct w:val="0"/>
        <w:autoSpaceDE/>
        <w:autoSpaceDN/>
        <w:bidi w:val="0"/>
        <w:adjustRightInd/>
        <w:snapToGrid/>
        <w:spacing w:line="560" w:lineRule="atLeast"/>
        <w:ind w:firstLine="640"/>
        <w:textAlignment w:val="auto"/>
        <w:rPr>
          <w:b/>
          <w:bCs w:val="0"/>
        </w:rPr>
      </w:pPr>
      <w:r>
        <w:rPr>
          <w:rFonts w:hint="eastAsia"/>
          <w:b/>
          <w:bCs w:val="0"/>
        </w:rPr>
        <w:t>（一）试运行期间年总计价量核定说明</w:t>
      </w:r>
    </w:p>
    <w:p w14:paraId="2596E6B7">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经审核，企业按已安装入户管道1,000户，户均年用气量60方，计算年居民用气量6万方，非居民用气暂按3.6万方，计算申报试运行期间年总计价量9.60万方。</w:t>
      </w:r>
    </w:p>
    <w:p w14:paraId="444076D0">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黑水县管道天然气入户引入社会资本项目实施方案》载明，黑水县城人口约2万人，约6,000户。从培养用户用气习惯以及长期规划考虑，以拟安装户数为70%，即4,200户居民用户，年户均用气量275立方米计算，年居民用气量共计115.50万方，非居民用气量按企业申报的比例计算约为居民用气量的60%，即69.30万方，则最终核定试运行期间年总计价量184.80万方。</w:t>
      </w:r>
    </w:p>
    <w:p w14:paraId="46AFD18E">
      <w:pPr>
        <w:pStyle w:val="3"/>
        <w:pageBreakBefore w:val="0"/>
        <w:kinsoku/>
        <w:wordWrap/>
        <w:topLinePunct w:val="0"/>
        <w:autoSpaceDE/>
        <w:autoSpaceDN/>
        <w:bidi w:val="0"/>
        <w:adjustRightInd/>
        <w:snapToGrid/>
        <w:spacing w:line="560" w:lineRule="atLeast"/>
        <w:ind w:firstLine="640"/>
        <w:textAlignment w:val="auto"/>
        <w:rPr>
          <w:b/>
          <w:bCs w:val="0"/>
        </w:rPr>
      </w:pPr>
      <w:r>
        <w:rPr>
          <w:rFonts w:hint="eastAsia"/>
          <w:b/>
          <w:bCs w:val="0"/>
        </w:rPr>
        <w:t>（二）固定资产折旧预测核定说明</w:t>
      </w:r>
    </w:p>
    <w:p w14:paraId="0F395074">
      <w:pPr>
        <w:pageBreakBefore w:val="0"/>
        <w:kinsoku/>
        <w:wordWrap/>
        <w:overflowPunct w:val="0"/>
        <w:topLinePunct w:val="0"/>
        <w:autoSpaceDE/>
        <w:autoSpaceDN/>
        <w:bidi w:val="0"/>
        <w:adjustRightInd/>
        <w:snapToGrid/>
        <w:spacing w:line="56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企业申报试运行期间固定资产年折旧额70.60万元，按照《四川省发展和改革委关于印发〈四川省定价成本监审固定资产折旧技术规范〉的通知》，根据本项目现一期估算的固投金额2,115.00万元，按残值率5%，折旧年限30年计算，预测核定年折旧额66.98万元（2115*（1-5%）/30=66.98万元）</w:t>
      </w:r>
    </w:p>
    <w:p w14:paraId="2E18C05D">
      <w:pPr>
        <w:pStyle w:val="3"/>
        <w:pageBreakBefore w:val="0"/>
        <w:kinsoku/>
        <w:wordWrap/>
        <w:topLinePunct w:val="0"/>
        <w:autoSpaceDE/>
        <w:autoSpaceDN/>
        <w:bidi w:val="0"/>
        <w:adjustRightInd/>
        <w:snapToGrid/>
        <w:spacing w:line="560" w:lineRule="atLeast"/>
        <w:ind w:firstLine="640"/>
        <w:textAlignment w:val="auto"/>
        <w:rPr>
          <w:b/>
          <w:bCs w:val="0"/>
        </w:rPr>
      </w:pPr>
      <w:r>
        <w:rPr>
          <w:rFonts w:hint="eastAsia"/>
          <w:b/>
          <w:bCs w:val="0"/>
        </w:rPr>
        <w:t>（三）运行维护费</w:t>
      </w:r>
      <w:r>
        <w:rPr>
          <w:rFonts w:hint="eastAsia"/>
          <w:b/>
          <w:bCs w:val="0"/>
          <w:lang w:eastAsia="zh-CN"/>
        </w:rPr>
        <w:t>调查</w:t>
      </w:r>
      <w:r>
        <w:rPr>
          <w:rFonts w:hint="eastAsia"/>
          <w:b/>
          <w:bCs w:val="0"/>
        </w:rPr>
        <w:t>核定说明</w:t>
      </w:r>
    </w:p>
    <w:p w14:paraId="10483EC0">
      <w:pPr>
        <w:pStyle w:val="4"/>
        <w:pageBreakBefore w:val="0"/>
        <w:kinsoku/>
        <w:wordWrap/>
        <w:topLinePunct w:val="0"/>
        <w:autoSpaceDE/>
        <w:autoSpaceDN/>
        <w:bidi w:val="0"/>
        <w:adjustRightInd/>
        <w:snapToGrid/>
        <w:spacing w:line="560" w:lineRule="atLeast"/>
        <w:ind w:firstLine="640"/>
        <w:textAlignment w:val="auto"/>
        <w:rPr>
          <w:b/>
          <w:bCs w:val="0"/>
        </w:rPr>
      </w:pPr>
      <w:r>
        <w:rPr>
          <w:rFonts w:hint="eastAsia" w:ascii="仿宋_GB2312" w:hAnsi="仿宋_GB2312" w:eastAsia="仿宋_GB2312" w:cs="仿宋_GB2312"/>
          <w:b/>
          <w:bCs w:val="0"/>
          <w:lang w:val="en-US" w:eastAsia="zh-CN"/>
        </w:rPr>
        <w:t>1.</w:t>
      </w:r>
      <w:r>
        <w:rPr>
          <w:rFonts w:hint="eastAsia"/>
          <w:b/>
          <w:bCs w:val="0"/>
        </w:rPr>
        <w:t>直接配气成本</w:t>
      </w:r>
    </w:p>
    <w:p w14:paraId="4A45EC90">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经审核，企业申报试运行期间直接配气成本</w:t>
      </w:r>
      <w:r>
        <w:rPr>
          <w:rFonts w:ascii="Times New Roman" w:hAnsi="Times New Roman" w:cs="Times New Roman"/>
          <w:sz w:val="32"/>
          <w:szCs w:val="32"/>
        </w:rPr>
        <w:t>182.50</w:t>
      </w:r>
      <w:r>
        <w:rPr>
          <w:rFonts w:hint="eastAsia" w:ascii="Times New Roman" w:hAnsi="Times New Roman" w:cs="Times New Roman"/>
          <w:sz w:val="32"/>
          <w:szCs w:val="32"/>
        </w:rPr>
        <w:t>万元，核增“配气损耗费”</w:t>
      </w:r>
      <w:r>
        <w:rPr>
          <w:rFonts w:ascii="Times New Roman" w:hAnsi="Times New Roman" w:cs="Times New Roman"/>
          <w:sz w:val="32"/>
          <w:szCs w:val="32"/>
        </w:rPr>
        <w:t>11.32</w:t>
      </w:r>
      <w:r>
        <w:rPr>
          <w:rFonts w:hint="eastAsia" w:ascii="Times New Roman" w:hAnsi="Times New Roman" w:cs="Times New Roman"/>
          <w:sz w:val="32"/>
          <w:szCs w:val="32"/>
        </w:rPr>
        <w:t>万元，核减“摊销费”</w:t>
      </w:r>
      <w:r>
        <w:rPr>
          <w:rFonts w:ascii="Times New Roman" w:hAnsi="Times New Roman" w:cs="Times New Roman"/>
          <w:sz w:val="32"/>
          <w:szCs w:val="32"/>
        </w:rPr>
        <w:t>5.00</w:t>
      </w:r>
      <w:r>
        <w:rPr>
          <w:rFonts w:hint="eastAsia" w:ascii="Times New Roman" w:hAnsi="Times New Roman" w:cs="Times New Roman"/>
          <w:sz w:val="32"/>
          <w:szCs w:val="32"/>
        </w:rPr>
        <w:t>万元，核定试运行期间直接配气成本</w:t>
      </w:r>
      <w:r>
        <w:rPr>
          <w:rFonts w:ascii="Times New Roman" w:hAnsi="Times New Roman" w:cs="Times New Roman"/>
          <w:sz w:val="32"/>
          <w:szCs w:val="32"/>
        </w:rPr>
        <w:t>188.82</w:t>
      </w:r>
      <w:r>
        <w:rPr>
          <w:rFonts w:hint="eastAsia" w:ascii="Times New Roman" w:hAnsi="Times New Roman" w:cs="Times New Roman"/>
          <w:sz w:val="32"/>
          <w:szCs w:val="32"/>
        </w:rPr>
        <w:t>万元。具体核增核减事项如下：</w:t>
      </w:r>
    </w:p>
    <w:p w14:paraId="44771396">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核增“配气损耗费”说明1：企业申报“配气损耗费”1</w:t>
      </w:r>
      <w:r>
        <w:rPr>
          <w:rFonts w:ascii="Times New Roman" w:hAnsi="Times New Roman" w:cs="Times New Roman"/>
          <w:sz w:val="32"/>
          <w:szCs w:val="32"/>
        </w:rPr>
        <w:t>.50</w:t>
      </w:r>
      <w:r>
        <w:rPr>
          <w:rFonts w:hint="eastAsia" w:ascii="Times New Roman" w:hAnsi="Times New Roman" w:cs="Times New Roman"/>
          <w:sz w:val="32"/>
          <w:szCs w:val="32"/>
        </w:rPr>
        <w:t>万元，按照《&lt;四川省城镇管道燃气配气定价成本监审办法&gt;的通知》，关于“配气损耗费”相关规定，核定配气损耗率为2</w:t>
      </w:r>
      <w:r>
        <w:rPr>
          <w:rFonts w:ascii="Times New Roman" w:hAnsi="Times New Roman" w:cs="Times New Roman"/>
          <w:sz w:val="32"/>
          <w:szCs w:val="32"/>
        </w:rPr>
        <w:t>%</w:t>
      </w:r>
      <w:r>
        <w:rPr>
          <w:rFonts w:hint="eastAsia" w:ascii="Times New Roman" w:hAnsi="Times New Roman" w:cs="Times New Roman"/>
          <w:sz w:val="32"/>
          <w:szCs w:val="32"/>
        </w:rPr>
        <w:t>，则年配气损耗费=年平均不含税购气单价（含运费）</w:t>
      </w:r>
      <w:r>
        <w:rPr>
          <w:rFonts w:ascii="Times New Roman" w:hAnsi="Times New Roman" w:cs="Times New Roman"/>
          <w:sz w:val="32"/>
          <w:szCs w:val="32"/>
        </w:rPr>
        <w:t>*</w:t>
      </w:r>
      <w:bookmarkStart w:id="0" w:name="_Hlk202473971"/>
      <w:r>
        <w:rPr>
          <w:rFonts w:hint="eastAsia" w:ascii="Times New Roman" w:hAnsi="Times New Roman" w:cs="Times New Roman"/>
          <w:sz w:val="32"/>
          <w:szCs w:val="32"/>
        </w:rPr>
        <w:t>年计价量</w:t>
      </w:r>
      <w:bookmarkEnd w:id="0"/>
      <w:r>
        <w:rPr>
          <w:rFonts w:hint="eastAsia" w:ascii="Times New Roman" w:hAnsi="Times New Roman" w:cs="Times New Roman"/>
          <w:sz w:val="32"/>
          <w:szCs w:val="32"/>
        </w:rPr>
        <w:t>*</w:t>
      </w:r>
      <w:r>
        <w:rPr>
          <w:rFonts w:ascii="Times New Roman" w:hAnsi="Times New Roman" w:cs="Times New Roman"/>
          <w:sz w:val="32"/>
          <w:szCs w:val="32"/>
        </w:rPr>
        <w:t>2%=3.78/1.09*184.80*2%=12.82</w:t>
      </w:r>
      <w:r>
        <w:rPr>
          <w:rFonts w:hint="eastAsia" w:ascii="Times New Roman" w:hAnsi="Times New Roman" w:cs="Times New Roman"/>
          <w:sz w:val="32"/>
          <w:szCs w:val="32"/>
        </w:rPr>
        <w:t>万元。</w:t>
      </w:r>
    </w:p>
    <w:p w14:paraId="5988D7DB">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核减“摊销费”说明2：企业申报“摊销费”9万元，经实地调查，企业摊销费用主要为拟购买用于储气设备设施占用的土地费用摊销，该土地拟购买价格为2</w:t>
      </w:r>
      <w:r>
        <w:rPr>
          <w:rFonts w:ascii="Times New Roman" w:hAnsi="Times New Roman" w:cs="Times New Roman"/>
          <w:sz w:val="32"/>
          <w:szCs w:val="32"/>
        </w:rPr>
        <w:t>00.00</w:t>
      </w:r>
      <w:r>
        <w:rPr>
          <w:rFonts w:hint="eastAsia" w:ascii="Times New Roman" w:hAnsi="Times New Roman" w:cs="Times New Roman"/>
          <w:sz w:val="32"/>
          <w:szCs w:val="32"/>
        </w:rPr>
        <w:t>万元，按工业用地年限5</w:t>
      </w:r>
      <w:r>
        <w:rPr>
          <w:rFonts w:ascii="Times New Roman" w:hAnsi="Times New Roman" w:cs="Times New Roman"/>
          <w:sz w:val="32"/>
          <w:szCs w:val="32"/>
        </w:rPr>
        <w:t>0</w:t>
      </w:r>
      <w:r>
        <w:rPr>
          <w:rFonts w:hint="eastAsia" w:ascii="Times New Roman" w:hAnsi="Times New Roman" w:cs="Times New Roman"/>
          <w:sz w:val="32"/>
          <w:szCs w:val="32"/>
        </w:rPr>
        <w:t>年摊销，年摊销费为4</w:t>
      </w:r>
      <w:r>
        <w:rPr>
          <w:rFonts w:ascii="Times New Roman" w:hAnsi="Times New Roman" w:cs="Times New Roman"/>
          <w:sz w:val="32"/>
          <w:szCs w:val="32"/>
        </w:rPr>
        <w:t>.00</w:t>
      </w:r>
      <w:r>
        <w:rPr>
          <w:rFonts w:hint="eastAsia" w:ascii="Times New Roman" w:hAnsi="Times New Roman" w:cs="Times New Roman"/>
          <w:sz w:val="32"/>
          <w:szCs w:val="32"/>
        </w:rPr>
        <w:t>万元。</w:t>
      </w:r>
    </w:p>
    <w:p w14:paraId="1CA595AC">
      <w:pPr>
        <w:pStyle w:val="4"/>
        <w:pageBreakBefore w:val="0"/>
        <w:kinsoku/>
        <w:wordWrap/>
        <w:topLinePunct w:val="0"/>
        <w:autoSpaceDE/>
        <w:autoSpaceDN/>
        <w:bidi w:val="0"/>
        <w:adjustRightInd/>
        <w:snapToGrid/>
        <w:spacing w:line="560" w:lineRule="atLeast"/>
        <w:ind w:firstLine="640"/>
        <w:textAlignment w:val="auto"/>
        <w:rPr>
          <w:b/>
          <w:bCs w:val="0"/>
        </w:rPr>
      </w:pPr>
      <w:r>
        <w:rPr>
          <w:rFonts w:hint="eastAsia" w:ascii="仿宋_GB2312" w:hAnsi="仿宋_GB2312" w:eastAsia="仿宋_GB2312" w:cs="仿宋_GB2312"/>
          <w:b/>
          <w:bCs w:val="0"/>
          <w:lang w:val="en-US" w:eastAsia="zh-CN"/>
        </w:rPr>
        <w:t>2.</w:t>
      </w:r>
      <w:r>
        <w:rPr>
          <w:rFonts w:hint="eastAsia"/>
          <w:b/>
          <w:bCs w:val="0"/>
        </w:rPr>
        <w:t>安全保护类费用</w:t>
      </w:r>
    </w:p>
    <w:p w14:paraId="767C0F03">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经审核，企业申报试运行期间安全保护类费用</w:t>
      </w:r>
      <w:r>
        <w:rPr>
          <w:rFonts w:ascii="Times New Roman" w:hAnsi="Times New Roman" w:cs="Times New Roman"/>
          <w:sz w:val="32"/>
          <w:szCs w:val="32"/>
        </w:rPr>
        <w:t>36.50</w:t>
      </w:r>
      <w:r>
        <w:rPr>
          <w:rFonts w:hint="eastAsia" w:ascii="Times New Roman" w:hAnsi="Times New Roman" w:cs="Times New Roman"/>
          <w:sz w:val="32"/>
          <w:szCs w:val="32"/>
        </w:rPr>
        <w:t>万元，核减“安全生产费”</w:t>
      </w:r>
      <w:r>
        <w:rPr>
          <w:rFonts w:ascii="Times New Roman" w:hAnsi="Times New Roman" w:cs="Times New Roman"/>
          <w:sz w:val="32"/>
          <w:szCs w:val="32"/>
        </w:rPr>
        <w:t>2.32</w:t>
      </w:r>
      <w:r>
        <w:rPr>
          <w:rFonts w:hint="eastAsia" w:ascii="Times New Roman" w:hAnsi="Times New Roman" w:cs="Times New Roman"/>
          <w:sz w:val="32"/>
          <w:szCs w:val="32"/>
        </w:rPr>
        <w:t>万元，核减“其他费用”</w:t>
      </w:r>
      <w:r>
        <w:rPr>
          <w:rFonts w:ascii="Times New Roman" w:hAnsi="Times New Roman" w:cs="Times New Roman"/>
          <w:sz w:val="32"/>
          <w:szCs w:val="32"/>
        </w:rPr>
        <w:t>15.70</w:t>
      </w:r>
      <w:r>
        <w:rPr>
          <w:rFonts w:hint="eastAsia" w:ascii="Times New Roman" w:hAnsi="Times New Roman" w:cs="Times New Roman"/>
          <w:sz w:val="32"/>
          <w:szCs w:val="32"/>
        </w:rPr>
        <w:t>万元，核定试运行期间安全保护类费用</w:t>
      </w:r>
      <w:r>
        <w:rPr>
          <w:rFonts w:ascii="Times New Roman" w:hAnsi="Times New Roman" w:cs="Times New Roman"/>
          <w:sz w:val="32"/>
          <w:szCs w:val="32"/>
        </w:rPr>
        <w:t>18.48</w:t>
      </w:r>
      <w:r>
        <w:rPr>
          <w:rFonts w:hint="eastAsia" w:ascii="Times New Roman" w:hAnsi="Times New Roman" w:cs="Times New Roman"/>
          <w:sz w:val="32"/>
          <w:szCs w:val="32"/>
        </w:rPr>
        <w:t>万元。具体核减事项如下：</w:t>
      </w:r>
    </w:p>
    <w:p w14:paraId="37D238B9">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核减“安全生产费”说明1：企业申报“安全生产费”</w:t>
      </w:r>
      <w:r>
        <w:rPr>
          <w:rFonts w:ascii="Times New Roman" w:hAnsi="Times New Roman" w:cs="Times New Roman"/>
          <w:sz w:val="32"/>
          <w:szCs w:val="32"/>
        </w:rPr>
        <w:t>14.00</w:t>
      </w:r>
      <w:r>
        <w:rPr>
          <w:rFonts w:hint="eastAsia" w:ascii="Times New Roman" w:hAnsi="Times New Roman" w:cs="Times New Roman"/>
          <w:sz w:val="32"/>
          <w:szCs w:val="32"/>
        </w:rPr>
        <w:t>万元，按照《&lt;四川省城镇管道燃气配气定价成本监审办法&gt;的通知》，关于“安全生产费”相关规定，“安全生产费”不得超过上年配气收入的1</w:t>
      </w:r>
      <w:r>
        <w:rPr>
          <w:rFonts w:ascii="Times New Roman" w:hAnsi="Times New Roman" w:cs="Times New Roman"/>
          <w:sz w:val="32"/>
          <w:szCs w:val="32"/>
        </w:rPr>
        <w:t>.5%</w:t>
      </w:r>
      <w:r>
        <w:rPr>
          <w:rFonts w:hint="eastAsia" w:ascii="Times New Roman" w:hAnsi="Times New Roman" w:cs="Times New Roman"/>
          <w:sz w:val="32"/>
          <w:szCs w:val="32"/>
        </w:rPr>
        <w:t>。根据年居民用气量115.50万方，非居民用气量69.3</w:t>
      </w:r>
      <w:r>
        <w:rPr>
          <w:rFonts w:ascii="Times New Roman" w:hAnsi="Times New Roman" w:cs="Times New Roman"/>
          <w:sz w:val="32"/>
          <w:szCs w:val="32"/>
        </w:rPr>
        <w:t>0</w:t>
      </w:r>
      <w:r>
        <w:rPr>
          <w:rFonts w:hint="eastAsia" w:ascii="Times New Roman" w:hAnsi="Times New Roman" w:cs="Times New Roman"/>
          <w:sz w:val="32"/>
          <w:szCs w:val="32"/>
        </w:rPr>
        <w:t>万方，暂定居民气价4</w:t>
      </w:r>
      <w:r>
        <w:rPr>
          <w:rFonts w:ascii="Times New Roman" w:hAnsi="Times New Roman" w:cs="Times New Roman"/>
          <w:sz w:val="32"/>
          <w:szCs w:val="32"/>
        </w:rPr>
        <w:t>.3</w:t>
      </w:r>
      <w:r>
        <w:rPr>
          <w:rFonts w:hint="eastAsia" w:ascii="Times New Roman" w:hAnsi="Times New Roman" w:cs="Times New Roman"/>
          <w:sz w:val="32"/>
          <w:szCs w:val="32"/>
        </w:rPr>
        <w:t>元/立方米，非居民气价5</w:t>
      </w:r>
      <w:r>
        <w:rPr>
          <w:rFonts w:ascii="Times New Roman" w:hAnsi="Times New Roman" w:cs="Times New Roman"/>
          <w:sz w:val="32"/>
          <w:szCs w:val="32"/>
        </w:rPr>
        <w:t>.08</w:t>
      </w:r>
      <w:r>
        <w:rPr>
          <w:rFonts w:hint="eastAsia" w:ascii="Times New Roman" w:hAnsi="Times New Roman" w:cs="Times New Roman"/>
          <w:sz w:val="32"/>
          <w:szCs w:val="32"/>
        </w:rPr>
        <w:t>元/立方米计算，安全生产费=（1</w:t>
      </w:r>
      <w:r>
        <w:rPr>
          <w:rFonts w:ascii="Times New Roman" w:hAnsi="Times New Roman" w:cs="Times New Roman"/>
          <w:sz w:val="32"/>
          <w:szCs w:val="32"/>
        </w:rPr>
        <w:t>15.50*4.3+69.30*5.08</w:t>
      </w:r>
      <w:r>
        <w:rPr>
          <w:rFonts w:hint="eastAsia" w:ascii="Times New Roman" w:hAnsi="Times New Roman" w:cs="Times New Roman"/>
          <w:sz w:val="32"/>
          <w:szCs w:val="32"/>
        </w:rPr>
        <w:t>）/</w:t>
      </w:r>
      <w:r>
        <w:rPr>
          <w:rFonts w:ascii="Times New Roman" w:hAnsi="Times New Roman" w:cs="Times New Roman"/>
          <w:sz w:val="32"/>
          <w:szCs w:val="32"/>
        </w:rPr>
        <w:t>1.09*1.5%=11.68</w:t>
      </w:r>
      <w:r>
        <w:rPr>
          <w:rFonts w:hint="eastAsia" w:ascii="Times New Roman" w:hAnsi="Times New Roman" w:cs="Times New Roman"/>
          <w:sz w:val="32"/>
          <w:szCs w:val="32"/>
        </w:rPr>
        <w:t>万元。</w:t>
      </w:r>
    </w:p>
    <w:p w14:paraId="791AFF8F">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核减“其他费用”说明2：企业申报“其他费用”</w:t>
      </w:r>
      <w:r>
        <w:rPr>
          <w:rFonts w:ascii="Times New Roman" w:hAnsi="Times New Roman" w:cs="Times New Roman"/>
          <w:sz w:val="32"/>
          <w:szCs w:val="32"/>
        </w:rPr>
        <w:t>16.70</w:t>
      </w:r>
      <w:r>
        <w:rPr>
          <w:rFonts w:hint="eastAsia" w:ascii="Times New Roman" w:hAnsi="Times New Roman" w:cs="Times New Roman"/>
          <w:sz w:val="32"/>
          <w:szCs w:val="32"/>
        </w:rPr>
        <w:t>万元，根据企业提供的“其他费用”明细构成，一是相关费用已考虑在部分明细费用中，二是部分费用应在计提的“安全生产费”中予以列支，故核定“其他费用”为1</w:t>
      </w:r>
      <w:r>
        <w:rPr>
          <w:rFonts w:ascii="Times New Roman" w:hAnsi="Times New Roman" w:cs="Times New Roman"/>
          <w:sz w:val="32"/>
          <w:szCs w:val="32"/>
        </w:rPr>
        <w:t>.00</w:t>
      </w:r>
      <w:r>
        <w:rPr>
          <w:rFonts w:hint="eastAsia" w:ascii="Times New Roman" w:hAnsi="Times New Roman" w:cs="Times New Roman"/>
          <w:sz w:val="32"/>
          <w:szCs w:val="32"/>
        </w:rPr>
        <w:t>万元。</w:t>
      </w:r>
    </w:p>
    <w:p w14:paraId="642CAEB9">
      <w:pPr>
        <w:pStyle w:val="4"/>
        <w:pageBreakBefore w:val="0"/>
        <w:kinsoku/>
        <w:wordWrap/>
        <w:topLinePunct w:val="0"/>
        <w:autoSpaceDE/>
        <w:autoSpaceDN/>
        <w:bidi w:val="0"/>
        <w:adjustRightInd/>
        <w:snapToGrid/>
        <w:spacing w:line="560" w:lineRule="atLeast"/>
        <w:ind w:firstLine="640"/>
        <w:textAlignment w:val="auto"/>
        <w:rPr>
          <w:b/>
          <w:bCs w:val="0"/>
        </w:rPr>
      </w:pPr>
      <w:r>
        <w:rPr>
          <w:rFonts w:hint="eastAsia" w:ascii="仿宋_GB2312" w:hAnsi="仿宋_GB2312" w:eastAsia="仿宋_GB2312" w:cs="仿宋_GB2312"/>
          <w:b/>
          <w:bCs w:val="0"/>
          <w:lang w:val="en-US" w:eastAsia="zh-CN"/>
        </w:rPr>
        <w:t>3.</w:t>
      </w:r>
      <w:r>
        <w:rPr>
          <w:rFonts w:hint="eastAsia"/>
          <w:b/>
          <w:bCs w:val="0"/>
        </w:rPr>
        <w:t>管理销售类费用</w:t>
      </w:r>
    </w:p>
    <w:p w14:paraId="55B7AA21">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经审核，企业申报试运行期间管理销售类费用</w:t>
      </w:r>
      <w:r>
        <w:rPr>
          <w:rFonts w:ascii="Times New Roman" w:hAnsi="Times New Roman" w:cs="Times New Roman"/>
          <w:sz w:val="32"/>
          <w:szCs w:val="32"/>
        </w:rPr>
        <w:t>33.50</w:t>
      </w:r>
      <w:r>
        <w:rPr>
          <w:rFonts w:hint="eastAsia" w:ascii="Times New Roman" w:hAnsi="Times New Roman" w:cs="Times New Roman"/>
          <w:sz w:val="32"/>
          <w:szCs w:val="32"/>
        </w:rPr>
        <w:t>万元，核减“运输与装卸费”</w:t>
      </w:r>
      <w:r>
        <w:rPr>
          <w:rFonts w:ascii="Times New Roman" w:hAnsi="Times New Roman" w:cs="Times New Roman"/>
          <w:sz w:val="32"/>
          <w:szCs w:val="32"/>
        </w:rPr>
        <w:t>11.00</w:t>
      </w:r>
      <w:r>
        <w:rPr>
          <w:rFonts w:hint="eastAsia" w:ascii="Times New Roman" w:hAnsi="Times New Roman" w:cs="Times New Roman"/>
          <w:sz w:val="32"/>
          <w:szCs w:val="32"/>
        </w:rPr>
        <w:t>万元，核定试运行期间管理销售类费用</w:t>
      </w:r>
      <w:r>
        <w:rPr>
          <w:rFonts w:ascii="Times New Roman" w:hAnsi="Times New Roman" w:cs="Times New Roman"/>
          <w:sz w:val="32"/>
          <w:szCs w:val="32"/>
        </w:rPr>
        <w:t>22.50</w:t>
      </w:r>
      <w:r>
        <w:rPr>
          <w:rFonts w:hint="eastAsia" w:ascii="Times New Roman" w:hAnsi="Times New Roman" w:cs="Times New Roman"/>
          <w:sz w:val="32"/>
          <w:szCs w:val="32"/>
        </w:rPr>
        <w:t>万元。具体核减事项如下：</w:t>
      </w:r>
    </w:p>
    <w:p w14:paraId="7F9B34C9">
      <w:pPr>
        <w:pageBreakBefore w:val="0"/>
        <w:kinsoku/>
        <w:wordWrap/>
        <w:overflowPunct w:val="0"/>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核减“运输与装卸费”说明1：企业申报“运输与装卸费”</w:t>
      </w:r>
      <w:r>
        <w:rPr>
          <w:rFonts w:ascii="Times New Roman" w:hAnsi="Times New Roman" w:cs="Times New Roman"/>
          <w:sz w:val="32"/>
          <w:szCs w:val="32"/>
        </w:rPr>
        <w:t>11.00</w:t>
      </w:r>
      <w:r>
        <w:rPr>
          <w:rFonts w:hint="eastAsia" w:ascii="Times New Roman" w:hAnsi="Times New Roman" w:cs="Times New Roman"/>
          <w:sz w:val="32"/>
          <w:szCs w:val="32"/>
        </w:rPr>
        <w:t>万元，相关运输与装卸费用已作为运输成本单独列示，计入购气成本，故核定“运输与装卸费”</w:t>
      </w:r>
      <w:r>
        <w:rPr>
          <w:rFonts w:ascii="Times New Roman" w:hAnsi="Times New Roman" w:cs="Times New Roman"/>
          <w:sz w:val="32"/>
          <w:szCs w:val="32"/>
        </w:rPr>
        <w:t>0.00</w:t>
      </w:r>
      <w:r>
        <w:rPr>
          <w:rFonts w:hint="eastAsia" w:ascii="Times New Roman" w:hAnsi="Times New Roman" w:cs="Times New Roman"/>
          <w:sz w:val="32"/>
          <w:szCs w:val="32"/>
        </w:rPr>
        <w:t>万元。</w:t>
      </w:r>
    </w:p>
    <w:p w14:paraId="0089B1F2">
      <w:pPr>
        <w:pStyle w:val="4"/>
        <w:pageBreakBefore w:val="0"/>
        <w:kinsoku/>
        <w:wordWrap/>
        <w:topLinePunct w:val="0"/>
        <w:autoSpaceDE/>
        <w:autoSpaceDN/>
        <w:bidi w:val="0"/>
        <w:adjustRightInd/>
        <w:snapToGrid/>
        <w:spacing w:line="560" w:lineRule="atLeast"/>
        <w:ind w:firstLine="640"/>
        <w:textAlignment w:val="auto"/>
        <w:rPr>
          <w:b/>
          <w:bCs w:val="0"/>
        </w:rPr>
      </w:pPr>
      <w:r>
        <w:rPr>
          <w:rFonts w:hint="eastAsia" w:ascii="仿宋_GB2312" w:hAnsi="仿宋_GB2312" w:eastAsia="仿宋_GB2312" w:cs="仿宋_GB2312"/>
          <w:b/>
          <w:bCs w:val="0"/>
          <w:lang w:val="en-US" w:eastAsia="zh-CN"/>
        </w:rPr>
        <w:t>4.</w:t>
      </w:r>
      <w:r>
        <w:rPr>
          <w:rFonts w:hint="eastAsia"/>
          <w:b/>
          <w:bCs w:val="0"/>
        </w:rPr>
        <w:t>价内税金</w:t>
      </w:r>
    </w:p>
    <w:p w14:paraId="5A76477E">
      <w:pPr>
        <w:pageBreakBefore w:val="0"/>
        <w:kinsoku/>
        <w:wordWrap/>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经审核，企业申报试运行期间价内税金</w:t>
      </w:r>
      <w:r>
        <w:rPr>
          <w:rFonts w:ascii="Times New Roman" w:hAnsi="Times New Roman" w:cs="Times New Roman"/>
          <w:sz w:val="32"/>
          <w:szCs w:val="32"/>
        </w:rPr>
        <w:t>5.00</w:t>
      </w:r>
      <w:r>
        <w:rPr>
          <w:rFonts w:hint="eastAsia" w:ascii="Times New Roman" w:hAnsi="Times New Roman" w:cs="Times New Roman"/>
          <w:sz w:val="32"/>
          <w:szCs w:val="32"/>
        </w:rPr>
        <w:t>万元，核定试运行期间价内税金</w:t>
      </w:r>
      <w:r>
        <w:rPr>
          <w:rFonts w:ascii="Times New Roman" w:hAnsi="Times New Roman" w:cs="Times New Roman"/>
          <w:sz w:val="32"/>
          <w:szCs w:val="32"/>
        </w:rPr>
        <w:t>5.00</w:t>
      </w:r>
      <w:r>
        <w:rPr>
          <w:rFonts w:hint="eastAsia" w:ascii="Times New Roman" w:hAnsi="Times New Roman" w:cs="Times New Roman"/>
          <w:sz w:val="32"/>
          <w:szCs w:val="32"/>
        </w:rPr>
        <w:t>万元。</w:t>
      </w:r>
    </w:p>
    <w:p w14:paraId="6CDF8BA1">
      <w:pPr>
        <w:pStyle w:val="4"/>
        <w:pageBreakBefore w:val="0"/>
        <w:kinsoku/>
        <w:wordWrap/>
        <w:topLinePunct w:val="0"/>
        <w:autoSpaceDE/>
        <w:autoSpaceDN/>
        <w:bidi w:val="0"/>
        <w:adjustRightInd/>
        <w:snapToGrid/>
        <w:spacing w:line="560" w:lineRule="atLeast"/>
        <w:ind w:firstLine="640"/>
        <w:textAlignment w:val="auto"/>
        <w:rPr>
          <w:b/>
          <w:bCs w:val="0"/>
        </w:rPr>
      </w:pPr>
      <w:r>
        <w:rPr>
          <w:rFonts w:hint="eastAsia" w:ascii="仿宋_GB2312" w:hAnsi="仿宋_GB2312" w:eastAsia="仿宋_GB2312" w:cs="仿宋_GB2312"/>
          <w:b/>
          <w:bCs w:val="0"/>
          <w:lang w:val="en-US" w:eastAsia="zh-CN"/>
        </w:rPr>
        <w:t>5.</w:t>
      </w:r>
      <w:r>
        <w:rPr>
          <w:rFonts w:hint="eastAsia"/>
          <w:b/>
          <w:bCs w:val="0"/>
        </w:rPr>
        <w:t>运行维护费总体情况</w:t>
      </w:r>
    </w:p>
    <w:p w14:paraId="6682408B">
      <w:pPr>
        <w:pageBreakBefore w:val="0"/>
        <w:kinsoku/>
        <w:wordWrap/>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rPr>
        <w:t>经审核，企业申报试运行期间运行维护费</w:t>
      </w:r>
      <w:r>
        <w:rPr>
          <w:rFonts w:ascii="Times New Roman" w:hAnsi="Times New Roman" w:cs="Times New Roman"/>
          <w:sz w:val="32"/>
          <w:szCs w:val="32"/>
        </w:rPr>
        <w:t>257.50</w:t>
      </w:r>
      <w:r>
        <w:rPr>
          <w:rFonts w:hint="eastAsia" w:ascii="Times New Roman" w:hAnsi="Times New Roman" w:cs="Times New Roman"/>
          <w:sz w:val="32"/>
          <w:szCs w:val="32"/>
        </w:rPr>
        <w:t>万元，核增费用</w:t>
      </w:r>
      <w:r>
        <w:rPr>
          <w:rFonts w:ascii="Times New Roman" w:hAnsi="Times New Roman" w:cs="Times New Roman"/>
          <w:sz w:val="32"/>
          <w:szCs w:val="32"/>
        </w:rPr>
        <w:t>11.32</w:t>
      </w:r>
      <w:r>
        <w:rPr>
          <w:rFonts w:hint="eastAsia" w:ascii="Times New Roman" w:hAnsi="Times New Roman" w:cs="Times New Roman"/>
          <w:sz w:val="32"/>
          <w:szCs w:val="32"/>
        </w:rPr>
        <w:t>万元，核减费用</w:t>
      </w:r>
      <w:r>
        <w:rPr>
          <w:rFonts w:ascii="Times New Roman" w:hAnsi="Times New Roman" w:cs="Times New Roman"/>
          <w:sz w:val="32"/>
          <w:szCs w:val="32"/>
        </w:rPr>
        <w:t>34.02</w:t>
      </w:r>
      <w:r>
        <w:rPr>
          <w:rFonts w:hint="eastAsia" w:ascii="Times New Roman" w:hAnsi="Times New Roman" w:cs="Times New Roman"/>
          <w:sz w:val="32"/>
          <w:szCs w:val="32"/>
        </w:rPr>
        <w:t>万元，核定试运行期间运行维护费</w:t>
      </w:r>
      <w:r>
        <w:rPr>
          <w:rFonts w:ascii="Times New Roman" w:hAnsi="Times New Roman" w:cs="Times New Roman"/>
          <w:sz w:val="32"/>
          <w:szCs w:val="32"/>
        </w:rPr>
        <w:t>234.80</w:t>
      </w:r>
      <w:r>
        <w:rPr>
          <w:rFonts w:hint="eastAsia" w:ascii="Times New Roman" w:hAnsi="Times New Roman" w:cs="Times New Roman"/>
          <w:sz w:val="32"/>
          <w:szCs w:val="32"/>
        </w:rPr>
        <w:t>万元。</w:t>
      </w:r>
    </w:p>
    <w:p w14:paraId="7FC61D1E">
      <w:pPr>
        <w:pStyle w:val="3"/>
        <w:pageBreakBefore w:val="0"/>
        <w:kinsoku/>
        <w:wordWrap/>
        <w:topLinePunct w:val="0"/>
        <w:autoSpaceDE/>
        <w:autoSpaceDN/>
        <w:bidi w:val="0"/>
        <w:adjustRightInd/>
        <w:snapToGrid/>
        <w:spacing w:line="560" w:lineRule="atLeast"/>
        <w:ind w:firstLine="640"/>
        <w:textAlignment w:val="auto"/>
        <w:rPr>
          <w:b/>
          <w:bCs w:val="0"/>
        </w:rPr>
      </w:pPr>
      <w:r>
        <w:rPr>
          <w:rFonts w:hint="eastAsia"/>
          <w:b/>
          <w:bCs w:val="0"/>
        </w:rPr>
        <w:t>（四）年总配气成本情况</w:t>
      </w:r>
    </w:p>
    <w:p w14:paraId="575BDF5E">
      <w:pPr>
        <w:pageBreakBefore w:val="0"/>
        <w:kinsoku/>
        <w:wordWrap/>
        <w:topLinePunct w:val="0"/>
        <w:autoSpaceDE/>
        <w:autoSpaceDN/>
        <w:bidi w:val="0"/>
        <w:adjustRightInd/>
        <w:snapToGrid/>
        <w:spacing w:line="560" w:lineRule="atLeast"/>
        <w:ind w:firstLine="640"/>
        <w:textAlignment w:val="auto"/>
        <w:rPr>
          <w:rFonts w:hint="eastAsia" w:ascii="Times New Roman" w:hAnsi="Times New Roman" w:cs="Times New Roman"/>
          <w:sz w:val="32"/>
          <w:szCs w:val="32"/>
        </w:rPr>
      </w:pPr>
      <w:r>
        <w:rPr>
          <w:rFonts w:hint="eastAsia" w:ascii="Times New Roman" w:hAnsi="Times New Roman" w:cs="Times New Roman"/>
          <w:sz w:val="32"/>
          <w:szCs w:val="32"/>
        </w:rPr>
        <w:t>原申报年总配气成本</w:t>
      </w:r>
      <w:r>
        <w:rPr>
          <w:rFonts w:ascii="Times New Roman" w:hAnsi="Times New Roman" w:cs="Times New Roman"/>
          <w:sz w:val="32"/>
          <w:szCs w:val="32"/>
        </w:rPr>
        <w:t>328.10</w:t>
      </w:r>
      <w:r>
        <w:rPr>
          <w:rFonts w:hint="eastAsia" w:ascii="Times New Roman" w:hAnsi="Times New Roman" w:cs="Times New Roman"/>
          <w:sz w:val="32"/>
          <w:szCs w:val="32"/>
        </w:rPr>
        <w:t>万元，经上述核定调整后，预测核定企业试运行期间年总配气成本</w:t>
      </w:r>
      <w:r>
        <w:rPr>
          <w:rFonts w:ascii="Times New Roman" w:hAnsi="Times New Roman" w:cs="Times New Roman"/>
          <w:sz w:val="32"/>
          <w:szCs w:val="32"/>
        </w:rPr>
        <w:t>301.78</w:t>
      </w:r>
      <w:r>
        <w:rPr>
          <w:rFonts w:hint="eastAsia" w:ascii="Times New Roman" w:hAnsi="Times New Roman" w:cs="Times New Roman"/>
          <w:sz w:val="32"/>
          <w:szCs w:val="32"/>
        </w:rPr>
        <w:t>万元。</w:t>
      </w:r>
    </w:p>
    <w:p w14:paraId="063DC03A">
      <w:pPr>
        <w:pStyle w:val="2"/>
        <w:pageBreakBefore w:val="0"/>
        <w:kinsoku/>
        <w:wordWrap/>
        <w:topLinePunct w:val="0"/>
        <w:autoSpaceDE/>
        <w:autoSpaceDN/>
        <w:bidi w:val="0"/>
        <w:adjustRightInd/>
        <w:snapToGrid/>
        <w:spacing w:line="560" w:lineRule="atLeas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六、LNG采购及运输成本核定说明</w:t>
      </w:r>
    </w:p>
    <w:p w14:paraId="4EB74ACE">
      <w:pPr>
        <w:pageBreakBefore w:val="0"/>
        <w:kinsoku/>
        <w:wordWrap/>
        <w:topLinePunct w:val="0"/>
        <w:autoSpaceDE/>
        <w:autoSpaceDN/>
        <w:bidi w:val="0"/>
        <w:adjustRightInd/>
        <w:snapToGrid/>
        <w:spacing w:line="560" w:lineRule="atLeast"/>
        <w:ind w:firstLine="640"/>
        <w:textAlignment w:val="auto"/>
        <w:rPr>
          <w:rFonts w:hint="eastAsia" w:ascii="Times New Roman" w:hAnsi="Times New Roman" w:cs="Times New Roman"/>
          <w:sz w:val="32"/>
          <w:szCs w:val="32"/>
        </w:rPr>
      </w:pPr>
      <w:r>
        <w:rPr>
          <w:rFonts w:hint="eastAsia" w:ascii="Times New Roman" w:hAnsi="Times New Roman" w:cs="Times New Roman"/>
          <w:sz w:val="32"/>
          <w:szCs w:val="32"/>
        </w:rPr>
        <w:t>经查阅相关信息，L</w:t>
      </w:r>
      <w:r>
        <w:rPr>
          <w:rFonts w:ascii="Times New Roman" w:hAnsi="Times New Roman" w:cs="Times New Roman"/>
          <w:sz w:val="32"/>
          <w:szCs w:val="32"/>
        </w:rPr>
        <w:t>NG</w:t>
      </w:r>
      <w:r>
        <w:rPr>
          <w:rFonts w:hint="eastAsia" w:ascii="Times New Roman" w:hAnsi="Times New Roman" w:cs="Times New Roman"/>
          <w:sz w:val="32"/>
          <w:szCs w:val="32"/>
        </w:rPr>
        <w:t>口岸价近几年波动较大，按近两年平均口岸价5,</w:t>
      </w:r>
      <w:r>
        <w:rPr>
          <w:rFonts w:ascii="Times New Roman" w:hAnsi="Times New Roman" w:cs="Times New Roman"/>
          <w:sz w:val="32"/>
          <w:szCs w:val="32"/>
        </w:rPr>
        <w:t>000</w:t>
      </w:r>
      <w:r>
        <w:rPr>
          <w:rFonts w:hint="eastAsia" w:ascii="Times New Roman" w:hAnsi="Times New Roman" w:cs="Times New Roman"/>
          <w:sz w:val="32"/>
          <w:szCs w:val="32"/>
        </w:rPr>
        <w:t>元/吨，气化率1,</w:t>
      </w:r>
      <w:r>
        <w:rPr>
          <w:rFonts w:ascii="Times New Roman" w:hAnsi="Times New Roman" w:cs="Times New Roman"/>
          <w:sz w:val="32"/>
          <w:szCs w:val="32"/>
        </w:rPr>
        <w:t>450</w:t>
      </w:r>
      <w:r>
        <w:rPr>
          <w:rFonts w:hint="eastAsia" w:ascii="Times New Roman" w:hAnsi="Times New Roman" w:cs="Times New Roman"/>
          <w:sz w:val="32"/>
          <w:szCs w:val="32"/>
        </w:rPr>
        <w:t>立方米/吨计算，L</w:t>
      </w:r>
      <w:r>
        <w:rPr>
          <w:rFonts w:ascii="Times New Roman" w:hAnsi="Times New Roman" w:cs="Times New Roman"/>
          <w:sz w:val="32"/>
          <w:szCs w:val="32"/>
        </w:rPr>
        <w:t>NG</w:t>
      </w:r>
      <w:r>
        <w:rPr>
          <w:rFonts w:hint="eastAsia" w:ascii="Times New Roman" w:hAnsi="Times New Roman" w:cs="Times New Roman"/>
          <w:sz w:val="32"/>
          <w:szCs w:val="32"/>
        </w:rPr>
        <w:t>的单位购买成本为3</w:t>
      </w:r>
      <w:r>
        <w:rPr>
          <w:rFonts w:ascii="Times New Roman" w:hAnsi="Times New Roman" w:cs="Times New Roman"/>
          <w:sz w:val="32"/>
          <w:szCs w:val="32"/>
        </w:rPr>
        <w:t>.45</w:t>
      </w:r>
      <w:r>
        <w:rPr>
          <w:rFonts w:hint="eastAsia" w:ascii="Times New Roman" w:hAnsi="Times New Roman" w:cs="Times New Roman"/>
          <w:sz w:val="32"/>
          <w:szCs w:val="32"/>
        </w:rPr>
        <w:t>元/立方米；目前市场上一般L</w:t>
      </w:r>
      <w:r>
        <w:rPr>
          <w:rFonts w:ascii="Times New Roman" w:hAnsi="Times New Roman" w:cs="Times New Roman"/>
          <w:sz w:val="32"/>
          <w:szCs w:val="32"/>
        </w:rPr>
        <w:t>NG</w:t>
      </w:r>
      <w:r>
        <w:rPr>
          <w:rFonts w:hint="eastAsia" w:ascii="Times New Roman" w:hAnsi="Times New Roman" w:cs="Times New Roman"/>
          <w:sz w:val="32"/>
          <w:szCs w:val="32"/>
        </w:rPr>
        <w:t>运输车辆运输能力为2</w:t>
      </w:r>
      <w:r>
        <w:rPr>
          <w:rFonts w:ascii="Times New Roman" w:hAnsi="Times New Roman" w:cs="Times New Roman"/>
          <w:sz w:val="32"/>
          <w:szCs w:val="32"/>
        </w:rPr>
        <w:t>2</w:t>
      </w:r>
      <w:r>
        <w:rPr>
          <w:rFonts w:hint="eastAsia" w:ascii="Times New Roman" w:hAnsi="Times New Roman" w:cs="Times New Roman"/>
          <w:sz w:val="32"/>
          <w:szCs w:val="32"/>
        </w:rPr>
        <w:t>吨/车，运费为1</w:t>
      </w:r>
      <w:r>
        <w:rPr>
          <w:rFonts w:ascii="Times New Roman" w:hAnsi="Times New Roman" w:cs="Times New Roman"/>
          <w:sz w:val="32"/>
          <w:szCs w:val="32"/>
        </w:rPr>
        <w:t>.1</w:t>
      </w:r>
      <w:r>
        <w:rPr>
          <w:rFonts w:hint="eastAsia" w:ascii="Times New Roman" w:hAnsi="Times New Roman" w:cs="Times New Roman"/>
          <w:sz w:val="32"/>
          <w:szCs w:val="32"/>
        </w:rPr>
        <w:t>元/吨·公里，以南充市L</w:t>
      </w:r>
      <w:r>
        <w:rPr>
          <w:rFonts w:ascii="Times New Roman" w:hAnsi="Times New Roman" w:cs="Times New Roman"/>
          <w:sz w:val="32"/>
          <w:szCs w:val="32"/>
        </w:rPr>
        <w:t>NG</w:t>
      </w:r>
      <w:r>
        <w:rPr>
          <w:rFonts w:hint="eastAsia" w:ascii="Times New Roman" w:hAnsi="Times New Roman" w:cs="Times New Roman"/>
          <w:sz w:val="32"/>
          <w:szCs w:val="32"/>
        </w:rPr>
        <w:t>储配站购买，距离黑水县约4</w:t>
      </w:r>
      <w:r>
        <w:rPr>
          <w:rFonts w:ascii="Times New Roman" w:hAnsi="Times New Roman" w:cs="Times New Roman"/>
          <w:sz w:val="32"/>
          <w:szCs w:val="32"/>
        </w:rPr>
        <w:t>30</w:t>
      </w:r>
      <w:r>
        <w:rPr>
          <w:rFonts w:hint="eastAsia" w:ascii="Times New Roman" w:hAnsi="Times New Roman" w:cs="Times New Roman"/>
          <w:sz w:val="32"/>
          <w:szCs w:val="32"/>
        </w:rPr>
        <w:t>公里，则折合运输成本为0</w:t>
      </w:r>
      <w:r>
        <w:rPr>
          <w:rFonts w:ascii="Times New Roman" w:hAnsi="Times New Roman" w:cs="Times New Roman"/>
          <w:sz w:val="32"/>
          <w:szCs w:val="32"/>
        </w:rPr>
        <w:t>.33</w:t>
      </w:r>
      <w:r>
        <w:rPr>
          <w:rFonts w:hint="eastAsia" w:ascii="Times New Roman" w:hAnsi="Times New Roman" w:cs="Times New Roman"/>
          <w:sz w:val="32"/>
          <w:szCs w:val="32"/>
        </w:rPr>
        <w:t>元/立方米；综上，企业</w:t>
      </w:r>
      <w:r>
        <w:rPr>
          <w:rFonts w:ascii="Times New Roman" w:hAnsi="Times New Roman" w:cs="Times New Roman"/>
          <w:sz w:val="32"/>
          <w:szCs w:val="32"/>
        </w:rPr>
        <w:t>CNG</w:t>
      </w:r>
      <w:r>
        <w:rPr>
          <w:rFonts w:hint="eastAsia" w:ascii="Times New Roman" w:hAnsi="Times New Roman" w:cs="Times New Roman"/>
          <w:sz w:val="32"/>
          <w:szCs w:val="32"/>
        </w:rPr>
        <w:t>每立方米购进成本（含运输）为</w:t>
      </w:r>
      <w:r>
        <w:rPr>
          <w:rFonts w:ascii="Times New Roman" w:hAnsi="Times New Roman" w:cs="Times New Roman"/>
          <w:sz w:val="32"/>
          <w:szCs w:val="32"/>
        </w:rPr>
        <w:t>3.78</w:t>
      </w:r>
      <w:r>
        <w:rPr>
          <w:rFonts w:hint="eastAsia" w:ascii="Times New Roman" w:hAnsi="Times New Roman" w:cs="Times New Roman"/>
          <w:sz w:val="32"/>
          <w:szCs w:val="32"/>
        </w:rPr>
        <w:t>元/立方米。</w:t>
      </w:r>
    </w:p>
    <w:p w14:paraId="1F91F492">
      <w:pPr>
        <w:pStyle w:val="2"/>
        <w:pageBreakBefore w:val="0"/>
        <w:kinsoku/>
        <w:wordWrap/>
        <w:topLinePunct w:val="0"/>
        <w:autoSpaceDE/>
        <w:autoSpaceDN/>
        <w:bidi w:val="0"/>
        <w:adjustRightInd/>
        <w:snapToGrid/>
        <w:spacing w:line="560" w:lineRule="atLeast"/>
        <w:ind w:firstLine="643"/>
        <w:textAlignment w:val="auto"/>
        <w:rPr>
          <w:rFonts w:hint="eastAsia" w:ascii="Times New Roman" w:hAnsi="Times New Roman" w:eastAsia="黑体" w:cs="Times New Roman"/>
          <w:b w:val="0"/>
          <w:bCs w:val="0"/>
          <w:sz w:val="32"/>
          <w:szCs w:val="32"/>
          <w:lang w:eastAsia="zh-CN"/>
        </w:rPr>
      </w:pPr>
      <w:r>
        <w:rPr>
          <w:rFonts w:hint="eastAsia" w:ascii="Times New Roman" w:hAnsi="Times New Roman" w:cs="Times New Roman"/>
          <w:b w:val="0"/>
          <w:bCs w:val="0"/>
          <w:sz w:val="32"/>
          <w:szCs w:val="32"/>
        </w:rPr>
        <w:t>七</w:t>
      </w:r>
      <w:r>
        <w:rPr>
          <w:rFonts w:ascii="Times New Roman" w:hAnsi="Times New Roman" w:cs="Times New Roman"/>
          <w:b w:val="0"/>
          <w:bCs w:val="0"/>
          <w:sz w:val="32"/>
          <w:szCs w:val="32"/>
        </w:rPr>
        <w:t>、</w:t>
      </w:r>
      <w:r>
        <w:rPr>
          <w:rFonts w:hint="eastAsia" w:ascii="Times New Roman" w:hAnsi="Times New Roman" w:cs="Times New Roman"/>
          <w:b w:val="0"/>
          <w:bCs w:val="0"/>
          <w:sz w:val="32"/>
          <w:szCs w:val="32"/>
        </w:rPr>
        <w:t>单位配气成本</w:t>
      </w:r>
      <w:r>
        <w:rPr>
          <w:rFonts w:hint="eastAsia" w:ascii="Times New Roman" w:hAnsi="Times New Roman" w:cs="Times New Roman"/>
          <w:b w:val="0"/>
          <w:bCs w:val="0"/>
          <w:sz w:val="32"/>
          <w:szCs w:val="32"/>
          <w:lang w:eastAsia="zh-CN"/>
        </w:rPr>
        <w:t>调查结论</w:t>
      </w:r>
    </w:p>
    <w:p w14:paraId="7518BFB5">
      <w:pPr>
        <w:pageBreakBefore w:val="0"/>
        <w:kinsoku/>
        <w:wordWrap/>
        <w:topLinePunct w:val="0"/>
        <w:autoSpaceDE/>
        <w:autoSpaceDN/>
        <w:bidi w:val="0"/>
        <w:adjustRightInd/>
        <w:snapToGrid/>
        <w:spacing w:line="560" w:lineRule="atLeast"/>
        <w:ind w:firstLine="640"/>
        <w:textAlignment w:val="auto"/>
        <w:rPr>
          <w:rFonts w:ascii="Times New Roman" w:hAnsi="Times New Roman" w:cs="Times New Roman"/>
          <w:sz w:val="32"/>
          <w:szCs w:val="32"/>
        </w:rPr>
      </w:pPr>
      <w:r>
        <w:rPr>
          <w:rFonts w:hint="eastAsia" w:ascii="Times New Roman" w:hAnsi="Times New Roman" w:cs="Times New Roman"/>
          <w:sz w:val="32"/>
          <w:szCs w:val="32"/>
          <w:lang w:val="en-US" w:eastAsia="zh-CN"/>
        </w:rPr>
        <w:t>按照</w:t>
      </w:r>
      <w:r>
        <w:rPr>
          <w:rFonts w:hint="eastAsia" w:ascii="Times New Roman" w:hAnsi="Times New Roman" w:cs="Times New Roman"/>
          <w:sz w:val="32"/>
          <w:szCs w:val="32"/>
        </w:rPr>
        <w:t>科学性、合理性和规范性原则，经计算，企业每立方米配气成本为</w:t>
      </w:r>
      <w:r>
        <w:rPr>
          <w:rFonts w:ascii="Times New Roman" w:hAnsi="Times New Roman" w:cs="Times New Roman"/>
          <w:sz w:val="32"/>
          <w:szCs w:val="32"/>
        </w:rPr>
        <w:t>1.</w:t>
      </w:r>
      <w:r>
        <w:rPr>
          <w:rFonts w:hint="eastAsia" w:ascii="Times New Roman" w:hAnsi="Times New Roman" w:cs="Times New Roman"/>
          <w:sz w:val="32"/>
          <w:szCs w:val="32"/>
        </w:rPr>
        <w:t>6</w:t>
      </w:r>
      <w:r>
        <w:rPr>
          <w:rFonts w:ascii="Times New Roman" w:hAnsi="Times New Roman" w:cs="Times New Roman"/>
          <w:sz w:val="32"/>
          <w:szCs w:val="32"/>
        </w:rPr>
        <w:t>3</w:t>
      </w:r>
      <w:r>
        <w:rPr>
          <w:rFonts w:hint="eastAsia" w:ascii="Times New Roman" w:hAnsi="Times New Roman" w:cs="Times New Roman"/>
          <w:sz w:val="32"/>
          <w:szCs w:val="32"/>
        </w:rPr>
        <w:t>元/立方米（</w:t>
      </w:r>
      <w:r>
        <w:rPr>
          <w:rFonts w:ascii="Times New Roman" w:hAnsi="Times New Roman" w:cs="Times New Roman"/>
          <w:sz w:val="32"/>
          <w:szCs w:val="32"/>
        </w:rPr>
        <w:t>301.78/184.80=1.63</w:t>
      </w:r>
      <w:r>
        <w:rPr>
          <w:rFonts w:hint="eastAsia" w:ascii="Times New Roman" w:hAnsi="Times New Roman" w:cs="Times New Roman"/>
          <w:sz w:val="32"/>
          <w:szCs w:val="32"/>
        </w:rPr>
        <w:t>）</w:t>
      </w:r>
      <w:r>
        <w:rPr>
          <w:rFonts w:hint="eastAsia" w:ascii="Times New Roman" w:hAnsi="Times New Roman" w:cs="Times New Roman"/>
          <w:sz w:val="32"/>
          <w:szCs w:val="32"/>
          <w:lang w:eastAsia="zh-CN"/>
        </w:rPr>
        <w:t>，</w:t>
      </w:r>
      <w:r>
        <w:rPr>
          <w:rFonts w:hint="eastAsia" w:ascii="Times New Roman" w:hAnsi="Times New Roman" w:cs="Times New Roman"/>
          <w:sz w:val="32"/>
          <w:szCs w:val="32"/>
        </w:rPr>
        <w:t>每立方米含税配气成本为1</w:t>
      </w:r>
      <w:r>
        <w:rPr>
          <w:rFonts w:ascii="Times New Roman" w:hAnsi="Times New Roman" w:cs="Times New Roman"/>
          <w:sz w:val="32"/>
          <w:szCs w:val="32"/>
        </w:rPr>
        <w:t>.78</w:t>
      </w:r>
      <w:r>
        <w:rPr>
          <w:rFonts w:hint="eastAsia" w:ascii="Times New Roman" w:hAnsi="Times New Roman" w:cs="Times New Roman"/>
          <w:sz w:val="32"/>
          <w:szCs w:val="32"/>
        </w:rPr>
        <w:t>元/立方米（1</w:t>
      </w:r>
      <w:r>
        <w:rPr>
          <w:rFonts w:ascii="Times New Roman" w:hAnsi="Times New Roman" w:cs="Times New Roman"/>
          <w:sz w:val="32"/>
          <w:szCs w:val="32"/>
        </w:rPr>
        <w:t>.63*1.09=1.78</w:t>
      </w:r>
      <w:r>
        <w:rPr>
          <w:rFonts w:hint="eastAsia" w:ascii="Times New Roman" w:hAnsi="Times New Roman" w:cs="Times New Roman"/>
          <w:sz w:val="32"/>
          <w:szCs w:val="32"/>
        </w:rPr>
        <w:t>），每立方米含税总成本=每立方米含税配气成本+每立方米购进成本（含运输）=</w:t>
      </w:r>
      <w:r>
        <w:rPr>
          <w:rFonts w:ascii="Times New Roman" w:hAnsi="Times New Roman" w:cs="Times New Roman"/>
          <w:sz w:val="32"/>
          <w:szCs w:val="32"/>
        </w:rPr>
        <w:t>1.78+3.78=5.56</w:t>
      </w:r>
      <w:r>
        <w:rPr>
          <w:rFonts w:hint="eastAsia" w:ascii="Times New Roman" w:hAnsi="Times New Roman" w:cs="Times New Roman"/>
          <w:sz w:val="32"/>
          <w:szCs w:val="32"/>
        </w:rPr>
        <w:t>元/立方米。</w:t>
      </w:r>
    </w:p>
    <w:p w14:paraId="2C119D72">
      <w:pPr>
        <w:pageBreakBefore w:val="0"/>
        <w:kinsoku/>
        <w:wordWrap/>
        <w:topLinePunct w:val="0"/>
        <w:autoSpaceDE/>
        <w:autoSpaceDN/>
        <w:bidi w:val="0"/>
        <w:adjustRightInd/>
        <w:snapToGrid/>
        <w:spacing w:line="560" w:lineRule="atLeast"/>
        <w:ind w:firstLine="0" w:firstLineChars="0"/>
        <w:textAlignment w:val="auto"/>
        <w:rPr>
          <w:rFonts w:hint="eastAsia" w:ascii="Times New Roman" w:hAnsi="Times New Roman" w:cs="Times New Roman"/>
          <w:sz w:val="32"/>
          <w:szCs w:val="32"/>
          <w:lang w:val="en-US" w:eastAsia="zh-CN"/>
        </w:rPr>
      </w:pPr>
    </w:p>
    <w:sectPr>
      <w:headerReference r:id="rId5" w:type="default"/>
      <w:footerReference r:id="rId6" w:type="default"/>
      <w:pgSz w:w="11906" w:h="16838"/>
      <w:pgMar w:top="2098" w:right="1474" w:bottom="1984" w:left="1587" w:header="851" w:footer="454" w:gutter="0"/>
      <w:pgNumType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90B8F">
    <w:pPr>
      <w:pStyle w:val="5"/>
      <w:spacing w:before="0" w:after="0"/>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378C2">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mNzNlN2E5YTBiYjI4ZDlkYTM1ZWYzNDJmNTE3ZTcifQ=="/>
  </w:docVars>
  <w:rsids>
    <w:rsidRoot w:val="58563B00"/>
    <w:rsid w:val="00006163"/>
    <w:rsid w:val="0001532C"/>
    <w:rsid w:val="0001739C"/>
    <w:rsid w:val="00021C6E"/>
    <w:rsid w:val="00024154"/>
    <w:rsid w:val="00024458"/>
    <w:rsid w:val="00030A2D"/>
    <w:rsid w:val="0003154B"/>
    <w:rsid w:val="000324D2"/>
    <w:rsid w:val="00034BE2"/>
    <w:rsid w:val="00037915"/>
    <w:rsid w:val="0004353B"/>
    <w:rsid w:val="00043BF9"/>
    <w:rsid w:val="00050CC9"/>
    <w:rsid w:val="000520EA"/>
    <w:rsid w:val="00060459"/>
    <w:rsid w:val="00066AB2"/>
    <w:rsid w:val="00071EAE"/>
    <w:rsid w:val="00073843"/>
    <w:rsid w:val="00073D79"/>
    <w:rsid w:val="000747BE"/>
    <w:rsid w:val="00075C6B"/>
    <w:rsid w:val="000773D0"/>
    <w:rsid w:val="000819EA"/>
    <w:rsid w:val="00081E43"/>
    <w:rsid w:val="00082582"/>
    <w:rsid w:val="00082EDC"/>
    <w:rsid w:val="0008512A"/>
    <w:rsid w:val="0008703A"/>
    <w:rsid w:val="0009605C"/>
    <w:rsid w:val="000A0091"/>
    <w:rsid w:val="000A424C"/>
    <w:rsid w:val="000A7C4E"/>
    <w:rsid w:val="000B7BFD"/>
    <w:rsid w:val="000C3754"/>
    <w:rsid w:val="000C46D4"/>
    <w:rsid w:val="000D4B60"/>
    <w:rsid w:val="000E4095"/>
    <w:rsid w:val="000E7377"/>
    <w:rsid w:val="000F3E74"/>
    <w:rsid w:val="00102EF6"/>
    <w:rsid w:val="00110A26"/>
    <w:rsid w:val="00111483"/>
    <w:rsid w:val="001146A2"/>
    <w:rsid w:val="00123D19"/>
    <w:rsid w:val="001258ED"/>
    <w:rsid w:val="00125EAA"/>
    <w:rsid w:val="001275A5"/>
    <w:rsid w:val="001372AE"/>
    <w:rsid w:val="00150784"/>
    <w:rsid w:val="00157383"/>
    <w:rsid w:val="001668B5"/>
    <w:rsid w:val="0017187A"/>
    <w:rsid w:val="00172839"/>
    <w:rsid w:val="0017415B"/>
    <w:rsid w:val="00176FDD"/>
    <w:rsid w:val="00180B42"/>
    <w:rsid w:val="001872F9"/>
    <w:rsid w:val="00191308"/>
    <w:rsid w:val="00192DAE"/>
    <w:rsid w:val="001946A3"/>
    <w:rsid w:val="001956D0"/>
    <w:rsid w:val="001966C9"/>
    <w:rsid w:val="00197A45"/>
    <w:rsid w:val="001A1707"/>
    <w:rsid w:val="001A54D1"/>
    <w:rsid w:val="001C1C42"/>
    <w:rsid w:val="001C5F98"/>
    <w:rsid w:val="001D1E4A"/>
    <w:rsid w:val="001D47A9"/>
    <w:rsid w:val="001D511A"/>
    <w:rsid w:val="001E2234"/>
    <w:rsid w:val="001E38C8"/>
    <w:rsid w:val="001F2550"/>
    <w:rsid w:val="001F2A9F"/>
    <w:rsid w:val="001F602A"/>
    <w:rsid w:val="002017EE"/>
    <w:rsid w:val="00205E47"/>
    <w:rsid w:val="00206CDA"/>
    <w:rsid w:val="0021006D"/>
    <w:rsid w:val="00214BAA"/>
    <w:rsid w:val="0021659D"/>
    <w:rsid w:val="00220FAA"/>
    <w:rsid w:val="00232DA3"/>
    <w:rsid w:val="00235054"/>
    <w:rsid w:val="00235BB6"/>
    <w:rsid w:val="00237C54"/>
    <w:rsid w:val="0024072D"/>
    <w:rsid w:val="00244844"/>
    <w:rsid w:val="00252ABE"/>
    <w:rsid w:val="0026187E"/>
    <w:rsid w:val="00263EDB"/>
    <w:rsid w:val="00264F35"/>
    <w:rsid w:val="00266143"/>
    <w:rsid w:val="00267231"/>
    <w:rsid w:val="002816AC"/>
    <w:rsid w:val="00281859"/>
    <w:rsid w:val="00281E86"/>
    <w:rsid w:val="00286E04"/>
    <w:rsid w:val="00297A32"/>
    <w:rsid w:val="002A28B8"/>
    <w:rsid w:val="002A4BDF"/>
    <w:rsid w:val="002A6A89"/>
    <w:rsid w:val="002B2B50"/>
    <w:rsid w:val="002B3B2F"/>
    <w:rsid w:val="002B691E"/>
    <w:rsid w:val="002B7B50"/>
    <w:rsid w:val="002B7FE2"/>
    <w:rsid w:val="002C095D"/>
    <w:rsid w:val="002C4327"/>
    <w:rsid w:val="002C5018"/>
    <w:rsid w:val="002C7515"/>
    <w:rsid w:val="002E0D78"/>
    <w:rsid w:val="002E28A2"/>
    <w:rsid w:val="002E4BAD"/>
    <w:rsid w:val="002F5211"/>
    <w:rsid w:val="003004C1"/>
    <w:rsid w:val="0030420C"/>
    <w:rsid w:val="003070C0"/>
    <w:rsid w:val="00311402"/>
    <w:rsid w:val="003201DA"/>
    <w:rsid w:val="00322A49"/>
    <w:rsid w:val="0033450A"/>
    <w:rsid w:val="003434BE"/>
    <w:rsid w:val="00352A75"/>
    <w:rsid w:val="00352EC4"/>
    <w:rsid w:val="0035320E"/>
    <w:rsid w:val="00356B2D"/>
    <w:rsid w:val="0036348E"/>
    <w:rsid w:val="00363953"/>
    <w:rsid w:val="00374AEF"/>
    <w:rsid w:val="00377D86"/>
    <w:rsid w:val="00382BA3"/>
    <w:rsid w:val="0038345D"/>
    <w:rsid w:val="0038500C"/>
    <w:rsid w:val="00391CB7"/>
    <w:rsid w:val="003926DB"/>
    <w:rsid w:val="0039336D"/>
    <w:rsid w:val="003A0D4F"/>
    <w:rsid w:val="003A141D"/>
    <w:rsid w:val="003A43DA"/>
    <w:rsid w:val="003A4444"/>
    <w:rsid w:val="003C54A7"/>
    <w:rsid w:val="003C6B10"/>
    <w:rsid w:val="003D542B"/>
    <w:rsid w:val="003D7452"/>
    <w:rsid w:val="003D7D02"/>
    <w:rsid w:val="003E2955"/>
    <w:rsid w:val="003F0548"/>
    <w:rsid w:val="003F1884"/>
    <w:rsid w:val="003F4064"/>
    <w:rsid w:val="003F50D5"/>
    <w:rsid w:val="003F6968"/>
    <w:rsid w:val="00410B77"/>
    <w:rsid w:val="004123AC"/>
    <w:rsid w:val="00416F91"/>
    <w:rsid w:val="00417419"/>
    <w:rsid w:val="00426349"/>
    <w:rsid w:val="004263F3"/>
    <w:rsid w:val="00427655"/>
    <w:rsid w:val="00430651"/>
    <w:rsid w:val="00431564"/>
    <w:rsid w:val="0043486F"/>
    <w:rsid w:val="00435E29"/>
    <w:rsid w:val="00435F9B"/>
    <w:rsid w:val="004372EF"/>
    <w:rsid w:val="00441889"/>
    <w:rsid w:val="004429F4"/>
    <w:rsid w:val="00442DEC"/>
    <w:rsid w:val="004460EC"/>
    <w:rsid w:val="004511D6"/>
    <w:rsid w:val="0045182F"/>
    <w:rsid w:val="0045639B"/>
    <w:rsid w:val="0045683E"/>
    <w:rsid w:val="004634F9"/>
    <w:rsid w:val="00470BB6"/>
    <w:rsid w:val="00476E1D"/>
    <w:rsid w:val="00483747"/>
    <w:rsid w:val="00485111"/>
    <w:rsid w:val="00487E10"/>
    <w:rsid w:val="00491FF4"/>
    <w:rsid w:val="00495AAC"/>
    <w:rsid w:val="00495CB3"/>
    <w:rsid w:val="004A10E3"/>
    <w:rsid w:val="004A581B"/>
    <w:rsid w:val="004B3E2D"/>
    <w:rsid w:val="004B6A1D"/>
    <w:rsid w:val="004C19B8"/>
    <w:rsid w:val="004C2A04"/>
    <w:rsid w:val="004C70CD"/>
    <w:rsid w:val="004E0742"/>
    <w:rsid w:val="005037C7"/>
    <w:rsid w:val="0050719F"/>
    <w:rsid w:val="00511F97"/>
    <w:rsid w:val="0051632A"/>
    <w:rsid w:val="0051720A"/>
    <w:rsid w:val="0052188E"/>
    <w:rsid w:val="005264B9"/>
    <w:rsid w:val="00530555"/>
    <w:rsid w:val="00531B46"/>
    <w:rsid w:val="00541674"/>
    <w:rsid w:val="00544655"/>
    <w:rsid w:val="00546040"/>
    <w:rsid w:val="00546062"/>
    <w:rsid w:val="00546998"/>
    <w:rsid w:val="00553259"/>
    <w:rsid w:val="00554223"/>
    <w:rsid w:val="005567B6"/>
    <w:rsid w:val="00561BEA"/>
    <w:rsid w:val="005720B8"/>
    <w:rsid w:val="00572B21"/>
    <w:rsid w:val="00574974"/>
    <w:rsid w:val="00576216"/>
    <w:rsid w:val="0058109F"/>
    <w:rsid w:val="00581CE7"/>
    <w:rsid w:val="00583B78"/>
    <w:rsid w:val="00594AC1"/>
    <w:rsid w:val="00597B0C"/>
    <w:rsid w:val="005A20F9"/>
    <w:rsid w:val="005A5232"/>
    <w:rsid w:val="005A5F0A"/>
    <w:rsid w:val="005A6279"/>
    <w:rsid w:val="005A72CB"/>
    <w:rsid w:val="005C66BB"/>
    <w:rsid w:val="005D06B7"/>
    <w:rsid w:val="005E41C0"/>
    <w:rsid w:val="005E5B0A"/>
    <w:rsid w:val="005E7A2B"/>
    <w:rsid w:val="005F0CCC"/>
    <w:rsid w:val="005F46A6"/>
    <w:rsid w:val="00603EF3"/>
    <w:rsid w:val="0060769A"/>
    <w:rsid w:val="00610349"/>
    <w:rsid w:val="006108D4"/>
    <w:rsid w:val="006157D5"/>
    <w:rsid w:val="00615AB8"/>
    <w:rsid w:val="0062051A"/>
    <w:rsid w:val="00623799"/>
    <w:rsid w:val="0062657F"/>
    <w:rsid w:val="00627D58"/>
    <w:rsid w:val="006330FE"/>
    <w:rsid w:val="00644DC9"/>
    <w:rsid w:val="00650E78"/>
    <w:rsid w:val="006549C4"/>
    <w:rsid w:val="00654B14"/>
    <w:rsid w:val="00654F80"/>
    <w:rsid w:val="00660A56"/>
    <w:rsid w:val="006611A1"/>
    <w:rsid w:val="00663650"/>
    <w:rsid w:val="00665063"/>
    <w:rsid w:val="006701D0"/>
    <w:rsid w:val="00672A29"/>
    <w:rsid w:val="00677D78"/>
    <w:rsid w:val="00684E8B"/>
    <w:rsid w:val="006A173F"/>
    <w:rsid w:val="006A2123"/>
    <w:rsid w:val="006A2509"/>
    <w:rsid w:val="006A4ADF"/>
    <w:rsid w:val="006A5FE6"/>
    <w:rsid w:val="006B10C1"/>
    <w:rsid w:val="006B4CC3"/>
    <w:rsid w:val="006C4A24"/>
    <w:rsid w:val="006D3A52"/>
    <w:rsid w:val="006E025B"/>
    <w:rsid w:val="006E4516"/>
    <w:rsid w:val="006F2F55"/>
    <w:rsid w:val="006F31D5"/>
    <w:rsid w:val="006F3398"/>
    <w:rsid w:val="00700681"/>
    <w:rsid w:val="007012E0"/>
    <w:rsid w:val="007027DA"/>
    <w:rsid w:val="007027EF"/>
    <w:rsid w:val="00706304"/>
    <w:rsid w:val="0071524E"/>
    <w:rsid w:val="00721814"/>
    <w:rsid w:val="00723DA6"/>
    <w:rsid w:val="00724811"/>
    <w:rsid w:val="00745786"/>
    <w:rsid w:val="00746C54"/>
    <w:rsid w:val="00752018"/>
    <w:rsid w:val="00753419"/>
    <w:rsid w:val="00753C22"/>
    <w:rsid w:val="0076042D"/>
    <w:rsid w:val="00760EB9"/>
    <w:rsid w:val="00763F10"/>
    <w:rsid w:val="007656BF"/>
    <w:rsid w:val="00781955"/>
    <w:rsid w:val="007831FB"/>
    <w:rsid w:val="00792867"/>
    <w:rsid w:val="00795E95"/>
    <w:rsid w:val="007A2221"/>
    <w:rsid w:val="007A3ACD"/>
    <w:rsid w:val="007B2C55"/>
    <w:rsid w:val="007B46AA"/>
    <w:rsid w:val="007B4BD4"/>
    <w:rsid w:val="007B727B"/>
    <w:rsid w:val="007C0764"/>
    <w:rsid w:val="007C2222"/>
    <w:rsid w:val="007C4756"/>
    <w:rsid w:val="007C4A43"/>
    <w:rsid w:val="007D33F5"/>
    <w:rsid w:val="007D5E0A"/>
    <w:rsid w:val="007E08B4"/>
    <w:rsid w:val="007E08C7"/>
    <w:rsid w:val="007F5CA4"/>
    <w:rsid w:val="00805184"/>
    <w:rsid w:val="0080573E"/>
    <w:rsid w:val="008060C0"/>
    <w:rsid w:val="0081309A"/>
    <w:rsid w:val="008142E7"/>
    <w:rsid w:val="0082186C"/>
    <w:rsid w:val="008221E8"/>
    <w:rsid w:val="00822715"/>
    <w:rsid w:val="00834805"/>
    <w:rsid w:val="0083487A"/>
    <w:rsid w:val="00837FB8"/>
    <w:rsid w:val="00854892"/>
    <w:rsid w:val="00861D4A"/>
    <w:rsid w:val="00864A8B"/>
    <w:rsid w:val="00864F24"/>
    <w:rsid w:val="00867561"/>
    <w:rsid w:val="0087544E"/>
    <w:rsid w:val="00875C92"/>
    <w:rsid w:val="00882114"/>
    <w:rsid w:val="0088612F"/>
    <w:rsid w:val="008931E7"/>
    <w:rsid w:val="008A1DB9"/>
    <w:rsid w:val="008A440A"/>
    <w:rsid w:val="008B041A"/>
    <w:rsid w:val="008C07BC"/>
    <w:rsid w:val="008C3BB7"/>
    <w:rsid w:val="008D24B8"/>
    <w:rsid w:val="008E1668"/>
    <w:rsid w:val="008E3BA9"/>
    <w:rsid w:val="008E6D9A"/>
    <w:rsid w:val="008F0742"/>
    <w:rsid w:val="008F10CE"/>
    <w:rsid w:val="00901119"/>
    <w:rsid w:val="009011B5"/>
    <w:rsid w:val="00904083"/>
    <w:rsid w:val="00912EB1"/>
    <w:rsid w:val="009154B8"/>
    <w:rsid w:val="0091567B"/>
    <w:rsid w:val="00915C8E"/>
    <w:rsid w:val="00923DDB"/>
    <w:rsid w:val="009308B4"/>
    <w:rsid w:val="00943228"/>
    <w:rsid w:val="00952E64"/>
    <w:rsid w:val="0095313B"/>
    <w:rsid w:val="00954494"/>
    <w:rsid w:val="00955069"/>
    <w:rsid w:val="00971BAA"/>
    <w:rsid w:val="0097396B"/>
    <w:rsid w:val="00976B80"/>
    <w:rsid w:val="0098255A"/>
    <w:rsid w:val="00990C58"/>
    <w:rsid w:val="009919E6"/>
    <w:rsid w:val="00992916"/>
    <w:rsid w:val="0099684D"/>
    <w:rsid w:val="009B7A14"/>
    <w:rsid w:val="009C4FF4"/>
    <w:rsid w:val="009C6179"/>
    <w:rsid w:val="009D280A"/>
    <w:rsid w:val="009D3545"/>
    <w:rsid w:val="009D7B8A"/>
    <w:rsid w:val="009E31ED"/>
    <w:rsid w:val="009E596F"/>
    <w:rsid w:val="009F0DCF"/>
    <w:rsid w:val="009F4406"/>
    <w:rsid w:val="00A000C6"/>
    <w:rsid w:val="00A03B4D"/>
    <w:rsid w:val="00A20A1E"/>
    <w:rsid w:val="00A23953"/>
    <w:rsid w:val="00A345EB"/>
    <w:rsid w:val="00A51FEA"/>
    <w:rsid w:val="00A55995"/>
    <w:rsid w:val="00A56F8E"/>
    <w:rsid w:val="00A657E9"/>
    <w:rsid w:val="00A7258C"/>
    <w:rsid w:val="00A72CBC"/>
    <w:rsid w:val="00A81CE5"/>
    <w:rsid w:val="00A824A6"/>
    <w:rsid w:val="00A82C06"/>
    <w:rsid w:val="00A84672"/>
    <w:rsid w:val="00AA2CDF"/>
    <w:rsid w:val="00AA4C0C"/>
    <w:rsid w:val="00AB0841"/>
    <w:rsid w:val="00AB1ACC"/>
    <w:rsid w:val="00AB23B0"/>
    <w:rsid w:val="00AB402B"/>
    <w:rsid w:val="00AB7916"/>
    <w:rsid w:val="00AB7FF3"/>
    <w:rsid w:val="00AC08B8"/>
    <w:rsid w:val="00AC1852"/>
    <w:rsid w:val="00AC2D2E"/>
    <w:rsid w:val="00AC49BE"/>
    <w:rsid w:val="00AC5C01"/>
    <w:rsid w:val="00AC5E2F"/>
    <w:rsid w:val="00AD7B7F"/>
    <w:rsid w:val="00AE152C"/>
    <w:rsid w:val="00AE5A94"/>
    <w:rsid w:val="00AF29DC"/>
    <w:rsid w:val="00AF2DE8"/>
    <w:rsid w:val="00AF3E8E"/>
    <w:rsid w:val="00AF5E2F"/>
    <w:rsid w:val="00B03AF2"/>
    <w:rsid w:val="00B03E85"/>
    <w:rsid w:val="00B12C03"/>
    <w:rsid w:val="00B22895"/>
    <w:rsid w:val="00B23FBE"/>
    <w:rsid w:val="00B248EC"/>
    <w:rsid w:val="00B31D52"/>
    <w:rsid w:val="00B34432"/>
    <w:rsid w:val="00B42073"/>
    <w:rsid w:val="00B44E5A"/>
    <w:rsid w:val="00B45CAC"/>
    <w:rsid w:val="00B519D3"/>
    <w:rsid w:val="00B632C9"/>
    <w:rsid w:val="00B8119D"/>
    <w:rsid w:val="00B82EF9"/>
    <w:rsid w:val="00B84915"/>
    <w:rsid w:val="00B864DC"/>
    <w:rsid w:val="00B919BF"/>
    <w:rsid w:val="00BA0832"/>
    <w:rsid w:val="00BA6C6D"/>
    <w:rsid w:val="00BB4D66"/>
    <w:rsid w:val="00BC6948"/>
    <w:rsid w:val="00BC6D91"/>
    <w:rsid w:val="00BD2BDB"/>
    <w:rsid w:val="00BD2BDE"/>
    <w:rsid w:val="00BD4AC8"/>
    <w:rsid w:val="00BE043B"/>
    <w:rsid w:val="00BE7881"/>
    <w:rsid w:val="00BF4C6F"/>
    <w:rsid w:val="00BF696F"/>
    <w:rsid w:val="00C02E8D"/>
    <w:rsid w:val="00C0504C"/>
    <w:rsid w:val="00C05CA7"/>
    <w:rsid w:val="00C10D9D"/>
    <w:rsid w:val="00C2251C"/>
    <w:rsid w:val="00C27D8C"/>
    <w:rsid w:val="00C402CA"/>
    <w:rsid w:val="00C40BC7"/>
    <w:rsid w:val="00C41CEA"/>
    <w:rsid w:val="00C41F42"/>
    <w:rsid w:val="00C41FA3"/>
    <w:rsid w:val="00C45229"/>
    <w:rsid w:val="00C503E4"/>
    <w:rsid w:val="00C535A8"/>
    <w:rsid w:val="00C547EB"/>
    <w:rsid w:val="00C54E38"/>
    <w:rsid w:val="00C55B7F"/>
    <w:rsid w:val="00C61113"/>
    <w:rsid w:val="00C624E1"/>
    <w:rsid w:val="00C638DF"/>
    <w:rsid w:val="00C71B1E"/>
    <w:rsid w:val="00C83C36"/>
    <w:rsid w:val="00C87B34"/>
    <w:rsid w:val="00C90DB2"/>
    <w:rsid w:val="00C94C40"/>
    <w:rsid w:val="00C96126"/>
    <w:rsid w:val="00CA2220"/>
    <w:rsid w:val="00CB49DC"/>
    <w:rsid w:val="00CC0487"/>
    <w:rsid w:val="00CC15AD"/>
    <w:rsid w:val="00CC7EEC"/>
    <w:rsid w:val="00CD37D1"/>
    <w:rsid w:val="00CD45AB"/>
    <w:rsid w:val="00CD760A"/>
    <w:rsid w:val="00CE2B80"/>
    <w:rsid w:val="00CE59A9"/>
    <w:rsid w:val="00CF2168"/>
    <w:rsid w:val="00CF5C23"/>
    <w:rsid w:val="00D01CD2"/>
    <w:rsid w:val="00D02F77"/>
    <w:rsid w:val="00D03188"/>
    <w:rsid w:val="00D0768A"/>
    <w:rsid w:val="00D10489"/>
    <w:rsid w:val="00D1419D"/>
    <w:rsid w:val="00D253AC"/>
    <w:rsid w:val="00D26992"/>
    <w:rsid w:val="00D269F2"/>
    <w:rsid w:val="00D27C59"/>
    <w:rsid w:val="00D32B6C"/>
    <w:rsid w:val="00D41EDB"/>
    <w:rsid w:val="00D44456"/>
    <w:rsid w:val="00D47922"/>
    <w:rsid w:val="00D542A0"/>
    <w:rsid w:val="00D57A88"/>
    <w:rsid w:val="00D606E1"/>
    <w:rsid w:val="00D623CF"/>
    <w:rsid w:val="00D6286E"/>
    <w:rsid w:val="00D658B7"/>
    <w:rsid w:val="00D67D7C"/>
    <w:rsid w:val="00D705B8"/>
    <w:rsid w:val="00D722D4"/>
    <w:rsid w:val="00D8529F"/>
    <w:rsid w:val="00D94480"/>
    <w:rsid w:val="00DA2045"/>
    <w:rsid w:val="00DA4881"/>
    <w:rsid w:val="00DB6DDA"/>
    <w:rsid w:val="00DC0EC2"/>
    <w:rsid w:val="00DC2A00"/>
    <w:rsid w:val="00DD7203"/>
    <w:rsid w:val="00DD732E"/>
    <w:rsid w:val="00DE00FD"/>
    <w:rsid w:val="00DE2E39"/>
    <w:rsid w:val="00DF2E70"/>
    <w:rsid w:val="00DF3160"/>
    <w:rsid w:val="00DF55F6"/>
    <w:rsid w:val="00E018A9"/>
    <w:rsid w:val="00E02790"/>
    <w:rsid w:val="00E20E9B"/>
    <w:rsid w:val="00E2186D"/>
    <w:rsid w:val="00E2388C"/>
    <w:rsid w:val="00E26DD4"/>
    <w:rsid w:val="00E3054C"/>
    <w:rsid w:val="00E3663E"/>
    <w:rsid w:val="00E435C0"/>
    <w:rsid w:val="00E453EF"/>
    <w:rsid w:val="00E454D9"/>
    <w:rsid w:val="00E500CA"/>
    <w:rsid w:val="00E50D70"/>
    <w:rsid w:val="00E51401"/>
    <w:rsid w:val="00E6684B"/>
    <w:rsid w:val="00E67BDD"/>
    <w:rsid w:val="00E75FF6"/>
    <w:rsid w:val="00E80648"/>
    <w:rsid w:val="00E8299A"/>
    <w:rsid w:val="00E879D8"/>
    <w:rsid w:val="00E92229"/>
    <w:rsid w:val="00E96A51"/>
    <w:rsid w:val="00EB1929"/>
    <w:rsid w:val="00EB47DF"/>
    <w:rsid w:val="00EC221D"/>
    <w:rsid w:val="00EC7B48"/>
    <w:rsid w:val="00ED0587"/>
    <w:rsid w:val="00ED2766"/>
    <w:rsid w:val="00ED4CAD"/>
    <w:rsid w:val="00EE07E2"/>
    <w:rsid w:val="00EE320C"/>
    <w:rsid w:val="00EE5C01"/>
    <w:rsid w:val="00EE780F"/>
    <w:rsid w:val="00EF0AFD"/>
    <w:rsid w:val="00F03554"/>
    <w:rsid w:val="00F101E0"/>
    <w:rsid w:val="00F143FB"/>
    <w:rsid w:val="00F21833"/>
    <w:rsid w:val="00F22E8D"/>
    <w:rsid w:val="00F24CEB"/>
    <w:rsid w:val="00F271FE"/>
    <w:rsid w:val="00F3053D"/>
    <w:rsid w:val="00F345E2"/>
    <w:rsid w:val="00F40626"/>
    <w:rsid w:val="00F418C2"/>
    <w:rsid w:val="00F45C00"/>
    <w:rsid w:val="00F50AEE"/>
    <w:rsid w:val="00F554CD"/>
    <w:rsid w:val="00F61950"/>
    <w:rsid w:val="00F619B4"/>
    <w:rsid w:val="00F61E1F"/>
    <w:rsid w:val="00F626C4"/>
    <w:rsid w:val="00F74026"/>
    <w:rsid w:val="00F801A5"/>
    <w:rsid w:val="00F83714"/>
    <w:rsid w:val="00F87147"/>
    <w:rsid w:val="00F91B61"/>
    <w:rsid w:val="00F93C5F"/>
    <w:rsid w:val="00F9545A"/>
    <w:rsid w:val="00F957A5"/>
    <w:rsid w:val="00F95BEE"/>
    <w:rsid w:val="00F97047"/>
    <w:rsid w:val="00FC418E"/>
    <w:rsid w:val="00FC5E07"/>
    <w:rsid w:val="00FD0B09"/>
    <w:rsid w:val="00FD25CB"/>
    <w:rsid w:val="00FD3728"/>
    <w:rsid w:val="00FD580F"/>
    <w:rsid w:val="00FD5BFE"/>
    <w:rsid w:val="00FE5C0C"/>
    <w:rsid w:val="00FE6635"/>
    <w:rsid w:val="00FE6DD5"/>
    <w:rsid w:val="00FF6DB8"/>
    <w:rsid w:val="017E6F26"/>
    <w:rsid w:val="01BB5A85"/>
    <w:rsid w:val="01F86CD9"/>
    <w:rsid w:val="02F50B48"/>
    <w:rsid w:val="03EF7C67"/>
    <w:rsid w:val="0542367D"/>
    <w:rsid w:val="05BC001D"/>
    <w:rsid w:val="06962ABB"/>
    <w:rsid w:val="06C76C7A"/>
    <w:rsid w:val="07ED0962"/>
    <w:rsid w:val="08387E2F"/>
    <w:rsid w:val="08742B0C"/>
    <w:rsid w:val="09782FF4"/>
    <w:rsid w:val="0A345F60"/>
    <w:rsid w:val="0A503874"/>
    <w:rsid w:val="0A6238AF"/>
    <w:rsid w:val="0AE1644F"/>
    <w:rsid w:val="0B260413"/>
    <w:rsid w:val="0B521208"/>
    <w:rsid w:val="0C8A677F"/>
    <w:rsid w:val="0CA737D5"/>
    <w:rsid w:val="0CB47CA0"/>
    <w:rsid w:val="0D141552"/>
    <w:rsid w:val="0D533015"/>
    <w:rsid w:val="0EFD6F5C"/>
    <w:rsid w:val="0FCB7A40"/>
    <w:rsid w:val="10216D20"/>
    <w:rsid w:val="10354C54"/>
    <w:rsid w:val="109776BD"/>
    <w:rsid w:val="122D652B"/>
    <w:rsid w:val="1230601B"/>
    <w:rsid w:val="13A24CF6"/>
    <w:rsid w:val="13BC5DB8"/>
    <w:rsid w:val="14C91E0F"/>
    <w:rsid w:val="15C076B6"/>
    <w:rsid w:val="1606349E"/>
    <w:rsid w:val="16302145"/>
    <w:rsid w:val="169A7F07"/>
    <w:rsid w:val="176044BF"/>
    <w:rsid w:val="17A70B2D"/>
    <w:rsid w:val="18CF0378"/>
    <w:rsid w:val="18E65685"/>
    <w:rsid w:val="196D36B1"/>
    <w:rsid w:val="1977452F"/>
    <w:rsid w:val="197E141A"/>
    <w:rsid w:val="19AF7825"/>
    <w:rsid w:val="1A057D8D"/>
    <w:rsid w:val="1A1F5A43"/>
    <w:rsid w:val="1A7FAC9F"/>
    <w:rsid w:val="1AD0039B"/>
    <w:rsid w:val="1B4F4600"/>
    <w:rsid w:val="1BE3797C"/>
    <w:rsid w:val="1BE7599C"/>
    <w:rsid w:val="1BE95FD3"/>
    <w:rsid w:val="1BF589FC"/>
    <w:rsid w:val="1BFB7CDB"/>
    <w:rsid w:val="1C450915"/>
    <w:rsid w:val="1C7A0069"/>
    <w:rsid w:val="1CEE2D5A"/>
    <w:rsid w:val="1CFFA410"/>
    <w:rsid w:val="1D3342C3"/>
    <w:rsid w:val="1DBF3F3A"/>
    <w:rsid w:val="1DD43CFE"/>
    <w:rsid w:val="1F1A1BE5"/>
    <w:rsid w:val="1F8A4FBC"/>
    <w:rsid w:val="1F996FAD"/>
    <w:rsid w:val="1FDB75C6"/>
    <w:rsid w:val="20A774A8"/>
    <w:rsid w:val="20C55B80"/>
    <w:rsid w:val="20E4776F"/>
    <w:rsid w:val="20FF1092"/>
    <w:rsid w:val="212218FD"/>
    <w:rsid w:val="21B46321"/>
    <w:rsid w:val="21C61BB0"/>
    <w:rsid w:val="21C66054"/>
    <w:rsid w:val="233D0598"/>
    <w:rsid w:val="239857CE"/>
    <w:rsid w:val="24455956"/>
    <w:rsid w:val="24AB2227"/>
    <w:rsid w:val="24C30629"/>
    <w:rsid w:val="24F20F0E"/>
    <w:rsid w:val="25626093"/>
    <w:rsid w:val="25B7174A"/>
    <w:rsid w:val="25C366E6"/>
    <w:rsid w:val="27391076"/>
    <w:rsid w:val="276B56D3"/>
    <w:rsid w:val="278F677D"/>
    <w:rsid w:val="279D3E45"/>
    <w:rsid w:val="27A110F5"/>
    <w:rsid w:val="285337E8"/>
    <w:rsid w:val="29312005"/>
    <w:rsid w:val="29DD218D"/>
    <w:rsid w:val="2AF69676"/>
    <w:rsid w:val="2BFF189A"/>
    <w:rsid w:val="2C1F440F"/>
    <w:rsid w:val="2C896913"/>
    <w:rsid w:val="2CC969F8"/>
    <w:rsid w:val="2EA4771D"/>
    <w:rsid w:val="2ED00512"/>
    <w:rsid w:val="2F234AE5"/>
    <w:rsid w:val="2F2443BA"/>
    <w:rsid w:val="2FF255A9"/>
    <w:rsid w:val="2FF719A3"/>
    <w:rsid w:val="2FFF086D"/>
    <w:rsid w:val="312132A7"/>
    <w:rsid w:val="32C43EEA"/>
    <w:rsid w:val="32D3784A"/>
    <w:rsid w:val="331D35FA"/>
    <w:rsid w:val="33D066A7"/>
    <w:rsid w:val="34A246FE"/>
    <w:rsid w:val="34CE205D"/>
    <w:rsid w:val="353C422F"/>
    <w:rsid w:val="37912AC5"/>
    <w:rsid w:val="3A1F234D"/>
    <w:rsid w:val="3A7DBC9A"/>
    <w:rsid w:val="3A865F28"/>
    <w:rsid w:val="3ADF4402"/>
    <w:rsid w:val="3AEFB173"/>
    <w:rsid w:val="3B2C2F74"/>
    <w:rsid w:val="3B2FCBE1"/>
    <w:rsid w:val="3C2105FF"/>
    <w:rsid w:val="3D361E88"/>
    <w:rsid w:val="3E2972F7"/>
    <w:rsid w:val="3EBA43F3"/>
    <w:rsid w:val="3EBB0E6D"/>
    <w:rsid w:val="3EBE3EF4"/>
    <w:rsid w:val="3EF47905"/>
    <w:rsid w:val="3EFB7750"/>
    <w:rsid w:val="3F4A0B4A"/>
    <w:rsid w:val="3F6F1681"/>
    <w:rsid w:val="3FBB5994"/>
    <w:rsid w:val="3FF29875"/>
    <w:rsid w:val="3FF7DB7E"/>
    <w:rsid w:val="3FFA7792"/>
    <w:rsid w:val="3FFEC6F9"/>
    <w:rsid w:val="401D59C7"/>
    <w:rsid w:val="40804C79"/>
    <w:rsid w:val="40A9471F"/>
    <w:rsid w:val="40BF3F42"/>
    <w:rsid w:val="414F176A"/>
    <w:rsid w:val="42F06635"/>
    <w:rsid w:val="43350C92"/>
    <w:rsid w:val="437723C8"/>
    <w:rsid w:val="43E75C8A"/>
    <w:rsid w:val="43FF1225"/>
    <w:rsid w:val="452D3B70"/>
    <w:rsid w:val="47332514"/>
    <w:rsid w:val="473B774F"/>
    <w:rsid w:val="47AB5220"/>
    <w:rsid w:val="484A2C8B"/>
    <w:rsid w:val="48643D4D"/>
    <w:rsid w:val="49C275E8"/>
    <w:rsid w:val="4A113A61"/>
    <w:rsid w:val="4B1C05E1"/>
    <w:rsid w:val="4B4614E8"/>
    <w:rsid w:val="4BAF44FD"/>
    <w:rsid w:val="4C6F0F12"/>
    <w:rsid w:val="4C8A5D4C"/>
    <w:rsid w:val="4D4047B7"/>
    <w:rsid w:val="4D5819A6"/>
    <w:rsid w:val="4D782049"/>
    <w:rsid w:val="4D9F3131"/>
    <w:rsid w:val="4E4578D7"/>
    <w:rsid w:val="4E7D4CE5"/>
    <w:rsid w:val="4FD27F4C"/>
    <w:rsid w:val="4FE17A31"/>
    <w:rsid w:val="4FE77A30"/>
    <w:rsid w:val="4FFB8039"/>
    <w:rsid w:val="50294071"/>
    <w:rsid w:val="505E1082"/>
    <w:rsid w:val="50777615"/>
    <w:rsid w:val="512027DB"/>
    <w:rsid w:val="529E1C09"/>
    <w:rsid w:val="5328232F"/>
    <w:rsid w:val="53A45945"/>
    <w:rsid w:val="54065203"/>
    <w:rsid w:val="540E7263"/>
    <w:rsid w:val="54F324ED"/>
    <w:rsid w:val="557868C4"/>
    <w:rsid w:val="56206DD9"/>
    <w:rsid w:val="56535401"/>
    <w:rsid w:val="57233025"/>
    <w:rsid w:val="57A61AF1"/>
    <w:rsid w:val="57CF7F3C"/>
    <w:rsid w:val="57F549C2"/>
    <w:rsid w:val="58563B00"/>
    <w:rsid w:val="5A719212"/>
    <w:rsid w:val="5B4D0671"/>
    <w:rsid w:val="5BB26369"/>
    <w:rsid w:val="5BDB4417"/>
    <w:rsid w:val="5CFA7BAF"/>
    <w:rsid w:val="5D1C02FB"/>
    <w:rsid w:val="5D850596"/>
    <w:rsid w:val="5E0C4813"/>
    <w:rsid w:val="5E343D6A"/>
    <w:rsid w:val="5E895E64"/>
    <w:rsid w:val="5E8EEE5D"/>
    <w:rsid w:val="5EEA2F43"/>
    <w:rsid w:val="5EFDD24F"/>
    <w:rsid w:val="5F090D52"/>
    <w:rsid w:val="5F65732E"/>
    <w:rsid w:val="5F9A7BFD"/>
    <w:rsid w:val="5FDFEE70"/>
    <w:rsid w:val="5FEF62B4"/>
    <w:rsid w:val="5FFB3B2B"/>
    <w:rsid w:val="5FFDB666"/>
    <w:rsid w:val="60CF14B0"/>
    <w:rsid w:val="61333E65"/>
    <w:rsid w:val="616404C2"/>
    <w:rsid w:val="61C96577"/>
    <w:rsid w:val="622F287E"/>
    <w:rsid w:val="63071A4D"/>
    <w:rsid w:val="63D794D8"/>
    <w:rsid w:val="64963088"/>
    <w:rsid w:val="64BB2AEF"/>
    <w:rsid w:val="66B5531C"/>
    <w:rsid w:val="66FC023E"/>
    <w:rsid w:val="676236F6"/>
    <w:rsid w:val="67C117FD"/>
    <w:rsid w:val="684150B9"/>
    <w:rsid w:val="686D4100"/>
    <w:rsid w:val="68784853"/>
    <w:rsid w:val="68FC6BC7"/>
    <w:rsid w:val="69034A64"/>
    <w:rsid w:val="69F66377"/>
    <w:rsid w:val="6ADF7871"/>
    <w:rsid w:val="6B4A0729"/>
    <w:rsid w:val="6BFDA2DD"/>
    <w:rsid w:val="6C6972D4"/>
    <w:rsid w:val="6D7B2E1B"/>
    <w:rsid w:val="6DFF9560"/>
    <w:rsid w:val="6E0FEDB2"/>
    <w:rsid w:val="6E264288"/>
    <w:rsid w:val="6EA97922"/>
    <w:rsid w:val="6F16373E"/>
    <w:rsid w:val="6F3FD6AE"/>
    <w:rsid w:val="6F5ED190"/>
    <w:rsid w:val="6F7264A0"/>
    <w:rsid w:val="6FCC7C91"/>
    <w:rsid w:val="6FE381F6"/>
    <w:rsid w:val="6FFFADA9"/>
    <w:rsid w:val="705B14E2"/>
    <w:rsid w:val="70891CF3"/>
    <w:rsid w:val="726E11A1"/>
    <w:rsid w:val="735BA254"/>
    <w:rsid w:val="73DF53AC"/>
    <w:rsid w:val="749F7D37"/>
    <w:rsid w:val="750D3F37"/>
    <w:rsid w:val="75500B8A"/>
    <w:rsid w:val="7625601A"/>
    <w:rsid w:val="77617526"/>
    <w:rsid w:val="7769462C"/>
    <w:rsid w:val="77ED700C"/>
    <w:rsid w:val="77FF347D"/>
    <w:rsid w:val="78610198"/>
    <w:rsid w:val="79386064"/>
    <w:rsid w:val="7A4E6CA2"/>
    <w:rsid w:val="7AEA5202"/>
    <w:rsid w:val="7B3AF8BC"/>
    <w:rsid w:val="7B430CF1"/>
    <w:rsid w:val="7BDD07C0"/>
    <w:rsid w:val="7BFD20C3"/>
    <w:rsid w:val="7BFF6E08"/>
    <w:rsid w:val="7CB43C54"/>
    <w:rsid w:val="7D1312C2"/>
    <w:rsid w:val="7DBF3E70"/>
    <w:rsid w:val="7DEF1798"/>
    <w:rsid w:val="7DEF3892"/>
    <w:rsid w:val="7DF07E41"/>
    <w:rsid w:val="7DFB50E3"/>
    <w:rsid w:val="7E417769"/>
    <w:rsid w:val="7EF21F81"/>
    <w:rsid w:val="7EF66353"/>
    <w:rsid w:val="7EFEB723"/>
    <w:rsid w:val="7F0215EE"/>
    <w:rsid w:val="7F0E8F71"/>
    <w:rsid w:val="7F3217A8"/>
    <w:rsid w:val="7F78AC49"/>
    <w:rsid w:val="7F7CBC1D"/>
    <w:rsid w:val="7F9F4939"/>
    <w:rsid w:val="7F9FB1C1"/>
    <w:rsid w:val="7FA6FCBF"/>
    <w:rsid w:val="7FA7A60E"/>
    <w:rsid w:val="7FE528D8"/>
    <w:rsid w:val="7FFA6E87"/>
    <w:rsid w:val="7FFBF516"/>
    <w:rsid w:val="7FFD5912"/>
    <w:rsid w:val="7FFE30C5"/>
    <w:rsid w:val="7FFEA515"/>
    <w:rsid w:val="7FFF6FAA"/>
    <w:rsid w:val="7FFFBDD2"/>
    <w:rsid w:val="8FFEFD6F"/>
    <w:rsid w:val="977F30EB"/>
    <w:rsid w:val="97F95F29"/>
    <w:rsid w:val="9FF33770"/>
    <w:rsid w:val="A3CC207F"/>
    <w:rsid w:val="A3DFACC0"/>
    <w:rsid w:val="A9F742D1"/>
    <w:rsid w:val="ABE6C36B"/>
    <w:rsid w:val="ABFF51C2"/>
    <w:rsid w:val="ADBFE899"/>
    <w:rsid w:val="B6F84E51"/>
    <w:rsid w:val="B77763EA"/>
    <w:rsid w:val="B7FEE547"/>
    <w:rsid w:val="BABE5B8D"/>
    <w:rsid w:val="BDE2AA03"/>
    <w:rsid w:val="BDF57417"/>
    <w:rsid w:val="BDF78308"/>
    <w:rsid w:val="BE259DA8"/>
    <w:rsid w:val="BEEF1DE1"/>
    <w:rsid w:val="C3FB9179"/>
    <w:rsid w:val="C3FD888C"/>
    <w:rsid w:val="C53ED2AE"/>
    <w:rsid w:val="C7D7E417"/>
    <w:rsid w:val="CB5F0AEB"/>
    <w:rsid w:val="CD7B5958"/>
    <w:rsid w:val="D3FCA460"/>
    <w:rsid w:val="DABF2058"/>
    <w:rsid w:val="DF7FC318"/>
    <w:rsid w:val="DFFE69EB"/>
    <w:rsid w:val="E2EBE569"/>
    <w:rsid w:val="E2F7A7E8"/>
    <w:rsid w:val="E6FDE326"/>
    <w:rsid w:val="E9FB61D8"/>
    <w:rsid w:val="EA7FF98D"/>
    <w:rsid w:val="EAFBA41B"/>
    <w:rsid w:val="EBF5FEB0"/>
    <w:rsid w:val="EDE56D87"/>
    <w:rsid w:val="EDFCF20B"/>
    <w:rsid w:val="EE75B199"/>
    <w:rsid w:val="EF5FF0F9"/>
    <w:rsid w:val="EF686BCA"/>
    <w:rsid w:val="EF6BEC61"/>
    <w:rsid w:val="EFFBAD79"/>
    <w:rsid w:val="EFFE3C7B"/>
    <w:rsid w:val="EFFE4FF1"/>
    <w:rsid w:val="F25E8000"/>
    <w:rsid w:val="F2FD79BE"/>
    <w:rsid w:val="F34B740C"/>
    <w:rsid w:val="F34FF6FB"/>
    <w:rsid w:val="F4F4AEF9"/>
    <w:rsid w:val="F5FBB4C8"/>
    <w:rsid w:val="F67DC5E6"/>
    <w:rsid w:val="F6EE2868"/>
    <w:rsid w:val="F77DD3F2"/>
    <w:rsid w:val="F7BBC329"/>
    <w:rsid w:val="F7ED12C3"/>
    <w:rsid w:val="F7F73448"/>
    <w:rsid w:val="F7FDFD84"/>
    <w:rsid w:val="F7FF0DC8"/>
    <w:rsid w:val="F7FF3F1E"/>
    <w:rsid w:val="FAFF810E"/>
    <w:rsid w:val="FBD6A5AB"/>
    <w:rsid w:val="FBF6D8EA"/>
    <w:rsid w:val="FBFFD8C2"/>
    <w:rsid w:val="FBFFF97E"/>
    <w:rsid w:val="FCC6119F"/>
    <w:rsid w:val="FCFFCF70"/>
    <w:rsid w:val="FD7E8134"/>
    <w:rsid w:val="FDBC40D7"/>
    <w:rsid w:val="FDC5CCE5"/>
    <w:rsid w:val="FDD79AC7"/>
    <w:rsid w:val="FDFB16E4"/>
    <w:rsid w:val="FDFEA67E"/>
    <w:rsid w:val="FDFFCA37"/>
    <w:rsid w:val="FE7F044F"/>
    <w:rsid w:val="FEA381C8"/>
    <w:rsid w:val="FEBF674F"/>
    <w:rsid w:val="FEFDC3B8"/>
    <w:rsid w:val="FEFE5A6E"/>
    <w:rsid w:val="FF6EC2AD"/>
    <w:rsid w:val="FFA98F24"/>
    <w:rsid w:val="FFDA66F3"/>
    <w:rsid w:val="FFDD0EAA"/>
    <w:rsid w:val="FFDFCE01"/>
    <w:rsid w:val="FFFE932A"/>
    <w:rsid w:val="FFFFF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eastAsia="仿宋_GB2312" w:asciiTheme="minorHAnsi" w:hAnsiTheme="minorHAnsi" w:cstheme="minorBidi"/>
      <w:kern w:val="2"/>
      <w:sz w:val="30"/>
      <w:szCs w:val="24"/>
      <w:lang w:val="en-US" w:eastAsia="zh-CN" w:bidi="ar-SA"/>
    </w:rPr>
  </w:style>
  <w:style w:type="paragraph" w:styleId="2">
    <w:name w:val="heading 1"/>
    <w:basedOn w:val="1"/>
    <w:next w:val="1"/>
    <w:link w:val="12"/>
    <w:qFormat/>
    <w:uiPriority w:val="0"/>
    <w:pPr>
      <w:keepNext/>
      <w:keepLines/>
      <w:outlineLvl w:val="0"/>
    </w:pPr>
    <w:rPr>
      <w:rFonts w:eastAsia="黑体"/>
      <w:b/>
      <w:bCs/>
      <w:kern w:val="44"/>
      <w:szCs w:val="44"/>
    </w:rPr>
  </w:style>
  <w:style w:type="paragraph" w:styleId="3">
    <w:name w:val="heading 2"/>
    <w:basedOn w:val="1"/>
    <w:next w:val="1"/>
    <w:link w:val="13"/>
    <w:unhideWhenUsed/>
    <w:qFormat/>
    <w:uiPriority w:val="0"/>
    <w:pPr>
      <w:keepNext/>
      <w:keepLines/>
      <w:outlineLvl w:val="1"/>
    </w:pPr>
    <w:rPr>
      <w:rFonts w:eastAsia="楷体_GB2312" w:asciiTheme="majorHAnsi" w:hAnsiTheme="majorHAnsi" w:cstheme="majorBidi"/>
      <w:bCs/>
      <w:sz w:val="32"/>
      <w:szCs w:val="32"/>
    </w:rPr>
  </w:style>
  <w:style w:type="paragraph" w:styleId="4">
    <w:name w:val="heading 3"/>
    <w:basedOn w:val="1"/>
    <w:next w:val="1"/>
    <w:link w:val="14"/>
    <w:unhideWhenUsed/>
    <w:qFormat/>
    <w:uiPriority w:val="0"/>
    <w:pPr>
      <w:keepNext/>
      <w:keepLines/>
      <w:outlineLvl w:val="2"/>
    </w:pPr>
    <w:rPr>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autoRedefine/>
    <w:qFormat/>
    <w:uiPriority w:val="99"/>
    <w:pPr>
      <w:tabs>
        <w:tab w:val="center" w:pos="4153"/>
        <w:tab w:val="right" w:pos="8306"/>
      </w:tabs>
      <w:snapToGrid w:val="0"/>
      <w:spacing w:before="240" w:after="240"/>
      <w:ind w:firstLine="360"/>
      <w:jc w:val="center"/>
    </w:pPr>
    <w:rPr>
      <w:rFonts w:ascii="Times New Roman" w:hAnsi="Times New Roman" w:cs="Times New Roman"/>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List Paragraph"/>
    <w:basedOn w:val="1"/>
    <w:unhideWhenUsed/>
    <w:qFormat/>
    <w:uiPriority w:val="99"/>
    <w:pPr>
      <w:ind w:firstLine="420"/>
    </w:pPr>
  </w:style>
  <w:style w:type="character" w:customStyle="1" w:styleId="11">
    <w:name w:val="页脚 字符"/>
    <w:basedOn w:val="9"/>
    <w:link w:val="5"/>
    <w:qFormat/>
    <w:uiPriority w:val="99"/>
    <w:rPr>
      <w:rFonts w:eastAsia="仿宋_GB2312"/>
      <w:kern w:val="2"/>
      <w:sz w:val="18"/>
      <w:szCs w:val="24"/>
    </w:rPr>
  </w:style>
  <w:style w:type="character" w:customStyle="1" w:styleId="12">
    <w:name w:val="标题 1 字符"/>
    <w:basedOn w:val="9"/>
    <w:link w:val="2"/>
    <w:qFormat/>
    <w:uiPriority w:val="0"/>
    <w:rPr>
      <w:rFonts w:eastAsia="黑体" w:asciiTheme="minorHAnsi" w:hAnsiTheme="minorHAnsi" w:cstheme="minorBidi"/>
      <w:b/>
      <w:bCs/>
      <w:kern w:val="44"/>
      <w:sz w:val="30"/>
      <w:szCs w:val="44"/>
    </w:rPr>
  </w:style>
  <w:style w:type="character" w:customStyle="1" w:styleId="13">
    <w:name w:val="标题 2 字符"/>
    <w:basedOn w:val="9"/>
    <w:link w:val="3"/>
    <w:qFormat/>
    <w:uiPriority w:val="0"/>
    <w:rPr>
      <w:rFonts w:eastAsia="楷体_GB2312" w:asciiTheme="majorHAnsi" w:hAnsiTheme="majorHAnsi" w:cstheme="majorBidi"/>
      <w:bCs/>
      <w:kern w:val="2"/>
      <w:sz w:val="32"/>
      <w:szCs w:val="32"/>
    </w:rPr>
  </w:style>
  <w:style w:type="character" w:customStyle="1" w:styleId="14">
    <w:name w:val="标题 3 字符"/>
    <w:basedOn w:val="9"/>
    <w:link w:val="4"/>
    <w:qFormat/>
    <w:uiPriority w:val="0"/>
    <w:rPr>
      <w:rFonts w:eastAsia="仿宋_GB2312" w:asciiTheme="minorHAnsi" w:hAnsiTheme="minorHAnsi" w:cstheme="minorBidi"/>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3648</Words>
  <Characters>4068</Characters>
  <Lines>33</Lines>
  <Paragraphs>9</Paragraphs>
  <TotalTime>2</TotalTime>
  <ScaleCrop>false</ScaleCrop>
  <LinksUpToDate>false</LinksUpToDate>
  <CharactersWithSpaces>4069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2024-06-07T01:28:00Z</dcterms:created>
  <dc:creator>星黛露</dc:creator>
  <cp:lastModifiedBy>YANG-</cp:lastModifiedBy>
  <cp:lastPrinted>2024-10-17T08:39:00Z</cp:lastPrinted>
  <dcterms:modified xsi:type="dcterms:W3CDTF">2025-07-10T07:49:55Z</dcterms:modified>
  <cp:revision>468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7F6948D7675346F6A2265A24DFD0E1C9_13</vt:lpwstr>
  </property>
  <property fmtid="{D5CDD505-2E9C-101B-9397-08002B2CF9AE}" pid="4" name="KSOTemplateDocerSaveRecord">
    <vt:lpwstr>eyJoZGlkIjoiNzE0YjY0ODgxZjcwYmJkZmE5YTgxZDkwNzgwYTJkYzIiLCJ1c2VySWQiOiI0MTM4ODQ2NzMifQ==</vt:lpwstr>
  </property>
</Properties>
</file>