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hint="eastAsia" w:ascii="黑体" w:hAnsi="黑体" w:eastAsia="黑体" w:cs="黑体"/>
          <w:b/>
          <w:sz w:val="44"/>
          <w:szCs w:val="44"/>
          <w:lang w:eastAsia="zh-CN"/>
        </w:rPr>
      </w:pPr>
      <w:bookmarkStart w:id="0" w:name="_Toc15396616"/>
      <w:r>
        <w:rPr>
          <w:rFonts w:hint="eastAsia" w:ascii="黑体" w:hAnsi="黑体" w:eastAsia="黑体" w:cs="黑体"/>
          <w:b/>
          <w:sz w:val="44"/>
          <w:szCs w:val="44"/>
          <w:lang w:eastAsia="zh-CN"/>
        </w:rPr>
        <w:t>黑水县人民代表大会常务委员会办公室</w:t>
      </w:r>
    </w:p>
    <w:p>
      <w:pPr>
        <w:spacing w:line="600" w:lineRule="exact"/>
        <w:jc w:val="center"/>
        <w:outlineLvl w:val="0"/>
        <w:rPr>
          <w:rFonts w:hint="eastAsia" w:ascii="黑体" w:hAnsi="黑体" w:eastAsia="黑体" w:cs="黑体"/>
          <w:b/>
          <w:sz w:val="44"/>
          <w:szCs w:val="44"/>
        </w:rPr>
      </w:pPr>
      <w:r>
        <w:rPr>
          <w:rFonts w:hint="eastAsia" w:ascii="黑体" w:hAnsi="黑体" w:eastAsia="黑体" w:cs="黑体"/>
          <w:b/>
          <w:sz w:val="44"/>
          <w:szCs w:val="44"/>
        </w:rPr>
        <w:t>20</w:t>
      </w:r>
      <w:r>
        <w:rPr>
          <w:rFonts w:hint="eastAsia" w:ascii="黑体" w:hAnsi="黑体" w:eastAsia="黑体" w:cs="黑体"/>
          <w:b/>
          <w:sz w:val="44"/>
          <w:szCs w:val="44"/>
          <w:lang w:val="en-US" w:eastAsia="zh-CN"/>
        </w:rPr>
        <w:t>2</w:t>
      </w:r>
      <w:r>
        <w:rPr>
          <w:rFonts w:hint="default" w:ascii="黑体" w:hAnsi="黑体" w:eastAsia="黑体" w:cs="黑体"/>
          <w:b/>
          <w:sz w:val="44"/>
          <w:szCs w:val="44"/>
          <w:lang w:val="en-US" w:eastAsia="zh-CN"/>
        </w:rPr>
        <w:t>5</w:t>
      </w:r>
      <w:r>
        <w:rPr>
          <w:rFonts w:hint="eastAsia" w:ascii="黑体" w:hAnsi="黑体" w:eastAsia="黑体" w:cs="黑体"/>
          <w:b/>
          <w:sz w:val="44"/>
          <w:szCs w:val="44"/>
        </w:rPr>
        <w:t>年</w:t>
      </w:r>
      <w:r>
        <w:rPr>
          <w:rFonts w:hint="eastAsia" w:ascii="黑体" w:hAnsi="黑体" w:eastAsia="黑体" w:cs="黑体"/>
          <w:b/>
          <w:sz w:val="44"/>
          <w:szCs w:val="44"/>
          <w:lang w:eastAsia="zh-CN"/>
        </w:rPr>
        <w:t>单位</w:t>
      </w:r>
      <w:r>
        <w:rPr>
          <w:rFonts w:hint="eastAsia" w:ascii="黑体" w:hAnsi="黑体" w:eastAsia="黑体" w:cs="黑体"/>
          <w:b/>
          <w:sz w:val="44"/>
          <w:szCs w:val="44"/>
        </w:rPr>
        <w:t>整体支出绩效评价报告</w:t>
      </w:r>
      <w:bookmarkEnd w:id="0"/>
    </w:p>
    <w:p>
      <w:pPr>
        <w:spacing w:line="580" w:lineRule="exact"/>
        <w:ind w:firstLine="642" w:firstLineChars="200"/>
        <w:rPr>
          <w:rFonts w:ascii="仿宋_GB2312" w:hAnsi="黑体" w:eastAsia="仿宋_GB2312" w:cs="黑体"/>
          <w:b/>
          <w:sz w:val="32"/>
          <w:szCs w:val="32"/>
        </w:rPr>
      </w:pPr>
    </w:p>
    <w:p>
      <w:pPr>
        <w:spacing w:line="58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一、部门（单位）概况</w:t>
      </w:r>
    </w:p>
    <w:p>
      <w:pPr>
        <w:snapToGrid w:val="0"/>
        <w:spacing w:line="360" w:lineRule="auto"/>
        <w:ind w:firstLine="642" w:firstLineChars="200"/>
        <w:rPr>
          <w:rFonts w:hint="eastAsia" w:ascii="仿宋" w:hAnsi="仿宋" w:eastAsia="仿宋"/>
          <w:sz w:val="32"/>
          <w:szCs w:val="32"/>
          <w:lang w:val="en-US" w:eastAsia="zh-CN"/>
        </w:rPr>
      </w:pPr>
      <w:r>
        <w:rPr>
          <w:rFonts w:hint="eastAsia" w:ascii="仿宋" w:hAnsi="仿宋" w:eastAsia="仿宋"/>
          <w:b/>
          <w:bCs/>
          <w:sz w:val="32"/>
          <w:szCs w:val="32"/>
          <w:lang w:val="zh-CN" w:eastAsia="zh-CN"/>
        </w:rPr>
        <w:t>（一）</w:t>
      </w:r>
      <w:r>
        <w:rPr>
          <w:rFonts w:hint="default" w:ascii="仿宋" w:hAnsi="仿宋" w:eastAsia="仿宋"/>
          <w:b/>
          <w:bCs/>
          <w:sz w:val="32"/>
          <w:szCs w:val="32"/>
          <w:lang w:val="zh-CN" w:eastAsia="zh-CN"/>
        </w:rPr>
        <w:t>机构组成。</w:t>
      </w:r>
      <w:r>
        <w:rPr>
          <w:rFonts w:hint="eastAsia" w:ascii="仿宋" w:hAnsi="仿宋" w:eastAsia="仿宋"/>
          <w:sz w:val="32"/>
          <w:szCs w:val="32"/>
          <w:lang w:val="en-US" w:eastAsia="zh-CN"/>
        </w:rPr>
        <w:t>县人大下设三个专门委员会：法制监察司法和民族宗教外事委员会、财政经济预算和农业农村城乡环境保护委员会、教育科学文化卫生和社会建设委员会；县人大常委会下设县人大常委会办公室、人事代表联络工作委员会；县人大常委会办公室下设人大代表服务中心（公益一类事业单位）。</w:t>
      </w:r>
    </w:p>
    <w:p>
      <w:pPr>
        <w:snapToGrid w:val="0"/>
        <w:spacing w:line="360" w:lineRule="auto"/>
        <w:ind w:firstLine="642" w:firstLineChars="200"/>
        <w:rPr>
          <w:rFonts w:hint="default" w:ascii="仿宋" w:hAnsi="仿宋" w:eastAsia="仿宋"/>
          <w:sz w:val="32"/>
          <w:szCs w:val="32"/>
          <w:lang w:val="zh-CN" w:eastAsia="zh-CN"/>
        </w:rPr>
      </w:pPr>
      <w:r>
        <w:rPr>
          <w:rFonts w:hint="eastAsia" w:ascii="仿宋" w:hAnsi="仿宋" w:eastAsia="仿宋"/>
          <w:b/>
          <w:bCs/>
          <w:sz w:val="32"/>
          <w:szCs w:val="32"/>
          <w:lang w:val="zh-CN" w:eastAsia="zh-CN"/>
        </w:rPr>
        <w:t>（二）机构职能。</w:t>
      </w:r>
      <w:r>
        <w:rPr>
          <w:rFonts w:hint="eastAsia" w:ascii="仿宋" w:hAnsi="仿宋" w:eastAsia="仿宋"/>
          <w:sz w:val="32"/>
          <w:szCs w:val="32"/>
          <w:lang w:val="en-US" w:eastAsia="zh-CN"/>
        </w:rPr>
        <w:t>负责做好本级</w:t>
      </w:r>
      <w:r>
        <w:rPr>
          <w:rFonts w:hint="eastAsia" w:ascii="仿宋" w:hAnsi="仿宋" w:eastAsia="仿宋"/>
          <w:sz w:val="32"/>
          <w:szCs w:val="32"/>
          <w:lang w:val="en-US" w:eastAsia="zh-CN"/>
        </w:rPr>
        <w:fldChar w:fldCharType="begin"/>
      </w:r>
      <w:r>
        <w:rPr>
          <w:rFonts w:hint="eastAsia" w:ascii="仿宋" w:hAnsi="仿宋" w:eastAsia="仿宋"/>
          <w:sz w:val="32"/>
          <w:szCs w:val="32"/>
          <w:lang w:val="en-US" w:eastAsia="zh-CN"/>
        </w:rPr>
        <w:instrText xml:space="preserve"> HYPERLINK "https://www.baidu.com/s?wd=%E4%BA%BA%E6%B0%91%E4%BB%A3%E8%A1%A8%E5%A4%A7%E4%BC%9A&amp;tn=44039180_cpr&amp;fenlei=mv6quAkxTZn0IZRqIHckPjm4nH00T1dBrHmvmWRzmyc3myuWPyub0ZwV5Hcvrjm3rH6sPfKWUMw85HfYnjn4nH6sgvPsT6KdThsqpZwYTjCEQLGCpyw9Uz4Bmy-bIi4WUvYETgN-TLwGUv3EnHRsPHmkPWR1" </w:instrText>
      </w:r>
      <w:r>
        <w:rPr>
          <w:rFonts w:hint="eastAsia" w:ascii="仿宋" w:hAnsi="仿宋" w:eastAsia="仿宋"/>
          <w:sz w:val="32"/>
          <w:szCs w:val="32"/>
          <w:lang w:val="en-US" w:eastAsia="zh-CN"/>
        </w:rPr>
        <w:fldChar w:fldCharType="separate"/>
      </w:r>
      <w:r>
        <w:rPr>
          <w:rFonts w:hint="eastAsia" w:ascii="仿宋" w:hAnsi="仿宋" w:eastAsia="仿宋"/>
          <w:sz w:val="32"/>
          <w:szCs w:val="32"/>
          <w:lang w:val="en-US" w:eastAsia="zh-CN"/>
        </w:rPr>
        <w:t>人民代表大会</w:t>
      </w:r>
      <w:r>
        <w:rPr>
          <w:rFonts w:hint="eastAsia" w:ascii="仿宋" w:hAnsi="仿宋" w:eastAsia="仿宋"/>
          <w:sz w:val="32"/>
          <w:szCs w:val="32"/>
          <w:lang w:val="en-US" w:eastAsia="zh-CN"/>
        </w:rPr>
        <w:fldChar w:fldCharType="end"/>
      </w:r>
      <w:r>
        <w:rPr>
          <w:rFonts w:hint="eastAsia" w:ascii="仿宋" w:hAnsi="仿宋" w:eastAsia="仿宋"/>
          <w:sz w:val="32"/>
          <w:szCs w:val="32"/>
          <w:lang w:val="en-US" w:eastAsia="zh-CN"/>
        </w:rPr>
        <w:t>、常委会会议、主任会议、党组会议以及其他有关会议各种文件的起草、</w:t>
      </w:r>
      <w:r>
        <w:rPr>
          <w:rFonts w:hint="eastAsia" w:ascii="仿宋" w:hAnsi="仿宋" w:eastAsia="仿宋"/>
          <w:sz w:val="32"/>
          <w:szCs w:val="32"/>
          <w:lang w:val="en-US" w:eastAsia="zh-CN"/>
        </w:rPr>
        <w:fldChar w:fldCharType="begin"/>
      </w:r>
      <w:r>
        <w:rPr>
          <w:rFonts w:hint="eastAsia" w:ascii="仿宋" w:hAnsi="仿宋" w:eastAsia="仿宋"/>
          <w:sz w:val="32"/>
          <w:szCs w:val="32"/>
          <w:lang w:val="en-US" w:eastAsia="zh-CN"/>
        </w:rPr>
        <w:instrText xml:space="preserve"> HYPERLINK "https://www.baidu.com/s?wd=%E4%BC%9A%E8%AE%AE%E8%AE%B0%E5%BD%95&amp;tn=44039180_cpr&amp;fenlei=mv6quAkxTZn0IZRqIHckPjm4nH00T1dBrHmvmWRzmyc3myuWPyub0ZwV5Hcvrjm3rH6sPfKWUMw85HfYnjn4nH6sgvPsT6KdThsqpZwYTjCEQLGCpyw9Uz4Bmy-bIi4WUvYETgN-TLwGUv3EnHRsPHmkPWR1" </w:instrText>
      </w:r>
      <w:r>
        <w:rPr>
          <w:rFonts w:hint="eastAsia" w:ascii="仿宋" w:hAnsi="仿宋" w:eastAsia="仿宋"/>
          <w:sz w:val="32"/>
          <w:szCs w:val="32"/>
          <w:lang w:val="en-US" w:eastAsia="zh-CN"/>
        </w:rPr>
        <w:fldChar w:fldCharType="separate"/>
      </w:r>
      <w:r>
        <w:rPr>
          <w:rFonts w:hint="eastAsia" w:ascii="仿宋" w:hAnsi="仿宋" w:eastAsia="仿宋"/>
          <w:sz w:val="32"/>
          <w:szCs w:val="32"/>
          <w:lang w:val="en-US" w:eastAsia="zh-CN"/>
        </w:rPr>
        <w:t>会议记录</w:t>
      </w:r>
      <w:r>
        <w:rPr>
          <w:rFonts w:hint="eastAsia" w:ascii="仿宋" w:hAnsi="仿宋" w:eastAsia="仿宋"/>
          <w:sz w:val="32"/>
          <w:szCs w:val="32"/>
          <w:lang w:val="en-US" w:eastAsia="zh-CN"/>
        </w:rPr>
        <w:fldChar w:fldCharType="end"/>
      </w:r>
      <w:r>
        <w:rPr>
          <w:rFonts w:hint="eastAsia" w:ascii="仿宋" w:hAnsi="仿宋" w:eastAsia="仿宋"/>
          <w:sz w:val="32"/>
          <w:szCs w:val="32"/>
          <w:lang w:val="en-US" w:eastAsia="zh-CN"/>
        </w:rPr>
        <w:t>和会务工作。对会议决定的事项负责办理落实，并及时报告反馈。负责做好本级</w:t>
      </w:r>
      <w:r>
        <w:rPr>
          <w:rFonts w:hint="eastAsia" w:ascii="仿宋" w:hAnsi="仿宋" w:eastAsia="仿宋"/>
          <w:sz w:val="32"/>
          <w:szCs w:val="32"/>
          <w:lang w:val="en-US" w:eastAsia="zh-CN"/>
        </w:rPr>
        <w:fldChar w:fldCharType="begin"/>
      </w:r>
      <w:r>
        <w:rPr>
          <w:rFonts w:hint="eastAsia" w:ascii="仿宋" w:hAnsi="仿宋" w:eastAsia="仿宋"/>
          <w:sz w:val="32"/>
          <w:szCs w:val="32"/>
          <w:lang w:val="en-US" w:eastAsia="zh-CN"/>
        </w:rPr>
        <w:instrText xml:space="preserve"> HYPERLINK "https://www.baidu.com/s?wd=%E4%BA%BA%E5%A4%A7%E5%B8%B8%E5%A7%94%E4%BC%9A&amp;tn=44039180_cpr&amp;fenlei=mv6quAkxTZn0IZRqIHckPjm4nH00T1dBrHmvmWRzmyc3myuWPyub0ZwV5Hcvrjm3rH6sPfKWUMw85HfYnjn4nH6sgvPsT6KdThsqpZwYTjCEQLGCpyw9Uz4Bmy-bIi4WUvYETgN-TLwGUv3EnHRsPHmkPWR1" </w:instrText>
      </w:r>
      <w:r>
        <w:rPr>
          <w:rFonts w:hint="eastAsia" w:ascii="仿宋" w:hAnsi="仿宋" w:eastAsia="仿宋"/>
          <w:sz w:val="32"/>
          <w:szCs w:val="32"/>
          <w:lang w:val="en-US" w:eastAsia="zh-CN"/>
        </w:rPr>
        <w:fldChar w:fldCharType="separate"/>
      </w:r>
      <w:r>
        <w:rPr>
          <w:rFonts w:hint="eastAsia" w:ascii="仿宋" w:hAnsi="仿宋" w:eastAsia="仿宋"/>
          <w:sz w:val="32"/>
          <w:szCs w:val="32"/>
          <w:lang w:val="en-US" w:eastAsia="zh-CN"/>
        </w:rPr>
        <w:t>人大常委会</w:t>
      </w:r>
      <w:r>
        <w:rPr>
          <w:rFonts w:hint="eastAsia" w:ascii="仿宋" w:hAnsi="仿宋" w:eastAsia="仿宋"/>
          <w:sz w:val="32"/>
          <w:szCs w:val="32"/>
          <w:lang w:val="en-US" w:eastAsia="zh-CN"/>
        </w:rPr>
        <w:fldChar w:fldCharType="end"/>
      </w:r>
      <w:r>
        <w:rPr>
          <w:rFonts w:hint="eastAsia" w:ascii="仿宋" w:hAnsi="仿宋" w:eastAsia="仿宋"/>
          <w:sz w:val="32"/>
          <w:szCs w:val="32"/>
          <w:lang w:val="en-US" w:eastAsia="zh-CN"/>
        </w:rPr>
        <w:t>日常文件材料的起草、编辑、校对、分发工作。负责做好上一级人代会期间本级代表团的服务工作；负责做好兄弟人大来参观、交流的</w:t>
      </w:r>
      <w:r>
        <w:rPr>
          <w:rFonts w:hint="eastAsia" w:ascii="仿宋" w:hAnsi="仿宋" w:eastAsia="仿宋"/>
          <w:sz w:val="32"/>
          <w:szCs w:val="32"/>
          <w:lang w:val="en-US" w:eastAsia="zh-CN"/>
        </w:rPr>
        <w:fldChar w:fldCharType="begin"/>
      </w:r>
      <w:r>
        <w:rPr>
          <w:rFonts w:hint="eastAsia" w:ascii="仿宋" w:hAnsi="仿宋" w:eastAsia="仿宋"/>
          <w:sz w:val="32"/>
          <w:szCs w:val="32"/>
          <w:lang w:val="en-US" w:eastAsia="zh-CN"/>
        </w:rPr>
        <w:instrText xml:space="preserve"> HYPERLINK "https://www.baidu.com/s?wd=%E6%8E%A5%E5%BE%85%E5%B7%A5%E4%BD%9C&amp;tn=44039180_cpr&amp;fenlei=mv6quAkxTZn0IZRqIHckPjm4nH00T1dBrHmvmWRzmyc3myuWPyub0ZwV5Hcvrjm3rH6sPfKWUMw85HfYnjn4nH6sgvPsT6KdThsqpZwYTjCEQLGCpyw9Uz4Bmy-bIi4WUvYETgN-TLwGUv3EnHRsPHmkPWR1" </w:instrText>
      </w:r>
      <w:r>
        <w:rPr>
          <w:rFonts w:hint="eastAsia" w:ascii="仿宋" w:hAnsi="仿宋" w:eastAsia="仿宋"/>
          <w:sz w:val="32"/>
          <w:szCs w:val="32"/>
          <w:lang w:val="en-US" w:eastAsia="zh-CN"/>
        </w:rPr>
        <w:fldChar w:fldCharType="separate"/>
      </w:r>
      <w:r>
        <w:rPr>
          <w:rFonts w:hint="eastAsia" w:ascii="仿宋" w:hAnsi="仿宋" w:eastAsia="仿宋"/>
          <w:sz w:val="32"/>
          <w:szCs w:val="32"/>
          <w:lang w:val="en-US" w:eastAsia="zh-CN"/>
        </w:rPr>
        <w:t>接待工作</w:t>
      </w:r>
      <w:r>
        <w:rPr>
          <w:rFonts w:hint="eastAsia" w:ascii="仿宋" w:hAnsi="仿宋" w:eastAsia="仿宋"/>
          <w:sz w:val="32"/>
          <w:szCs w:val="32"/>
          <w:lang w:val="en-US" w:eastAsia="zh-CN"/>
        </w:rPr>
        <w:fldChar w:fldCharType="end"/>
      </w:r>
      <w:r>
        <w:rPr>
          <w:rFonts w:hint="eastAsia" w:ascii="仿宋" w:hAnsi="仿宋" w:eastAsia="仿宋"/>
          <w:sz w:val="32"/>
          <w:szCs w:val="32"/>
          <w:lang w:val="en-US" w:eastAsia="zh-CN"/>
        </w:rPr>
        <w:t>，以及上级人大代表来我辖区开展视察、检查、调查活动的接待和服务工作。负责做好本级人大常委会机关的行政、财务、财产管理和日常事务工作，做好</w:t>
      </w:r>
      <w:r>
        <w:rPr>
          <w:rFonts w:hint="eastAsia" w:ascii="仿宋" w:hAnsi="仿宋" w:eastAsia="仿宋"/>
          <w:sz w:val="32"/>
          <w:szCs w:val="32"/>
          <w:lang w:val="en-US" w:eastAsia="zh-CN"/>
        </w:rPr>
        <w:fldChar w:fldCharType="begin"/>
      </w:r>
      <w:r>
        <w:rPr>
          <w:rFonts w:hint="eastAsia" w:ascii="仿宋" w:hAnsi="仿宋" w:eastAsia="仿宋"/>
          <w:sz w:val="32"/>
          <w:szCs w:val="32"/>
          <w:lang w:val="en-US" w:eastAsia="zh-CN"/>
        </w:rPr>
        <w:instrText xml:space="preserve"> HYPERLINK "https://www.baidu.com/s?wd=%E7%A6%BB%E9%80%80%E4%BC%91%E4%BA%BA%E5%91%98&amp;tn=44039180_cpr&amp;fenlei=mv6quAkxTZn0IZRqIHckPjm4nH00T1dBrHmvmWRzmyc3myuWPyub0ZwV5Hcvrjm3rH6sPfKWUMw85HfYnjn4nH6sgvPsT6KdThsqpZwYTjCEQLGCpyw9Uz4Bmy-bIi4WUvYETgN-TLwGUv3EnHRsPHmkPWR1" </w:instrText>
      </w:r>
      <w:r>
        <w:rPr>
          <w:rFonts w:hint="eastAsia" w:ascii="仿宋" w:hAnsi="仿宋" w:eastAsia="仿宋"/>
          <w:sz w:val="32"/>
          <w:szCs w:val="32"/>
          <w:lang w:val="en-US" w:eastAsia="zh-CN"/>
        </w:rPr>
        <w:fldChar w:fldCharType="separate"/>
      </w:r>
      <w:r>
        <w:rPr>
          <w:rFonts w:hint="eastAsia" w:ascii="仿宋" w:hAnsi="仿宋" w:eastAsia="仿宋"/>
          <w:sz w:val="32"/>
          <w:szCs w:val="32"/>
          <w:lang w:val="en-US" w:eastAsia="zh-CN"/>
        </w:rPr>
        <w:t>退休人员</w:t>
      </w:r>
      <w:r>
        <w:rPr>
          <w:rFonts w:hint="eastAsia" w:ascii="仿宋" w:hAnsi="仿宋" w:eastAsia="仿宋"/>
          <w:sz w:val="32"/>
          <w:szCs w:val="32"/>
          <w:lang w:val="en-US" w:eastAsia="zh-CN"/>
        </w:rPr>
        <w:fldChar w:fldCharType="end"/>
      </w:r>
      <w:r>
        <w:rPr>
          <w:rFonts w:hint="eastAsia" w:ascii="仿宋" w:hAnsi="仿宋" w:eastAsia="仿宋"/>
          <w:sz w:val="32"/>
          <w:szCs w:val="32"/>
          <w:lang w:val="en-US" w:eastAsia="zh-CN"/>
        </w:rPr>
        <w:t>的服务工作。负责本级</w:t>
      </w:r>
      <w:r>
        <w:rPr>
          <w:rFonts w:hint="eastAsia" w:ascii="仿宋" w:hAnsi="仿宋" w:eastAsia="仿宋"/>
          <w:sz w:val="32"/>
          <w:szCs w:val="32"/>
          <w:lang w:val="en-US" w:eastAsia="zh-CN"/>
        </w:rPr>
        <w:fldChar w:fldCharType="begin"/>
      </w:r>
      <w:r>
        <w:rPr>
          <w:rFonts w:hint="eastAsia" w:ascii="仿宋" w:hAnsi="仿宋" w:eastAsia="仿宋"/>
          <w:sz w:val="32"/>
          <w:szCs w:val="32"/>
          <w:lang w:val="en-US" w:eastAsia="zh-CN"/>
        </w:rPr>
        <w:instrText xml:space="preserve"> HYPERLINK "https://www.baidu.com/s?wd=%E4%BA%BA%E5%A4%A7%E5%B8%B8%E5%A7%94%E4%BC%9A&amp;tn=44039180_cpr&amp;fenlei=mv6quAkxTZn0IZRqIHckPjm4nH00T1dBrHmvmWRzmyc3myuWPyub0ZwV5Hcvrjm3rH6sPfKWUMw85HfYnjn4nH6sgvPsT6KdThsqpZwYTjCEQLGCpyw9Uz4Bmy-bIi4WUvYETgN-TLwGUv3EnHRsPHmkPWR1" </w:instrText>
      </w:r>
      <w:r>
        <w:rPr>
          <w:rFonts w:hint="eastAsia" w:ascii="仿宋" w:hAnsi="仿宋" w:eastAsia="仿宋"/>
          <w:sz w:val="32"/>
          <w:szCs w:val="32"/>
          <w:lang w:val="en-US" w:eastAsia="zh-CN"/>
        </w:rPr>
        <w:fldChar w:fldCharType="separate"/>
      </w:r>
      <w:r>
        <w:rPr>
          <w:rFonts w:hint="eastAsia" w:ascii="仿宋" w:hAnsi="仿宋" w:eastAsia="仿宋"/>
          <w:sz w:val="32"/>
          <w:szCs w:val="32"/>
          <w:lang w:val="en-US" w:eastAsia="zh-CN"/>
        </w:rPr>
        <w:t>人大常委会</w:t>
      </w:r>
      <w:r>
        <w:rPr>
          <w:rFonts w:hint="eastAsia" w:ascii="仿宋" w:hAnsi="仿宋" w:eastAsia="仿宋"/>
          <w:sz w:val="32"/>
          <w:szCs w:val="32"/>
          <w:lang w:val="en-US" w:eastAsia="zh-CN"/>
        </w:rPr>
        <w:fldChar w:fldCharType="end"/>
      </w:r>
      <w:r>
        <w:rPr>
          <w:rFonts w:hint="eastAsia" w:ascii="仿宋" w:hAnsi="仿宋" w:eastAsia="仿宋"/>
          <w:sz w:val="32"/>
          <w:szCs w:val="32"/>
          <w:lang w:val="en-US" w:eastAsia="zh-CN"/>
        </w:rPr>
        <w:t>印鉴管理和机关的文电、机要、保密、档案、文印等工作。负责领导交办的其它工作。</w:t>
      </w:r>
    </w:p>
    <w:p>
      <w:pPr>
        <w:pStyle w:val="12"/>
        <w:numPr>
          <w:ilvl w:val="0"/>
          <w:numId w:val="0"/>
        </w:numPr>
        <w:shd w:val="clear" w:color="auto" w:fill="FFFFFF"/>
        <w:tabs>
          <w:tab w:val="left" w:pos="0"/>
        </w:tabs>
        <w:spacing w:before="0" w:beforeAutospacing="0" w:after="0" w:afterAutospacing="0"/>
        <w:ind w:firstLine="642" w:firstLineChars="200"/>
        <w:rPr>
          <w:rStyle w:val="13"/>
          <w:rFonts w:hint="eastAsia" w:ascii="仿宋" w:hAnsi="仿宋" w:eastAsia="仿宋"/>
          <w:sz w:val="32"/>
          <w:szCs w:val="32"/>
          <w:shd w:val="clear" w:color="auto" w:fill="FFFFFF"/>
        </w:rPr>
      </w:pPr>
      <w:r>
        <w:rPr>
          <w:rFonts w:hint="eastAsia" w:ascii="仿宋" w:hAnsi="仿宋" w:eastAsia="仿宋"/>
          <w:b/>
          <w:bCs/>
          <w:sz w:val="32"/>
          <w:szCs w:val="32"/>
          <w:lang w:val="zh-CN" w:eastAsia="zh-CN"/>
        </w:rPr>
        <w:t>（三）人员概况。</w:t>
      </w:r>
      <w:r>
        <w:rPr>
          <w:rFonts w:hint="eastAsia" w:ascii="仿宋" w:hAnsi="仿宋" w:eastAsia="仿宋"/>
          <w:sz w:val="32"/>
          <w:szCs w:val="32"/>
          <w:lang w:val="en-US" w:eastAsia="zh-CN"/>
        </w:rPr>
        <w:t>本单位</w:t>
      </w:r>
      <w:r>
        <w:rPr>
          <w:rFonts w:hint="eastAsia" w:ascii="仿宋" w:hAnsi="仿宋" w:eastAsia="仿宋"/>
          <w:sz w:val="32"/>
          <w:szCs w:val="32"/>
          <w:lang w:val="zh-CN" w:eastAsia="zh-CN"/>
        </w:rPr>
        <w:t>行政编制</w:t>
      </w:r>
      <w:r>
        <w:rPr>
          <w:rFonts w:hint="eastAsia" w:ascii="仿宋" w:hAnsi="仿宋" w:eastAsia="仿宋"/>
          <w:sz w:val="32"/>
          <w:szCs w:val="32"/>
          <w:lang w:val="en-US" w:eastAsia="zh-CN"/>
        </w:rPr>
        <w:t>21人，其中公务员15人，工勤6人。</w:t>
      </w:r>
      <w:r>
        <w:rPr>
          <w:rFonts w:hint="eastAsia" w:ascii="仿宋" w:hAnsi="仿宋" w:eastAsia="仿宋" w:cs="Times New Roman"/>
          <w:color w:val="333333"/>
          <w:kern w:val="2"/>
          <w:sz w:val="32"/>
          <w:szCs w:val="32"/>
          <w:lang w:val="en-US" w:eastAsia="zh-CN" w:bidi="ar-SA"/>
        </w:rPr>
        <w:t>本单位本年度年末实有在职人数为21人，比上年持平；年末实有退休人数为32人，比上年持平；年末实有其他人数为0人，</w:t>
      </w:r>
      <w:r>
        <w:rPr>
          <w:rFonts w:hint="eastAsia" w:ascii="仿宋" w:hAnsi="仿宋" w:eastAsia="仿宋"/>
          <w:sz w:val="32"/>
          <w:szCs w:val="32"/>
          <w:shd w:val="clear" w:color="auto" w:fill="FFFFFF"/>
        </w:rPr>
        <w:t>比上年</w:t>
      </w:r>
      <w:r>
        <w:rPr>
          <w:rFonts w:hint="eastAsia" w:ascii="仿宋" w:hAnsi="仿宋" w:eastAsia="仿宋"/>
          <w:sz w:val="32"/>
          <w:szCs w:val="32"/>
          <w:shd w:val="clear" w:color="auto" w:fill="FFFFFF"/>
          <w:lang w:eastAsia="zh-CN"/>
        </w:rPr>
        <w:t>持平</w:t>
      </w:r>
      <w:r>
        <w:rPr>
          <w:rStyle w:val="13"/>
          <w:rFonts w:hint="eastAsia" w:ascii="仿宋" w:hAnsi="仿宋" w:eastAsia="仿宋"/>
          <w:sz w:val="32"/>
          <w:szCs w:val="32"/>
          <w:shd w:val="clear" w:color="auto" w:fill="FFFFFF"/>
        </w:rPr>
        <w:t>。</w:t>
      </w:r>
    </w:p>
    <w:p>
      <w:pPr>
        <w:snapToGrid w:val="0"/>
        <w:spacing w:line="360" w:lineRule="auto"/>
        <w:ind w:firstLine="642" w:firstLineChars="200"/>
        <w:rPr>
          <w:rFonts w:hint="eastAsia" w:ascii="仿宋" w:hAnsi="仿宋" w:eastAsia="仿宋"/>
          <w:b/>
          <w:bCs/>
          <w:sz w:val="32"/>
          <w:szCs w:val="32"/>
          <w:lang w:val="en-US" w:eastAsia="zh-CN"/>
        </w:rPr>
      </w:pPr>
      <w:r>
        <w:rPr>
          <w:rFonts w:hint="eastAsia" w:ascii="仿宋" w:hAnsi="仿宋" w:eastAsia="仿宋"/>
          <w:b/>
          <w:bCs/>
          <w:sz w:val="32"/>
          <w:szCs w:val="32"/>
          <w:lang w:val="en-US" w:eastAsia="zh-CN"/>
        </w:rPr>
        <w:t>二、单位财政资金收支情况</w:t>
      </w:r>
    </w:p>
    <w:p>
      <w:pPr>
        <w:spacing w:line="600" w:lineRule="exact"/>
        <w:ind w:firstLine="642" w:firstLineChars="200"/>
        <w:rPr>
          <w:rFonts w:hint="eastAsia" w:ascii="仿宋_GB2312" w:hAnsi="仿宋" w:eastAsia="仿宋_GB2312"/>
          <w:color w:val="000000" w:themeColor="text1"/>
          <w:sz w:val="32"/>
          <w:szCs w:val="32"/>
          <w:shd w:val="clear" w:color="auto" w:fill="auto"/>
          <w:lang w:eastAsia="zh-CN"/>
        </w:rPr>
      </w:pPr>
      <w:r>
        <w:rPr>
          <w:rFonts w:hint="eastAsia" w:ascii="仿宋" w:hAnsi="仿宋" w:eastAsia="仿宋"/>
          <w:b/>
          <w:bCs/>
          <w:sz w:val="32"/>
          <w:szCs w:val="32"/>
          <w:lang w:val="en-US" w:eastAsia="zh-CN"/>
        </w:rPr>
        <w:t>（一）单位财政资金收入情况。</w:t>
      </w:r>
      <w:r>
        <w:rPr>
          <w:rFonts w:hint="eastAsia" w:ascii="仿宋_GB2312" w:hAnsi="仿宋" w:eastAsia="仿宋_GB2312"/>
          <w:color w:val="000000" w:themeColor="text1"/>
          <w:sz w:val="32"/>
          <w:szCs w:val="32"/>
          <w:shd w:val="clear" w:color="auto" w:fill="auto"/>
          <w:lang w:eastAsia="zh-CN"/>
        </w:rPr>
        <w:t>202</w:t>
      </w:r>
      <w:r>
        <w:rPr>
          <w:rFonts w:hint="eastAsia" w:ascii="仿宋_GB2312" w:hAnsi="仿宋" w:eastAsia="仿宋_GB2312"/>
          <w:color w:val="000000" w:themeColor="text1"/>
          <w:sz w:val="32"/>
          <w:szCs w:val="32"/>
          <w:shd w:val="clear" w:color="auto" w:fill="auto"/>
          <w:lang w:val="en-US" w:eastAsia="zh-CN"/>
        </w:rPr>
        <w:t>5</w:t>
      </w:r>
      <w:r>
        <w:rPr>
          <w:rFonts w:hint="eastAsia" w:ascii="仿宋_GB2312" w:hAnsi="仿宋" w:eastAsia="仿宋_GB2312"/>
          <w:color w:val="000000" w:themeColor="text1"/>
          <w:sz w:val="32"/>
          <w:szCs w:val="32"/>
          <w:shd w:val="clear" w:color="auto" w:fill="auto"/>
          <w:lang w:eastAsia="zh-CN"/>
        </w:rPr>
        <w:t>年</w:t>
      </w:r>
      <w:r>
        <w:rPr>
          <w:rFonts w:hint="eastAsia" w:ascii="仿宋_GB2312" w:hAnsi="仿宋" w:eastAsia="仿宋_GB2312"/>
          <w:color w:val="000000" w:themeColor="text1"/>
          <w:sz w:val="32"/>
          <w:szCs w:val="32"/>
          <w:shd w:val="clear" w:color="auto" w:fill="auto"/>
        </w:rPr>
        <w:t>度收入总计</w:t>
      </w:r>
      <w:r>
        <w:rPr>
          <w:rFonts w:hint="eastAsia" w:ascii="仿宋" w:eastAsia="仿宋"/>
          <w:sz w:val="32"/>
          <w:szCs w:val="32"/>
          <w:shd w:val="clear" w:color="auto" w:fill="FFFFFF"/>
          <w:lang w:val="en-US" w:eastAsia="zh-CN"/>
        </w:rPr>
        <w:t>891.05</w:t>
      </w:r>
      <w:r>
        <w:rPr>
          <w:rFonts w:hint="eastAsia" w:ascii="仿宋_GB2312" w:hAnsi="仿宋" w:eastAsia="仿宋_GB2312"/>
          <w:color w:val="000000" w:themeColor="text1"/>
          <w:sz w:val="32"/>
          <w:szCs w:val="32"/>
          <w:shd w:val="clear" w:color="auto" w:fill="auto"/>
        </w:rPr>
        <w:t>万元，与</w:t>
      </w:r>
      <w:r>
        <w:rPr>
          <w:rFonts w:hint="eastAsia" w:ascii="仿宋_GB2312" w:hAnsi="仿宋" w:eastAsia="仿宋_GB2312"/>
          <w:color w:val="000000" w:themeColor="text1"/>
          <w:sz w:val="32"/>
          <w:szCs w:val="32"/>
          <w:shd w:val="clear" w:color="auto" w:fill="auto"/>
          <w:lang w:eastAsia="zh-CN"/>
        </w:rPr>
        <w:t>202</w:t>
      </w:r>
      <w:r>
        <w:rPr>
          <w:rFonts w:hint="eastAsia" w:ascii="仿宋_GB2312" w:hAnsi="仿宋" w:eastAsia="仿宋_GB2312"/>
          <w:color w:val="000000" w:themeColor="text1"/>
          <w:sz w:val="32"/>
          <w:szCs w:val="32"/>
          <w:shd w:val="clear" w:color="auto" w:fill="auto"/>
          <w:lang w:val="en-US" w:eastAsia="zh-CN"/>
        </w:rPr>
        <w:t>4</w:t>
      </w:r>
      <w:r>
        <w:rPr>
          <w:rFonts w:hint="eastAsia" w:ascii="仿宋_GB2312" w:hAnsi="仿宋" w:eastAsia="仿宋_GB2312"/>
          <w:color w:val="000000" w:themeColor="text1"/>
          <w:sz w:val="32"/>
          <w:szCs w:val="32"/>
          <w:shd w:val="clear" w:color="auto" w:fill="auto"/>
          <w:lang w:eastAsia="zh-CN"/>
        </w:rPr>
        <w:t>年</w:t>
      </w:r>
      <w:r>
        <w:rPr>
          <w:rFonts w:hint="eastAsia" w:ascii="仿宋_GB2312" w:hAnsi="仿宋" w:eastAsia="仿宋_GB2312"/>
          <w:color w:val="000000" w:themeColor="text1"/>
          <w:sz w:val="32"/>
          <w:szCs w:val="32"/>
          <w:shd w:val="clear" w:color="auto" w:fill="auto"/>
          <w:lang w:val="en-US" w:eastAsia="zh-CN"/>
        </w:rPr>
        <w:t>983.08万元</w:t>
      </w:r>
      <w:r>
        <w:rPr>
          <w:rFonts w:hint="eastAsia" w:ascii="仿宋_GB2312" w:hAnsi="仿宋" w:eastAsia="仿宋_GB2312"/>
          <w:color w:val="000000" w:themeColor="text1"/>
          <w:sz w:val="32"/>
          <w:szCs w:val="32"/>
          <w:shd w:val="clear" w:color="auto" w:fill="auto"/>
        </w:rPr>
        <w:t>相比，</w:t>
      </w:r>
      <w:r>
        <w:rPr>
          <w:rFonts w:hint="eastAsia" w:ascii="仿宋_GB2312" w:hAnsi="仿宋" w:eastAsia="仿宋_GB2312"/>
          <w:color w:val="000000" w:themeColor="text1"/>
          <w:sz w:val="32"/>
          <w:szCs w:val="32"/>
          <w:shd w:val="clear" w:color="auto" w:fill="auto"/>
          <w:lang w:eastAsia="zh-CN"/>
        </w:rPr>
        <w:t>减少</w:t>
      </w:r>
      <w:r>
        <w:rPr>
          <w:rFonts w:hint="eastAsia" w:ascii="仿宋_GB2312" w:hAnsi="仿宋" w:eastAsia="仿宋_GB2312"/>
          <w:color w:val="000000" w:themeColor="text1"/>
          <w:sz w:val="32"/>
          <w:szCs w:val="32"/>
          <w:shd w:val="clear" w:color="auto" w:fill="auto"/>
          <w:lang w:val="en-US" w:eastAsia="zh-CN"/>
        </w:rPr>
        <w:t>92.03</w:t>
      </w:r>
      <w:r>
        <w:rPr>
          <w:rFonts w:hint="eastAsia" w:ascii="仿宋_GB2312" w:hAnsi="仿宋" w:eastAsia="仿宋_GB2312"/>
          <w:color w:val="000000" w:themeColor="text1"/>
          <w:sz w:val="32"/>
          <w:szCs w:val="32"/>
          <w:shd w:val="clear" w:color="auto" w:fill="auto"/>
        </w:rPr>
        <w:t>万元，</w:t>
      </w:r>
      <w:r>
        <w:rPr>
          <w:rFonts w:hint="eastAsia" w:ascii="仿宋_GB2312" w:hAnsi="仿宋" w:eastAsia="仿宋_GB2312"/>
          <w:color w:val="000000" w:themeColor="text1"/>
          <w:sz w:val="32"/>
          <w:szCs w:val="32"/>
          <w:shd w:val="clear" w:color="auto" w:fill="auto"/>
          <w:lang w:eastAsia="zh-CN"/>
        </w:rPr>
        <w:t>同比减少</w:t>
      </w:r>
      <w:r>
        <w:rPr>
          <w:rFonts w:hint="eastAsia" w:ascii="仿宋_GB2312" w:hAnsi="仿宋" w:eastAsia="仿宋_GB2312"/>
          <w:color w:val="000000" w:themeColor="text1"/>
          <w:sz w:val="32"/>
          <w:szCs w:val="32"/>
          <w:shd w:val="clear" w:color="auto" w:fill="auto"/>
          <w:lang w:val="en-US" w:eastAsia="zh-CN"/>
        </w:rPr>
        <w:t>9.36</w:t>
      </w:r>
      <w:r>
        <w:rPr>
          <w:rFonts w:hint="eastAsia" w:ascii="仿宋_GB2312" w:hAnsi="仿宋" w:eastAsia="仿宋_GB2312"/>
          <w:color w:val="000000" w:themeColor="text1"/>
          <w:sz w:val="32"/>
          <w:szCs w:val="32"/>
          <w:shd w:val="clear" w:color="auto" w:fill="auto"/>
        </w:rPr>
        <w:t>%。主要变动原因是</w:t>
      </w:r>
      <w:r>
        <w:rPr>
          <w:rFonts w:hint="eastAsia" w:ascii="仿宋" w:hAnsi="仿宋" w:eastAsia="仿宋"/>
          <w:sz w:val="32"/>
          <w:szCs w:val="32"/>
          <w:shd w:val="clear" w:color="auto" w:fill="FFFFFF"/>
          <w:lang w:eastAsia="zh-CN"/>
        </w:rPr>
        <w:t>厉行节约</w:t>
      </w:r>
      <w:r>
        <w:rPr>
          <w:rFonts w:hint="eastAsia" w:ascii="仿宋_GB2312" w:hAnsi="仿宋" w:eastAsia="仿宋_GB2312"/>
          <w:color w:val="000000" w:themeColor="text1"/>
          <w:sz w:val="32"/>
          <w:szCs w:val="32"/>
          <w:shd w:val="clear" w:color="auto" w:fill="auto"/>
        </w:rPr>
        <w:t>; 支出总计</w:t>
      </w:r>
      <w:r>
        <w:rPr>
          <w:rFonts w:hint="eastAsia" w:ascii="仿宋" w:eastAsia="仿宋"/>
          <w:sz w:val="32"/>
          <w:szCs w:val="32"/>
          <w:shd w:val="clear" w:color="auto" w:fill="FFFFFF"/>
          <w:lang w:val="en-US" w:eastAsia="zh-CN"/>
        </w:rPr>
        <w:t>891.05</w:t>
      </w:r>
      <w:r>
        <w:rPr>
          <w:rFonts w:hint="eastAsia" w:ascii="仿宋_GB2312" w:hAnsi="仿宋" w:eastAsia="仿宋_GB2312"/>
          <w:color w:val="000000" w:themeColor="text1"/>
          <w:sz w:val="32"/>
          <w:szCs w:val="32"/>
          <w:shd w:val="clear" w:color="auto" w:fill="auto"/>
        </w:rPr>
        <w:t>万元。与</w:t>
      </w:r>
      <w:r>
        <w:rPr>
          <w:rFonts w:hint="eastAsia" w:ascii="仿宋_GB2312" w:hAnsi="仿宋" w:eastAsia="仿宋_GB2312"/>
          <w:color w:val="000000" w:themeColor="text1"/>
          <w:sz w:val="32"/>
          <w:szCs w:val="32"/>
          <w:shd w:val="clear" w:color="auto" w:fill="auto"/>
          <w:lang w:eastAsia="zh-CN"/>
        </w:rPr>
        <w:t>202</w:t>
      </w:r>
      <w:r>
        <w:rPr>
          <w:rFonts w:hint="eastAsia" w:ascii="仿宋_GB2312" w:hAnsi="仿宋" w:eastAsia="仿宋_GB2312"/>
          <w:color w:val="000000" w:themeColor="text1"/>
          <w:sz w:val="32"/>
          <w:szCs w:val="32"/>
          <w:shd w:val="clear" w:color="auto" w:fill="auto"/>
          <w:lang w:val="en-US" w:eastAsia="zh-CN"/>
        </w:rPr>
        <w:t>4</w:t>
      </w:r>
      <w:r>
        <w:rPr>
          <w:rFonts w:hint="eastAsia" w:ascii="仿宋_GB2312" w:hAnsi="仿宋" w:eastAsia="仿宋_GB2312"/>
          <w:color w:val="000000" w:themeColor="text1"/>
          <w:sz w:val="32"/>
          <w:szCs w:val="32"/>
          <w:shd w:val="clear" w:color="auto" w:fill="auto"/>
          <w:lang w:eastAsia="zh-CN"/>
        </w:rPr>
        <w:t>年</w:t>
      </w:r>
      <w:r>
        <w:rPr>
          <w:rFonts w:hint="eastAsia" w:ascii="仿宋_GB2312" w:hAnsi="仿宋" w:eastAsia="仿宋_GB2312"/>
          <w:color w:val="000000" w:themeColor="text1"/>
          <w:sz w:val="32"/>
          <w:szCs w:val="32"/>
          <w:shd w:val="clear" w:color="auto" w:fill="auto"/>
          <w:lang w:val="en-US" w:eastAsia="zh-CN"/>
        </w:rPr>
        <w:t>983.08万元</w:t>
      </w:r>
      <w:r>
        <w:rPr>
          <w:rFonts w:hint="eastAsia" w:ascii="仿宋_GB2312" w:hAnsi="仿宋" w:eastAsia="仿宋_GB2312"/>
          <w:color w:val="000000" w:themeColor="text1"/>
          <w:sz w:val="32"/>
          <w:szCs w:val="32"/>
          <w:shd w:val="clear" w:color="auto" w:fill="auto"/>
        </w:rPr>
        <w:t>相比，</w:t>
      </w:r>
      <w:r>
        <w:rPr>
          <w:rFonts w:hint="eastAsia" w:ascii="仿宋_GB2312" w:hAnsi="仿宋" w:eastAsia="仿宋_GB2312"/>
          <w:color w:val="000000" w:themeColor="text1"/>
          <w:sz w:val="32"/>
          <w:szCs w:val="32"/>
          <w:shd w:val="clear" w:color="auto" w:fill="auto"/>
          <w:lang w:eastAsia="zh-CN"/>
        </w:rPr>
        <w:t>减少</w:t>
      </w:r>
      <w:r>
        <w:rPr>
          <w:rFonts w:hint="eastAsia" w:ascii="仿宋_GB2312" w:hAnsi="仿宋" w:eastAsia="仿宋_GB2312"/>
          <w:color w:val="000000" w:themeColor="text1"/>
          <w:sz w:val="32"/>
          <w:szCs w:val="32"/>
          <w:shd w:val="clear" w:color="auto" w:fill="auto"/>
          <w:lang w:val="en-US" w:eastAsia="zh-CN"/>
        </w:rPr>
        <w:t>92.03</w:t>
      </w:r>
      <w:r>
        <w:rPr>
          <w:rFonts w:hint="eastAsia" w:ascii="仿宋_GB2312" w:hAnsi="仿宋" w:eastAsia="仿宋_GB2312"/>
          <w:color w:val="000000" w:themeColor="text1"/>
          <w:sz w:val="32"/>
          <w:szCs w:val="32"/>
          <w:shd w:val="clear" w:color="auto" w:fill="auto"/>
        </w:rPr>
        <w:t>万元，</w:t>
      </w:r>
      <w:r>
        <w:rPr>
          <w:rFonts w:hint="eastAsia" w:ascii="仿宋_GB2312" w:hAnsi="仿宋" w:eastAsia="仿宋_GB2312"/>
          <w:color w:val="000000" w:themeColor="text1"/>
          <w:sz w:val="32"/>
          <w:szCs w:val="32"/>
          <w:shd w:val="clear" w:color="auto" w:fill="auto"/>
          <w:lang w:eastAsia="zh-CN"/>
        </w:rPr>
        <w:t>减少</w:t>
      </w:r>
      <w:r>
        <w:rPr>
          <w:rFonts w:hint="eastAsia" w:ascii="仿宋_GB2312" w:hAnsi="仿宋" w:eastAsia="仿宋_GB2312"/>
          <w:color w:val="000000" w:themeColor="text1"/>
          <w:sz w:val="32"/>
          <w:szCs w:val="32"/>
          <w:shd w:val="clear" w:color="auto" w:fill="auto"/>
          <w:lang w:val="en-US" w:eastAsia="zh-CN"/>
        </w:rPr>
        <w:t>9.36</w:t>
      </w:r>
      <w:r>
        <w:rPr>
          <w:rFonts w:hint="eastAsia" w:ascii="仿宋_GB2312" w:hAnsi="仿宋" w:eastAsia="仿宋_GB2312"/>
          <w:color w:val="000000" w:themeColor="text1"/>
          <w:sz w:val="32"/>
          <w:szCs w:val="32"/>
          <w:shd w:val="clear" w:color="auto" w:fill="auto"/>
        </w:rPr>
        <w:t>%。主要变动原因是</w:t>
      </w:r>
      <w:r>
        <w:rPr>
          <w:rFonts w:hint="eastAsia" w:ascii="仿宋" w:hAnsi="仿宋" w:eastAsia="仿宋"/>
          <w:sz w:val="32"/>
          <w:szCs w:val="32"/>
          <w:shd w:val="clear" w:color="auto" w:fill="FFFFFF"/>
          <w:lang w:eastAsia="zh-CN"/>
        </w:rPr>
        <w:t>厉行节约</w:t>
      </w:r>
      <w:r>
        <w:rPr>
          <w:rFonts w:hint="eastAsia" w:ascii="仿宋_GB2312" w:hAnsi="仿宋" w:eastAsia="仿宋_GB2312"/>
          <w:color w:val="000000" w:themeColor="text1"/>
          <w:sz w:val="32"/>
          <w:szCs w:val="32"/>
          <w:shd w:val="clear" w:color="auto" w:fill="auto"/>
          <w:lang w:eastAsia="zh-CN"/>
        </w:rPr>
        <w:t>。</w:t>
      </w:r>
    </w:p>
    <w:p>
      <w:pPr>
        <w:spacing w:line="600" w:lineRule="exact"/>
        <w:ind w:firstLine="642" w:firstLineChars="200"/>
        <w:rPr>
          <w:rFonts w:hint="eastAsia" w:ascii="仿宋_GB2312" w:hAnsi="仿宋" w:eastAsia="仿宋_GB2312"/>
          <w:color w:val="000000" w:themeColor="text1"/>
          <w:sz w:val="32"/>
          <w:szCs w:val="32"/>
          <w:shd w:val="clear" w:color="auto" w:fill="auto"/>
        </w:rPr>
      </w:pPr>
      <w:r>
        <w:rPr>
          <w:rFonts w:hint="eastAsia" w:ascii="仿宋" w:hAnsi="仿宋" w:eastAsia="仿宋"/>
          <w:b/>
          <w:bCs/>
          <w:sz w:val="32"/>
          <w:szCs w:val="32"/>
          <w:lang w:val="en-US" w:eastAsia="zh-CN"/>
        </w:rPr>
        <w:t>（二）部门财政资金支出情况。</w:t>
      </w:r>
      <w:r>
        <w:rPr>
          <w:rFonts w:hint="eastAsia" w:ascii="仿宋" w:hAnsi="仿宋" w:eastAsia="仿宋"/>
          <w:sz w:val="32"/>
          <w:szCs w:val="32"/>
          <w:lang w:val="en-US" w:eastAsia="zh-CN"/>
        </w:rPr>
        <w:t>本年度支出预算数为891.05万元，支出决算数891.05万元，预算完成度为100.00%，上年度预算完成度为983.08万元，比上年</w:t>
      </w:r>
      <w:r>
        <w:rPr>
          <w:rFonts w:hint="eastAsia" w:ascii="仿宋_GB2312" w:hAnsi="仿宋" w:eastAsia="仿宋_GB2312"/>
          <w:color w:val="000000" w:themeColor="text1"/>
          <w:sz w:val="32"/>
          <w:szCs w:val="32"/>
          <w:shd w:val="clear" w:color="auto" w:fill="auto"/>
          <w:lang w:eastAsia="zh-CN"/>
        </w:rPr>
        <w:t>减少</w:t>
      </w:r>
      <w:r>
        <w:rPr>
          <w:rFonts w:hint="eastAsia" w:ascii="仿宋_GB2312" w:hAnsi="仿宋" w:eastAsia="仿宋_GB2312"/>
          <w:color w:val="000000" w:themeColor="text1"/>
          <w:sz w:val="32"/>
          <w:szCs w:val="32"/>
          <w:shd w:val="clear" w:color="auto" w:fill="auto"/>
          <w:lang w:val="en-US" w:eastAsia="zh-CN"/>
        </w:rPr>
        <w:t>92.03</w:t>
      </w:r>
      <w:r>
        <w:rPr>
          <w:rFonts w:hint="eastAsia" w:ascii="仿宋_GB2312" w:hAnsi="仿宋" w:eastAsia="仿宋_GB2312"/>
          <w:color w:val="000000" w:themeColor="text1"/>
          <w:sz w:val="32"/>
          <w:szCs w:val="32"/>
          <w:shd w:val="clear" w:color="auto" w:fill="auto"/>
        </w:rPr>
        <w:t>万元，</w:t>
      </w:r>
      <w:r>
        <w:rPr>
          <w:rFonts w:hint="eastAsia" w:ascii="仿宋_GB2312" w:hAnsi="仿宋" w:eastAsia="仿宋_GB2312"/>
          <w:color w:val="000000" w:themeColor="text1"/>
          <w:sz w:val="32"/>
          <w:szCs w:val="32"/>
          <w:shd w:val="clear" w:color="auto" w:fill="auto"/>
          <w:lang w:eastAsia="zh-CN"/>
        </w:rPr>
        <w:t>减少</w:t>
      </w:r>
      <w:r>
        <w:rPr>
          <w:rFonts w:hint="eastAsia" w:ascii="仿宋_GB2312" w:hAnsi="仿宋" w:eastAsia="仿宋_GB2312"/>
          <w:color w:val="000000" w:themeColor="text1"/>
          <w:sz w:val="32"/>
          <w:szCs w:val="32"/>
          <w:shd w:val="clear" w:color="auto" w:fill="auto"/>
          <w:lang w:val="en-US" w:eastAsia="zh-CN"/>
        </w:rPr>
        <w:t>9.36</w:t>
      </w:r>
      <w:r>
        <w:rPr>
          <w:rFonts w:hint="eastAsia" w:ascii="仿宋_GB2312" w:hAnsi="仿宋" w:eastAsia="仿宋_GB2312"/>
          <w:color w:val="000000" w:themeColor="text1"/>
          <w:sz w:val="32"/>
          <w:szCs w:val="32"/>
          <w:shd w:val="clear" w:color="auto" w:fill="auto"/>
        </w:rPr>
        <w:t>%。主要变动原因是</w:t>
      </w:r>
      <w:r>
        <w:rPr>
          <w:rFonts w:hint="eastAsia" w:ascii="仿宋" w:hAnsi="仿宋" w:eastAsia="仿宋"/>
          <w:sz w:val="32"/>
          <w:szCs w:val="32"/>
          <w:shd w:val="clear" w:color="auto" w:fill="FFFFFF"/>
          <w:lang w:eastAsia="zh-CN"/>
        </w:rPr>
        <w:t>厉行节约</w:t>
      </w:r>
      <w:r>
        <w:rPr>
          <w:rFonts w:hint="eastAsia" w:ascii="仿宋_GB2312" w:hAnsi="仿宋" w:eastAsia="仿宋_GB2312"/>
          <w:color w:val="000000" w:themeColor="text1"/>
          <w:sz w:val="32"/>
          <w:szCs w:val="32"/>
          <w:shd w:val="clear" w:color="auto" w:fill="auto"/>
          <w:lang w:eastAsia="zh-CN"/>
        </w:rPr>
        <w:t>。</w:t>
      </w:r>
    </w:p>
    <w:p>
      <w:pPr>
        <w:spacing w:line="600" w:lineRule="exact"/>
        <w:ind w:firstLine="640" w:firstLineChars="200"/>
        <w:rPr>
          <w:rFonts w:ascii="仿宋_GB2312" w:hAnsi="仿宋" w:eastAsia="仿宋_GB2312"/>
          <w:color w:val="000000" w:themeColor="text1"/>
          <w:sz w:val="32"/>
          <w:szCs w:val="32"/>
          <w:shd w:val="clear" w:color="auto" w:fill="auto"/>
        </w:rPr>
      </w:pPr>
      <w:r>
        <w:rPr>
          <w:rFonts w:hint="eastAsia" w:ascii="仿宋_GB2312" w:hAnsi="仿宋" w:eastAsia="仿宋_GB2312"/>
          <w:color w:val="000000" w:themeColor="text1"/>
          <w:sz w:val="32"/>
          <w:szCs w:val="32"/>
          <w:shd w:val="clear" w:color="auto" w:fill="auto"/>
        </w:rPr>
        <w:t>（图1：收、支决算总计变动情况图）（柱状图）</w:t>
      </w:r>
    </w:p>
    <w:p>
      <w:pPr>
        <w:snapToGrid w:val="0"/>
        <w:spacing w:line="360" w:lineRule="auto"/>
        <w:ind w:firstLine="420" w:firstLineChars="200"/>
        <w:rPr>
          <w:rFonts w:hint="eastAsia" w:ascii="仿宋" w:hAnsi="仿宋" w:eastAsia="仿宋"/>
          <w:sz w:val="32"/>
          <w:szCs w:val="32"/>
          <w:lang w:val="en-US" w:eastAsia="zh-CN"/>
        </w:rPr>
      </w:pPr>
      <w:r>
        <w:drawing>
          <wp:inline distT="0" distB="0" distL="114300" distR="114300">
            <wp:extent cx="4819650" cy="2743200"/>
            <wp:effectExtent l="4445" t="4445" r="14605" b="14605"/>
            <wp:docPr id="1" name="图表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snapToGrid w:val="0"/>
        <w:spacing w:line="360" w:lineRule="auto"/>
        <w:ind w:firstLine="640" w:firstLineChars="200"/>
        <w:rPr>
          <w:rFonts w:hint="eastAsia" w:ascii="仿宋" w:hAnsi="仿宋" w:eastAsia="仿宋"/>
          <w:sz w:val="32"/>
          <w:szCs w:val="32"/>
          <w:lang w:val="en-US" w:eastAsia="zh-CN"/>
        </w:rPr>
      </w:pPr>
    </w:p>
    <w:p>
      <w:pPr>
        <w:snapToGrid w:val="0"/>
        <w:spacing w:line="360" w:lineRule="auto"/>
        <w:ind w:firstLine="642" w:firstLineChars="200"/>
        <w:rPr>
          <w:rFonts w:hint="default" w:ascii="仿宋" w:hAnsi="仿宋" w:eastAsia="仿宋"/>
          <w:b/>
          <w:bCs/>
          <w:sz w:val="32"/>
          <w:szCs w:val="32"/>
          <w:lang w:val="en-US" w:eastAsia="zh-CN"/>
        </w:rPr>
      </w:pPr>
      <w:r>
        <w:rPr>
          <w:rFonts w:hint="eastAsia" w:ascii="仿宋" w:hAnsi="仿宋" w:eastAsia="仿宋"/>
          <w:b/>
          <w:bCs/>
          <w:sz w:val="32"/>
          <w:szCs w:val="32"/>
          <w:lang w:val="en-US" w:eastAsia="zh-CN"/>
        </w:rPr>
        <w:t>三、部门整体预算绩效管理情况</w:t>
      </w:r>
    </w:p>
    <w:p>
      <w:pPr>
        <w:snapToGrid w:val="0"/>
        <w:spacing w:line="360" w:lineRule="auto"/>
        <w:ind w:firstLine="642" w:firstLineChars="200"/>
        <w:rPr>
          <w:rFonts w:hint="default" w:ascii="仿宋" w:hAnsi="仿宋" w:eastAsia="仿宋"/>
          <w:sz w:val="32"/>
          <w:szCs w:val="32"/>
          <w:lang w:val="en-US" w:eastAsia="zh-CN"/>
        </w:rPr>
      </w:pPr>
      <w:r>
        <w:rPr>
          <w:rFonts w:hint="eastAsia" w:ascii="仿宋" w:hAnsi="仿宋" w:eastAsia="仿宋"/>
          <w:b/>
          <w:bCs/>
          <w:sz w:val="32"/>
          <w:szCs w:val="32"/>
          <w:lang w:val="en-US" w:eastAsia="zh-CN"/>
        </w:rPr>
        <w:t>（一）部门预算管理。</w:t>
      </w:r>
      <w:r>
        <w:rPr>
          <w:rFonts w:hint="eastAsia" w:ascii="仿宋" w:hAnsi="仿宋" w:eastAsia="仿宋"/>
          <w:sz w:val="32"/>
          <w:szCs w:val="32"/>
          <w:lang w:val="zh-CN" w:eastAsia="zh-CN"/>
        </w:rPr>
        <w:t>20</w:t>
      </w:r>
      <w:r>
        <w:rPr>
          <w:rFonts w:hint="eastAsia" w:ascii="仿宋" w:hAnsi="仿宋" w:eastAsia="仿宋"/>
          <w:sz w:val="32"/>
          <w:szCs w:val="32"/>
          <w:lang w:val="en-US" w:eastAsia="zh-CN"/>
        </w:rPr>
        <w:t>25</w:t>
      </w:r>
      <w:r>
        <w:rPr>
          <w:rFonts w:hint="eastAsia" w:ascii="仿宋" w:hAnsi="仿宋" w:eastAsia="仿宋"/>
          <w:sz w:val="32"/>
          <w:szCs w:val="32"/>
          <w:lang w:val="zh-CN" w:eastAsia="zh-CN"/>
        </w:rPr>
        <w:t>年县人大办严格按照财政局下发的文件要求进行预算编制工作，较好地完成了县人大办预算编制工作，无违规行为。</w:t>
      </w:r>
      <w:r>
        <w:rPr>
          <w:rFonts w:hint="eastAsia" w:ascii="仿宋" w:hAnsi="仿宋" w:eastAsia="仿宋"/>
          <w:sz w:val="32"/>
          <w:szCs w:val="32"/>
          <w:lang w:val="en-US" w:eastAsia="zh-CN"/>
        </w:rPr>
        <w:t>一是高度重视预算编制质量，为夯实部门预算编制质量，县人大办高度重视，认真组织2024年单位预算编制工作；二是加快预算执行进度，县人大办按预算执行支出，确保合规使用；三是严控一般性支出，县人大办实时监控支出进度，对比预算与实际，严格控制一般性支出，定期分析偏差，查找原因并整改。</w:t>
      </w:r>
    </w:p>
    <w:tbl>
      <w:tblPr>
        <w:tblStyle w:val="7"/>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6"/>
        <w:gridCol w:w="2212"/>
        <w:gridCol w:w="1802"/>
        <w:gridCol w:w="2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科目编码</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科目名称</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预算收入</w:t>
            </w:r>
          </w:p>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（万元）</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决算支出</w:t>
            </w:r>
          </w:p>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2010101</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行政运行</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600.61</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600.61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2010104</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人大会议</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65.52</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65.52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2010106</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人大监督</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17.88</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17.88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2010107</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培训支出</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5.48</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2010108</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代表工作</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31.99</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31.99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2080505</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养老保险</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58.13</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58.13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2080506</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职业年金</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29.06</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29.06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2101101</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行政单位医疗</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27.19</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2101103</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公务员医疗</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9.56</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9.56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466" w:type="dxa"/>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2210201</w:t>
            </w:r>
          </w:p>
        </w:tc>
        <w:tc>
          <w:tcPr>
            <w:tcW w:w="221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住房公积金</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45.62</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45.62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3678" w:type="dxa"/>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合计</w:t>
            </w:r>
          </w:p>
        </w:tc>
        <w:tc>
          <w:tcPr>
            <w:tcW w:w="1802"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891.05</w:t>
            </w:r>
          </w:p>
        </w:tc>
        <w:tc>
          <w:tcPr>
            <w:tcW w:w="2818" w:type="dxa"/>
            <w:tcBorders>
              <w:top w:val="single" w:color="auto" w:sz="4" w:space="0"/>
              <w:left w:val="nil"/>
              <w:bottom w:val="single" w:color="auto" w:sz="4" w:space="0"/>
              <w:right w:val="single" w:color="auto" w:sz="4" w:space="0"/>
            </w:tcBorders>
            <w:noWrap w:val="0"/>
            <w:vAlign w:val="top"/>
          </w:tcPr>
          <w:p>
            <w:pPr>
              <w:snapToGrid w:val="0"/>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891.05</w:t>
            </w:r>
          </w:p>
        </w:tc>
      </w:tr>
    </w:tbl>
    <w:p>
      <w:pPr>
        <w:snapToGrid w:val="0"/>
        <w:spacing w:line="360" w:lineRule="auto"/>
        <w:ind w:firstLine="640" w:firstLineChars="200"/>
        <w:rPr>
          <w:rFonts w:hint="eastAsia" w:ascii="仿宋" w:hAnsi="仿宋" w:eastAsia="仿宋"/>
          <w:sz w:val="32"/>
          <w:szCs w:val="32"/>
          <w:lang w:val="en-US" w:eastAsia="zh-CN"/>
        </w:rPr>
      </w:pPr>
    </w:p>
    <w:p>
      <w:pPr>
        <w:snapToGrid w:val="0"/>
        <w:spacing w:line="360" w:lineRule="auto"/>
        <w:ind w:firstLine="642" w:firstLineChars="200"/>
        <w:rPr>
          <w:rFonts w:hint="default" w:ascii="仿宋" w:hAnsi="仿宋" w:eastAsia="仿宋"/>
          <w:sz w:val="32"/>
          <w:szCs w:val="32"/>
          <w:lang w:val="en-US" w:eastAsia="zh-CN"/>
        </w:rPr>
      </w:pPr>
      <w:r>
        <w:rPr>
          <w:rFonts w:hint="eastAsia" w:ascii="仿宋" w:hAnsi="仿宋" w:eastAsia="仿宋"/>
          <w:b/>
          <w:bCs/>
          <w:sz w:val="32"/>
          <w:szCs w:val="32"/>
          <w:lang w:val="en-US" w:eastAsia="zh-CN"/>
        </w:rPr>
        <w:t>（二）专项预算管理。</w:t>
      </w:r>
      <w:r>
        <w:rPr>
          <w:rFonts w:hint="eastAsia" w:ascii="仿宋" w:hAnsi="仿宋" w:eastAsia="仿宋"/>
          <w:sz w:val="32"/>
          <w:szCs w:val="32"/>
          <w:lang w:val="en-US" w:eastAsia="zh-CN"/>
        </w:rPr>
        <w:t>涉及</w:t>
      </w:r>
      <w:r>
        <w:rPr>
          <w:rFonts w:hint="default" w:ascii="仿宋" w:hAnsi="仿宋" w:eastAsia="仿宋"/>
          <w:sz w:val="32"/>
          <w:szCs w:val="32"/>
          <w:lang w:val="en-US" w:eastAsia="zh-CN"/>
        </w:rPr>
        <w:t>常年项目</w:t>
      </w:r>
      <w:r>
        <w:rPr>
          <w:rFonts w:hint="default" w:ascii="仿宋" w:hAnsi="仿宋" w:eastAsia="仿宋"/>
          <w:sz w:val="32"/>
          <w:szCs w:val="32"/>
          <w:lang w:val="zh-CN" w:eastAsia="zh-CN"/>
        </w:rPr>
        <w:t>总数</w:t>
      </w:r>
      <w:r>
        <w:rPr>
          <w:rFonts w:hint="eastAsia" w:ascii="仿宋" w:hAnsi="仿宋" w:eastAsia="仿宋"/>
          <w:sz w:val="32"/>
          <w:szCs w:val="32"/>
          <w:lang w:val="en-US" w:eastAsia="zh-CN"/>
        </w:rPr>
        <w:t>4</w:t>
      </w:r>
      <w:r>
        <w:rPr>
          <w:rFonts w:hint="default" w:ascii="仿宋" w:hAnsi="仿宋" w:eastAsia="仿宋"/>
          <w:sz w:val="32"/>
          <w:szCs w:val="32"/>
          <w:lang w:val="zh-CN" w:eastAsia="zh-CN"/>
        </w:rPr>
        <w:t>个，涉及预算总金额</w:t>
      </w:r>
      <w:r>
        <w:rPr>
          <w:rFonts w:hint="eastAsia" w:ascii="仿宋" w:hAnsi="仿宋" w:eastAsia="仿宋"/>
          <w:sz w:val="32"/>
          <w:szCs w:val="32"/>
          <w:lang w:val="en-US" w:eastAsia="zh-CN"/>
        </w:rPr>
        <w:t>120.87</w:t>
      </w:r>
      <w:r>
        <w:rPr>
          <w:rFonts w:hint="default" w:ascii="仿宋" w:hAnsi="仿宋" w:eastAsia="仿宋"/>
          <w:sz w:val="32"/>
          <w:szCs w:val="32"/>
          <w:lang w:val="zh-CN" w:eastAsia="zh-CN"/>
        </w:rPr>
        <w:t>万元，1</w:t>
      </w:r>
      <w:r>
        <w:rPr>
          <w:rFonts w:hint="eastAsia" w:ascii="仿宋" w:hAnsi="仿宋" w:eastAsia="仿宋"/>
          <w:sz w:val="32"/>
          <w:szCs w:val="32"/>
          <w:lang w:val="zh-CN" w:eastAsia="zh-CN"/>
        </w:rPr>
        <w:t>—</w:t>
      </w:r>
      <w:r>
        <w:rPr>
          <w:rFonts w:hint="default" w:ascii="仿宋" w:hAnsi="仿宋" w:eastAsia="仿宋"/>
          <w:sz w:val="32"/>
          <w:szCs w:val="32"/>
          <w:lang w:val="zh-CN" w:eastAsia="zh-CN"/>
        </w:rPr>
        <w:t>1</w:t>
      </w:r>
      <w:r>
        <w:rPr>
          <w:rFonts w:hint="default" w:ascii="仿宋" w:hAnsi="仿宋" w:eastAsia="仿宋"/>
          <w:sz w:val="32"/>
          <w:szCs w:val="32"/>
          <w:lang w:val="en-US" w:eastAsia="zh-CN"/>
        </w:rPr>
        <w:t>2</w:t>
      </w:r>
      <w:r>
        <w:rPr>
          <w:rFonts w:hint="default" w:ascii="仿宋" w:hAnsi="仿宋" w:eastAsia="仿宋"/>
          <w:sz w:val="32"/>
          <w:szCs w:val="32"/>
          <w:lang w:val="zh-CN" w:eastAsia="zh-CN"/>
        </w:rPr>
        <w:t>月预算执行总体进度为</w:t>
      </w:r>
      <w:r>
        <w:rPr>
          <w:rFonts w:hint="eastAsia" w:ascii="仿宋" w:hAnsi="仿宋" w:eastAsia="仿宋"/>
          <w:sz w:val="32"/>
          <w:szCs w:val="32"/>
          <w:lang w:val="en-US" w:eastAsia="zh-CN"/>
        </w:rPr>
        <w:t>100</w:t>
      </w:r>
      <w:r>
        <w:rPr>
          <w:rFonts w:hint="default" w:ascii="仿宋" w:hAnsi="仿宋" w:eastAsia="仿宋"/>
          <w:sz w:val="32"/>
          <w:szCs w:val="32"/>
          <w:lang w:val="en-US" w:eastAsia="zh-CN"/>
        </w:rPr>
        <w:t xml:space="preserve"> </w:t>
      </w:r>
      <w:r>
        <w:rPr>
          <w:rFonts w:hint="default" w:ascii="仿宋" w:hAnsi="仿宋" w:eastAsia="仿宋"/>
          <w:sz w:val="32"/>
          <w:szCs w:val="32"/>
          <w:lang w:val="zh-CN" w:eastAsia="zh-CN"/>
        </w:rPr>
        <w:t>%，其中：预算结余率大于</w:t>
      </w:r>
      <w:r>
        <w:rPr>
          <w:rFonts w:hint="default" w:ascii="仿宋" w:hAnsi="仿宋" w:eastAsia="仿宋"/>
          <w:sz w:val="32"/>
          <w:szCs w:val="32"/>
          <w:lang w:val="en-US" w:eastAsia="zh-CN"/>
        </w:rPr>
        <w:t>10%</w:t>
      </w:r>
      <w:r>
        <w:rPr>
          <w:rFonts w:hint="default" w:ascii="仿宋" w:hAnsi="仿宋" w:eastAsia="仿宋"/>
          <w:sz w:val="32"/>
          <w:szCs w:val="32"/>
          <w:lang w:val="zh-CN" w:eastAsia="zh-CN"/>
        </w:rPr>
        <w:t>的项目共计</w:t>
      </w:r>
      <w:r>
        <w:rPr>
          <w:rFonts w:hint="eastAsia" w:ascii="仿宋" w:hAnsi="仿宋" w:eastAsia="仿宋"/>
          <w:sz w:val="32"/>
          <w:szCs w:val="32"/>
          <w:lang w:val="en-US" w:eastAsia="zh-CN"/>
        </w:rPr>
        <w:t>0</w:t>
      </w:r>
      <w:r>
        <w:rPr>
          <w:rFonts w:hint="default" w:ascii="仿宋" w:hAnsi="仿宋" w:eastAsia="仿宋"/>
          <w:sz w:val="32"/>
          <w:szCs w:val="32"/>
          <w:lang w:val="zh-CN" w:eastAsia="zh-CN"/>
        </w:rPr>
        <w:t>个。</w:t>
      </w:r>
      <w:r>
        <w:rPr>
          <w:rFonts w:hint="eastAsia" w:ascii="仿宋" w:hAnsi="仿宋" w:eastAsia="仿宋"/>
          <w:sz w:val="32"/>
          <w:szCs w:val="32"/>
          <w:lang w:val="en-US" w:eastAsia="zh-CN"/>
        </w:rPr>
        <w:t>一是</w:t>
      </w:r>
      <w:r>
        <w:rPr>
          <w:rFonts w:hint="eastAsia" w:ascii="仿宋" w:hAnsi="仿宋" w:eastAsia="仿宋"/>
          <w:sz w:val="32"/>
          <w:szCs w:val="32"/>
          <w:lang w:val="zh-CN" w:eastAsia="zh-CN"/>
        </w:rPr>
        <w:t>项目决策程序运用科学的方法，广泛收集各种信息，制定出合理合规合法的决策；二是人大会议、人大代表和人大工作者培训是每年都需进行的常规项目，属正常运转项目，都按照要求做好项目入库、事前评估等工作；</w:t>
      </w:r>
      <w:r>
        <w:rPr>
          <w:rFonts w:hint="eastAsia" w:ascii="仿宋" w:hAnsi="仿宋" w:eastAsia="仿宋"/>
          <w:sz w:val="32"/>
          <w:szCs w:val="32"/>
          <w:lang w:val="en-US" w:eastAsia="zh-CN"/>
        </w:rPr>
        <w:t>三是执行结果，黑水县第十四届人民代表大会费用33.52万元，两月1次的常委会，1月1次的主任会议，费用22万元，基层人大践行全过程人民民主10万元，会议费合计65.52万元。2025年是人大代表履职能力提升年，根据《黑水县人民代表大会常务委员会2025年工作要点》《2025年度黑水县县乡人大代表培训计划》的要求，为加强县乡人大代表培训，切实提高县乡人大代表的履职能力。在成都举办人大代表培训1期，共计费用5.48万元；预算在线联网监督平台提升17.88万元；基层人大践行全过程人民民主31.99万元。</w:t>
      </w:r>
    </w:p>
    <w:p>
      <w:pPr>
        <w:snapToGrid w:val="0"/>
        <w:spacing w:line="360" w:lineRule="auto"/>
        <w:ind w:firstLine="642" w:firstLineChars="200"/>
        <w:rPr>
          <w:rFonts w:hint="eastAsia" w:ascii="仿宋" w:hAnsi="仿宋" w:eastAsia="仿宋"/>
          <w:sz w:val="32"/>
          <w:szCs w:val="32"/>
          <w:lang w:val="en-US" w:eastAsia="zh-CN"/>
        </w:rPr>
      </w:pPr>
      <w:r>
        <w:rPr>
          <w:rFonts w:hint="eastAsia" w:ascii="仿宋" w:hAnsi="仿宋" w:eastAsia="仿宋"/>
          <w:b/>
          <w:bCs/>
          <w:sz w:val="32"/>
          <w:szCs w:val="32"/>
          <w:lang w:val="en-US" w:eastAsia="zh-CN"/>
        </w:rPr>
        <w:t>（三）结果应用情况。</w:t>
      </w:r>
      <w:r>
        <w:rPr>
          <w:rFonts w:hint="eastAsia" w:ascii="仿宋" w:hAnsi="仿宋" w:eastAsia="仿宋"/>
          <w:sz w:val="32"/>
          <w:szCs w:val="32"/>
          <w:lang w:val="en-US" w:eastAsia="zh-CN"/>
        </w:rPr>
        <w:t>2025年共计支出891.05万元，较上年</w:t>
      </w:r>
      <w:r>
        <w:rPr>
          <w:rFonts w:hint="eastAsia" w:ascii="仿宋_GB2312" w:hAnsi="仿宋" w:eastAsia="仿宋_GB2312"/>
          <w:color w:val="000000" w:themeColor="text1"/>
          <w:sz w:val="32"/>
          <w:szCs w:val="32"/>
          <w:shd w:val="clear" w:color="auto" w:fill="auto"/>
          <w:lang w:eastAsia="zh-CN"/>
        </w:rPr>
        <w:t>减少</w:t>
      </w:r>
      <w:r>
        <w:rPr>
          <w:rFonts w:hint="eastAsia" w:ascii="仿宋_GB2312" w:hAnsi="仿宋" w:eastAsia="仿宋_GB2312"/>
          <w:color w:val="000000" w:themeColor="text1"/>
          <w:sz w:val="32"/>
          <w:szCs w:val="32"/>
          <w:shd w:val="clear" w:color="auto" w:fill="auto"/>
          <w:lang w:val="en-US" w:eastAsia="zh-CN"/>
        </w:rPr>
        <w:t>92.03</w:t>
      </w:r>
      <w:r>
        <w:rPr>
          <w:rFonts w:hint="eastAsia" w:ascii="仿宋_GB2312" w:hAnsi="仿宋" w:eastAsia="仿宋_GB2312"/>
          <w:color w:val="000000" w:themeColor="text1"/>
          <w:sz w:val="32"/>
          <w:szCs w:val="32"/>
          <w:shd w:val="clear" w:color="auto" w:fill="auto"/>
        </w:rPr>
        <w:t>万元</w:t>
      </w:r>
      <w:r>
        <w:rPr>
          <w:rFonts w:hint="eastAsia" w:ascii="仿宋" w:hAnsi="仿宋" w:eastAsia="仿宋"/>
          <w:sz w:val="32"/>
          <w:szCs w:val="32"/>
          <w:lang w:val="en-US" w:eastAsia="zh-CN"/>
        </w:rPr>
        <w:t>，同比</w:t>
      </w:r>
      <w:r>
        <w:rPr>
          <w:rFonts w:hint="eastAsia" w:ascii="仿宋_GB2312" w:hAnsi="仿宋" w:eastAsia="仿宋_GB2312"/>
          <w:color w:val="000000" w:themeColor="text1"/>
          <w:sz w:val="32"/>
          <w:szCs w:val="32"/>
          <w:shd w:val="clear" w:color="auto" w:fill="auto"/>
          <w:lang w:eastAsia="zh-CN"/>
        </w:rPr>
        <w:t>减少</w:t>
      </w:r>
      <w:r>
        <w:rPr>
          <w:rFonts w:hint="eastAsia" w:ascii="仿宋_GB2312" w:hAnsi="仿宋" w:eastAsia="仿宋_GB2312"/>
          <w:color w:val="000000" w:themeColor="text1"/>
          <w:sz w:val="32"/>
          <w:szCs w:val="32"/>
          <w:shd w:val="clear" w:color="auto" w:fill="auto"/>
          <w:lang w:val="en-US" w:eastAsia="zh-CN"/>
        </w:rPr>
        <w:t>9.36</w:t>
      </w:r>
      <w:r>
        <w:rPr>
          <w:rFonts w:hint="eastAsia" w:ascii="仿宋_GB2312" w:hAnsi="仿宋" w:eastAsia="仿宋_GB2312"/>
          <w:color w:val="000000" w:themeColor="text1"/>
          <w:sz w:val="32"/>
          <w:szCs w:val="32"/>
          <w:shd w:val="clear" w:color="auto" w:fill="auto"/>
        </w:rPr>
        <w:t>%</w:t>
      </w:r>
      <w:r>
        <w:rPr>
          <w:rFonts w:hint="eastAsia" w:ascii="仿宋" w:hAnsi="仿宋" w:eastAsia="仿宋"/>
          <w:sz w:val="32"/>
          <w:szCs w:val="32"/>
          <w:lang w:val="en-US" w:eastAsia="zh-CN"/>
        </w:rPr>
        <w:t>。</w:t>
      </w:r>
    </w:p>
    <w:p>
      <w:pPr>
        <w:snapToGrid w:val="0"/>
        <w:spacing w:line="360" w:lineRule="auto"/>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一般公共服务支出721.48万元，比上年减少83.41万元，同比减少10.36%，原因是厉行节约。主要用于：人大常委会机关人员工资、退休费、赡养费、工伤保险、失业保险、车辆运行费、差旅费、会议费、培训费等日常运转经费支出，提高了人大常委会机关的有效运转。</w:t>
      </w:r>
    </w:p>
    <w:p>
      <w:pPr>
        <w:snapToGrid w:val="0"/>
        <w:spacing w:line="360" w:lineRule="auto"/>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社会保障和就业支出87.19万元，比上年减少2.72万元，同比减少3.03%，保障机关事业单位工作人员退休后的生活、促进人力资源合理流动具有重要意义。</w:t>
      </w:r>
    </w:p>
    <w:p>
      <w:pPr>
        <w:snapToGrid w:val="0"/>
        <w:spacing w:line="360" w:lineRule="auto"/>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行政单位医疗支出36.76万元，比上年减少3.11万元，同比减少7.80%。主要用于：人大常委会机关按照规定标准为职工缴纳的基本医疗保险。</w:t>
      </w:r>
    </w:p>
    <w:p>
      <w:pPr>
        <w:snapToGrid w:val="0"/>
        <w:spacing w:line="360" w:lineRule="auto"/>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住房公积金支出45.62万元，比上年减少2.78万元，同比减少5.74%。主要用于：人大常委会机关按照规定标准为职工缴纳住房公积金支出。</w:t>
      </w:r>
    </w:p>
    <w:p>
      <w:pPr>
        <w:snapToGrid w:val="0"/>
        <w:spacing w:line="360" w:lineRule="auto"/>
        <w:ind w:firstLine="642" w:firstLineChars="200"/>
        <w:rPr>
          <w:rFonts w:hint="eastAsia" w:ascii="仿宋" w:hAnsi="仿宋" w:eastAsia="仿宋"/>
          <w:b/>
          <w:bCs/>
          <w:sz w:val="32"/>
          <w:szCs w:val="32"/>
          <w:lang w:val="en-US" w:eastAsia="zh-CN"/>
        </w:rPr>
      </w:pPr>
      <w:r>
        <w:rPr>
          <w:rFonts w:hint="eastAsia" w:ascii="仿宋" w:hAnsi="仿宋" w:eastAsia="仿宋"/>
          <w:b/>
          <w:bCs/>
          <w:sz w:val="32"/>
          <w:szCs w:val="32"/>
          <w:lang w:val="en-US" w:eastAsia="zh-CN"/>
        </w:rPr>
        <w:t>四、评价结论及建议</w:t>
      </w:r>
    </w:p>
    <w:p>
      <w:pPr>
        <w:snapToGrid w:val="0"/>
        <w:spacing w:line="360" w:lineRule="auto"/>
        <w:ind w:firstLine="642" w:firstLineChars="200"/>
        <w:rPr>
          <w:rFonts w:hint="eastAsia" w:ascii="仿宋" w:hAnsi="仿宋" w:eastAsia="仿宋"/>
          <w:sz w:val="32"/>
          <w:szCs w:val="32"/>
          <w:lang w:val="en-US" w:eastAsia="zh-CN"/>
        </w:rPr>
      </w:pPr>
      <w:r>
        <w:rPr>
          <w:rFonts w:hint="eastAsia" w:ascii="仿宋" w:hAnsi="仿宋" w:eastAsia="仿宋"/>
          <w:b/>
          <w:bCs/>
          <w:sz w:val="32"/>
          <w:szCs w:val="32"/>
          <w:lang w:val="en-US" w:eastAsia="zh-CN"/>
        </w:rPr>
        <w:t>（一）评价结论。</w:t>
      </w:r>
      <w:r>
        <w:rPr>
          <w:rFonts w:hint="eastAsia" w:ascii="仿宋" w:hAnsi="仿宋" w:eastAsia="仿宋"/>
          <w:sz w:val="32"/>
          <w:szCs w:val="32"/>
          <w:lang w:val="zh-CN" w:eastAsia="zh-CN"/>
        </w:rPr>
        <w:t>20</w:t>
      </w:r>
      <w:r>
        <w:rPr>
          <w:rFonts w:hint="eastAsia" w:ascii="仿宋" w:hAnsi="仿宋" w:eastAsia="仿宋"/>
          <w:sz w:val="32"/>
          <w:szCs w:val="32"/>
          <w:lang w:val="en-US" w:eastAsia="zh-CN"/>
        </w:rPr>
        <w:t>2</w:t>
      </w:r>
      <w:r>
        <w:rPr>
          <w:rFonts w:hint="default" w:ascii="仿宋" w:hAnsi="仿宋" w:eastAsia="仿宋"/>
          <w:sz w:val="32"/>
          <w:szCs w:val="32"/>
          <w:lang w:val="en-US" w:eastAsia="zh-CN"/>
        </w:rPr>
        <w:t>5</w:t>
      </w:r>
      <w:r>
        <w:rPr>
          <w:rFonts w:hint="eastAsia" w:ascii="仿宋" w:hAnsi="仿宋" w:eastAsia="仿宋"/>
          <w:sz w:val="32"/>
          <w:szCs w:val="32"/>
          <w:lang w:val="zh-CN" w:eastAsia="zh-CN"/>
        </w:rPr>
        <w:t>年我办加强财务工作管理，严肃财经纪律，在总结经验的基础上改进工作的方式方法，做好工作创新，保证了我办20</w:t>
      </w:r>
      <w:r>
        <w:rPr>
          <w:rFonts w:hint="eastAsia" w:ascii="仿宋" w:hAnsi="仿宋" w:eastAsia="仿宋"/>
          <w:sz w:val="32"/>
          <w:szCs w:val="32"/>
          <w:lang w:val="en-US" w:eastAsia="zh-CN"/>
        </w:rPr>
        <w:t>2</w:t>
      </w:r>
      <w:r>
        <w:rPr>
          <w:rFonts w:hint="default" w:ascii="仿宋" w:hAnsi="仿宋" w:eastAsia="仿宋"/>
          <w:sz w:val="32"/>
          <w:szCs w:val="32"/>
          <w:lang w:val="en-US" w:eastAsia="zh-CN"/>
        </w:rPr>
        <w:t>5</w:t>
      </w:r>
      <w:r>
        <w:rPr>
          <w:rFonts w:hint="eastAsia" w:ascii="仿宋" w:hAnsi="仿宋" w:eastAsia="仿宋"/>
          <w:sz w:val="32"/>
          <w:szCs w:val="32"/>
          <w:lang w:val="zh-CN" w:eastAsia="zh-CN"/>
        </w:rPr>
        <w:t>年的各项工作能够顺利开展。</w:t>
      </w:r>
    </w:p>
    <w:p>
      <w:pPr>
        <w:snapToGrid w:val="0"/>
        <w:spacing w:line="360" w:lineRule="auto"/>
        <w:ind w:firstLine="642" w:firstLineChars="200"/>
        <w:rPr>
          <w:rFonts w:hint="eastAsia" w:ascii="仿宋" w:hAnsi="仿宋" w:eastAsia="仿宋"/>
          <w:sz w:val="32"/>
          <w:szCs w:val="32"/>
          <w:lang w:val="en-US" w:eastAsia="zh-CN"/>
        </w:rPr>
      </w:pPr>
      <w:r>
        <w:rPr>
          <w:rFonts w:hint="eastAsia" w:ascii="仿宋" w:hAnsi="仿宋" w:eastAsia="仿宋"/>
          <w:b/>
          <w:bCs/>
          <w:sz w:val="32"/>
          <w:szCs w:val="32"/>
          <w:lang w:val="en-US" w:eastAsia="zh-CN"/>
        </w:rPr>
        <w:t>（二）存在问题。</w:t>
      </w:r>
      <w:r>
        <w:rPr>
          <w:rFonts w:hint="eastAsia" w:ascii="仿宋" w:hAnsi="仿宋" w:eastAsia="仿宋"/>
          <w:sz w:val="32"/>
          <w:szCs w:val="32"/>
          <w:lang w:val="en-US" w:eastAsia="zh-CN"/>
        </w:rPr>
        <w:t>绩效目标制定不够完善，预算编制不够科学合理。</w:t>
      </w:r>
    </w:p>
    <w:p>
      <w:pPr>
        <w:snapToGrid w:val="0"/>
        <w:spacing w:line="360" w:lineRule="auto"/>
        <w:ind w:firstLine="642" w:firstLineChars="200"/>
        <w:rPr>
          <w:rFonts w:hint="eastAsia" w:ascii="仿宋" w:hAnsi="仿宋" w:eastAsia="仿宋"/>
          <w:sz w:val="32"/>
          <w:szCs w:val="32"/>
          <w:lang w:val="zh-CN" w:eastAsia="zh-CN"/>
        </w:rPr>
      </w:pPr>
      <w:r>
        <w:rPr>
          <w:rFonts w:hint="eastAsia" w:ascii="仿宋" w:hAnsi="仿宋" w:eastAsia="仿宋"/>
          <w:b/>
          <w:bCs/>
          <w:sz w:val="32"/>
          <w:szCs w:val="32"/>
          <w:lang w:val="en-US" w:eastAsia="zh-CN"/>
        </w:rPr>
        <w:t>（三）改进建议。</w:t>
      </w:r>
      <w:r>
        <w:rPr>
          <w:rFonts w:hint="eastAsia" w:ascii="仿宋" w:hAnsi="仿宋" w:eastAsia="仿宋"/>
          <w:sz w:val="32"/>
          <w:szCs w:val="32"/>
          <w:lang w:val="zh-CN" w:eastAsia="zh-CN"/>
        </w:rPr>
        <w:t>进一步完善绩效目标填报工作，强化绩效指标实用性。绩效目标是整个预算绩效管理的起点，与部门履职效率形成直接关系，在接下来工作中，严格按照经济性、效率性及效益性原则设置对应指标，提高绩效指标实用性。认真履行预算编报要求，提高预算编报的科学性。严格按照相关预算编报文件要求，结合近年来执行情况，合理编制各项预算，提高预算的科学性和准确性。</w:t>
      </w:r>
    </w:p>
    <w:tbl>
      <w:tblPr>
        <w:tblStyle w:val="7"/>
        <w:tblpPr w:leftFromText="180" w:rightFromText="180" w:vertAnchor="text" w:horzAnchor="page" w:tblpX="982" w:tblpY="246"/>
        <w:tblOverlap w:val="never"/>
        <w:tblW w:w="101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002"/>
        <w:gridCol w:w="575"/>
        <w:gridCol w:w="925"/>
        <w:gridCol w:w="4150"/>
        <w:gridCol w:w="742"/>
        <w:gridCol w:w="733"/>
        <w:gridCol w:w="675"/>
        <w:gridCol w:w="467"/>
        <w:gridCol w:w="9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2" w:hRule="exact"/>
        </w:trPr>
        <w:tc>
          <w:tcPr>
            <w:tcW w:w="10190" w:type="dxa"/>
            <w:gridSpan w:val="9"/>
            <w:tcBorders>
              <w:top w:val="nil"/>
              <w:left w:val="nil"/>
              <w:bottom w:val="nil"/>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firstLine="700" w:firstLineChars="250"/>
              <w:textAlignment w:val="center"/>
              <w:outlineLvl w:val="9"/>
              <w:rPr>
                <w:rFonts w:ascii="Times New Roman" w:hAnsi="Times New Roman" w:eastAsia="黑体" w:cs="Times New Roman"/>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10190" w:type="dxa"/>
            <w:gridSpan w:val="9"/>
            <w:tcBorders>
              <w:top w:val="nil"/>
              <w:left w:val="nil"/>
              <w:bottom w:val="nil"/>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firstLine="800" w:firstLineChars="250"/>
              <w:textAlignment w:val="center"/>
              <w:outlineLvl w:val="9"/>
              <w:rPr>
                <w:rFonts w:ascii="Times New Roman" w:hAnsi="Times New Roman" w:eastAsia="宋体" w:cs="Times New Roman"/>
                <w:i w:val="0"/>
                <w:color w:val="000000"/>
                <w:kern w:val="0"/>
                <w:sz w:val="28"/>
                <w:szCs w:val="28"/>
                <w:u w:val="none"/>
                <w:lang w:val="en-US" w:eastAsia="zh-CN"/>
              </w:rPr>
            </w:pPr>
            <w:r>
              <w:rPr>
                <w:rFonts w:hint="eastAsia" w:ascii="仿宋" w:eastAsia="仿宋"/>
                <w:sz w:val="32"/>
                <w:szCs w:val="32"/>
                <w:lang w:val="zh-CN"/>
              </w:rPr>
              <w:t>附件1：部门整体支出绩效目标完成情况自评表</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ascii="Times New Roman" w:hAnsi="Times New Roman" w:eastAsia="宋体" w:cs="Times New Roman"/>
                <w:i w:val="0"/>
                <w:color w:val="000000"/>
                <w:kern w:val="0"/>
                <w:sz w:val="28"/>
                <w:szCs w:val="28"/>
                <w:u w:val="none"/>
                <w:lang w:val="en-US" w:eastAsia="zh-CN"/>
              </w:rPr>
            </w:pPr>
            <w:r>
              <w:rPr>
                <w:rFonts w:ascii="Times New Roman" w:hAnsi="Times New Roman" w:eastAsia="宋体" w:cs="Times New Roman"/>
                <w:i w:val="0"/>
                <w:color w:val="000000"/>
                <w:kern w:val="0"/>
                <w:sz w:val="28"/>
                <w:szCs w:val="28"/>
                <w:u w:val="none"/>
                <w:lang w:val="en-US" w:eastAsia="zh-CN"/>
              </w:rPr>
              <w:t>附件1</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kern w:val="0"/>
                <w:sz w:val="28"/>
                <w:szCs w:val="28"/>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ascii="Times New Roman" w:hAnsi="Times New Roman" w:eastAsia="宋体" w:cs="Times New Roman"/>
                <w:i w:val="0"/>
                <w:color w:val="000000"/>
                <w:sz w:val="28"/>
                <w:szCs w:val="28"/>
                <w:u w:val="none"/>
              </w:rPr>
            </w:pPr>
            <w:r>
              <w:rPr>
                <w:rFonts w:ascii="Times New Roman" w:hAnsi="Times New Roman" w:eastAsia="宋体" w:cs="Times New Roman"/>
                <w:i w:val="0"/>
                <w:color w:val="000000"/>
                <w:kern w:val="0"/>
                <w:sz w:val="28"/>
                <w:szCs w:val="28"/>
                <w:u w:val="none"/>
                <w:lang w:val="en-US" w:eastAsia="zh-CN"/>
              </w:rPr>
              <w:t>（202</w:t>
            </w:r>
            <w:r>
              <w:rPr>
                <w:rFonts w:hint="eastAsia" w:ascii="Times New Roman" w:hAnsi="Times New Roman" w:eastAsia="宋体" w:cs="Times New Roman"/>
                <w:i w:val="0"/>
                <w:color w:val="000000"/>
                <w:kern w:val="0"/>
                <w:sz w:val="28"/>
                <w:szCs w:val="28"/>
                <w:u w:val="none"/>
                <w:lang w:val="en-US" w:eastAsia="zh-CN"/>
              </w:rPr>
              <w:t>5</w:t>
            </w:r>
            <w:r>
              <w:rPr>
                <w:rFonts w:ascii="Times New Roman" w:hAnsi="Times New Roman" w:eastAsia="宋体" w:cs="Times New Roman"/>
                <w:i w:val="0"/>
                <w:color w:val="000000"/>
                <w:kern w:val="0"/>
                <w:sz w:val="28"/>
                <w:szCs w:val="28"/>
                <w:u w:val="none"/>
                <w:lang w:val="en-US" w:eastAsia="zh-CN"/>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10190" w:type="dxa"/>
            <w:gridSpan w:val="9"/>
            <w:tcBorders>
              <w:top w:val="nil"/>
              <w:left w:val="nil"/>
              <w:bottom w:val="single" w:color="000000" w:sz="4" w:space="0"/>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center"/>
              <w:outlineLvl w:val="9"/>
              <w:rPr>
                <w:rFonts w:ascii="Times New Roman" w:hAnsi="Times New Roman" w:eastAsia="宋体" w:cs="Times New Roman"/>
                <w:i w:val="0"/>
                <w:color w:val="000000"/>
                <w:sz w:val="21"/>
                <w:szCs w:val="21"/>
                <w:u w:val="none"/>
              </w:rPr>
            </w:pPr>
            <w:r>
              <w:rPr>
                <w:rFonts w:ascii="Times New Roman" w:hAnsi="Times New Roman" w:eastAsia="宋体" w:cs="Times New Roman"/>
                <w:i w:val="0"/>
                <w:color w:val="000000"/>
                <w:kern w:val="0"/>
                <w:sz w:val="21"/>
                <w:szCs w:val="21"/>
                <w:u w:val="none"/>
                <w:lang w:val="en-US" w:eastAsia="zh-CN"/>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2" w:hRule="atLeast"/>
        </w:trPr>
        <w:tc>
          <w:tcPr>
            <w:tcW w:w="2502" w:type="dxa"/>
            <w:gridSpan w:val="3"/>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20" w:lineRule="atLeast"/>
              <w:ind w:firstLine="420" w:firstLineChars="200"/>
              <w:jc w:val="left"/>
              <w:textAlignment w:val="center"/>
              <w:outlineLvl w:val="9"/>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部门名称</w:t>
            </w:r>
          </w:p>
        </w:tc>
        <w:tc>
          <w:tcPr>
            <w:tcW w:w="7688" w:type="dxa"/>
            <w:gridSpan w:val="6"/>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20" w:lineRule="atLeast"/>
              <w:ind w:firstLine="420" w:firstLineChars="200"/>
              <w:jc w:val="left"/>
              <w:textAlignment w:val="center"/>
              <w:outlineLvl w:val="9"/>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部门（单位）整体支出绩效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2" w:hRule="atLeast"/>
        </w:trPr>
        <w:tc>
          <w:tcPr>
            <w:tcW w:w="1002"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20" w:lineRule="atLeast"/>
              <w:jc w:val="left"/>
              <w:textAlignment w:val="center"/>
              <w:outlineLvl w:val="9"/>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2023年度部门整体支出预算</w:t>
            </w:r>
          </w:p>
        </w:tc>
        <w:tc>
          <w:tcPr>
            <w:tcW w:w="1500"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20" w:lineRule="atLeast"/>
              <w:ind w:firstLine="420" w:firstLineChars="200"/>
              <w:jc w:val="left"/>
              <w:textAlignment w:val="center"/>
              <w:outlineLvl w:val="9"/>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资金总额</w:t>
            </w:r>
          </w:p>
        </w:tc>
        <w:tc>
          <w:tcPr>
            <w:tcW w:w="4892"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20" w:lineRule="atLeast"/>
              <w:ind w:firstLine="420" w:firstLineChars="200"/>
              <w:jc w:val="left"/>
              <w:textAlignment w:val="center"/>
              <w:outlineLvl w:val="9"/>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财政拨款</w:t>
            </w:r>
          </w:p>
        </w:tc>
        <w:tc>
          <w:tcPr>
            <w:tcW w:w="2796" w:type="dxa"/>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20" w:lineRule="atLeast"/>
              <w:ind w:firstLine="420" w:firstLineChars="200"/>
              <w:jc w:val="left"/>
              <w:textAlignment w:val="center"/>
              <w:outlineLvl w:val="9"/>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9" w:hRule="atLeast"/>
        </w:trPr>
        <w:tc>
          <w:tcPr>
            <w:tcW w:w="1002"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00"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20" w:lineRule="atLeast"/>
              <w:jc w:val="center"/>
              <w:textAlignment w:val="center"/>
              <w:outlineLvl w:val="9"/>
              <w:rPr>
                <w:rFonts w:hint="eastAsia"/>
                <w:lang w:val="en-US" w:eastAsia="zh-CN"/>
              </w:rPr>
            </w:pPr>
            <w:r>
              <w:rPr>
                <w:rFonts w:hint="eastAsia" w:ascii="仿宋" w:eastAsia="仿宋" w:cs="仿宋"/>
                <w:i w:val="0"/>
                <w:color w:val="000000"/>
                <w:kern w:val="0"/>
                <w:sz w:val="21"/>
                <w:szCs w:val="21"/>
                <w:u w:val="none"/>
                <w:lang w:val="en-US" w:eastAsia="zh-CN"/>
              </w:rPr>
              <w:t>982.24</w:t>
            </w:r>
          </w:p>
        </w:tc>
        <w:tc>
          <w:tcPr>
            <w:tcW w:w="4892"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20" w:lineRule="atLeast"/>
              <w:ind w:firstLine="420" w:firstLineChars="200"/>
              <w:jc w:val="left"/>
              <w:textAlignment w:val="center"/>
              <w:outlineLvl w:val="9"/>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982.24</w:t>
            </w:r>
          </w:p>
        </w:tc>
        <w:tc>
          <w:tcPr>
            <w:tcW w:w="2796" w:type="dxa"/>
            <w:gridSpan w:val="4"/>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20" w:lineRule="atLeast"/>
              <w:ind w:firstLine="420" w:firstLineChars="200"/>
              <w:jc w:val="left"/>
              <w:textAlignment w:val="center"/>
              <w:outlineLvl w:val="9"/>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00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年度总体</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仿宋" w:eastAsia="仿宋" w:cs="仿宋"/>
                <w:i w:val="0"/>
                <w:color w:val="000000"/>
                <w:sz w:val="21"/>
                <w:szCs w:val="21"/>
                <w:u w:val="none"/>
              </w:rPr>
            </w:pPr>
            <w:r>
              <w:rPr>
                <w:rFonts w:hint="eastAsia" w:ascii="仿宋" w:eastAsia="仿宋" w:cs="仿宋"/>
                <w:i w:val="0"/>
                <w:color w:val="000000"/>
                <w:kern w:val="0"/>
                <w:sz w:val="21"/>
                <w:szCs w:val="21"/>
                <w:u w:val="none"/>
                <w:lang w:val="en-US" w:eastAsia="zh-CN"/>
              </w:rPr>
              <w:t>目标</w:t>
            </w:r>
          </w:p>
        </w:tc>
        <w:tc>
          <w:tcPr>
            <w:tcW w:w="9188" w:type="dxa"/>
            <w:gridSpan w:val="8"/>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val="0"/>
              <w:pBdr>
                <w:bottom w:val="single" w:color="FFFFFF" w:sz="4" w:space="28"/>
              </w:pBdr>
              <w:tabs>
                <w:tab w:val="left" w:pos="1440"/>
              </w:tabs>
              <w:kinsoku/>
              <w:wordWrap/>
              <w:overflowPunct/>
              <w:topLinePunct w:val="0"/>
              <w:autoSpaceDE/>
              <w:autoSpaceDN/>
              <w:bidi w:val="0"/>
              <w:adjustRightInd w:val="0"/>
              <w:snapToGrid w:val="0"/>
              <w:spacing w:line="560" w:lineRule="exact"/>
              <w:ind w:left="0" w:firstLine="420" w:firstLineChars="200"/>
              <w:textAlignment w:val="auto"/>
              <w:outlineLvl w:val="2"/>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总体任务：2025年，在县委、县人大常委会党组的坚强领导下，县人大常委会机关坚持以习近平新时代中国特色社会主义思想为指导，贯彻落实中央、省、州、县人大工作会议精神，依法履职，担当作为，为推动全县高质量发展贡献人大力量。一是突出政治建设，切实服务发展大局；二是增强监督实效，维护人民利益；三是提升服务水平，充分发挥代表作用；四是保持奋斗，全面加强自身建设。</w:t>
            </w:r>
          </w:p>
          <w:p>
            <w:pPr>
              <w:keepNext w:val="0"/>
              <w:keepLines w:val="0"/>
              <w:pageBreakBefore w:val="0"/>
              <w:widowControl w:val="0"/>
              <w:pBdr>
                <w:bottom w:val="single" w:color="FFFFFF" w:sz="4" w:space="28"/>
              </w:pBdr>
              <w:tabs>
                <w:tab w:val="left" w:pos="1440"/>
              </w:tabs>
              <w:kinsoku/>
              <w:wordWrap/>
              <w:overflowPunct/>
              <w:topLinePunct w:val="0"/>
              <w:autoSpaceDE/>
              <w:autoSpaceDN/>
              <w:bidi w:val="0"/>
              <w:adjustRightInd w:val="0"/>
              <w:snapToGrid w:val="0"/>
              <w:spacing w:line="560" w:lineRule="exact"/>
              <w:ind w:left="0" w:firstLine="420" w:firstLineChars="200"/>
              <w:textAlignment w:val="auto"/>
              <w:outlineLvl w:val="2"/>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机构及人员情况基本：县人大下设三个专门委员会：法制监察司法和民族宗教外事委员会、财政经济预算和农业农村城乡环境保护委员会、教育科学文化卫生和社会建设委员会；县人大常委会下设办公室、人事代表联络工作委员会；县人大常委会办公室下设人大代表服务中心（公益一类事业单位）。</w:t>
            </w:r>
          </w:p>
          <w:p>
            <w:pPr>
              <w:keepNext w:val="0"/>
              <w:keepLines w:val="0"/>
              <w:pageBreakBefore w:val="0"/>
              <w:widowControl w:val="0"/>
              <w:pBdr>
                <w:bottom w:val="single" w:color="FFFFFF" w:sz="4" w:space="28"/>
              </w:pBdr>
              <w:tabs>
                <w:tab w:val="left" w:pos="1440"/>
              </w:tabs>
              <w:kinsoku/>
              <w:wordWrap/>
              <w:overflowPunct/>
              <w:topLinePunct w:val="0"/>
              <w:autoSpaceDE/>
              <w:autoSpaceDN/>
              <w:bidi w:val="0"/>
              <w:adjustRightInd w:val="0"/>
              <w:snapToGrid w:val="0"/>
              <w:spacing w:line="560" w:lineRule="exact"/>
              <w:ind w:left="0" w:firstLine="420" w:firstLineChars="200"/>
              <w:textAlignment w:val="auto"/>
              <w:outlineLvl w:val="2"/>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本单位本年度年末实有人数为25人（其中公务员16人，工勤5人，事业4人），与上年持平；年末实有退休人数为32人，与上年持平；年末实有其他人数为0人，与上年持平。</w:t>
            </w:r>
          </w:p>
          <w:p>
            <w:pPr>
              <w:keepNext w:val="0"/>
              <w:keepLines w:val="0"/>
              <w:pageBreakBefore w:val="0"/>
              <w:widowControl w:val="0"/>
              <w:pBdr>
                <w:bottom w:val="single" w:color="FFFFFF" w:sz="4" w:space="28"/>
              </w:pBdr>
              <w:tabs>
                <w:tab w:val="left" w:pos="1440"/>
              </w:tabs>
              <w:kinsoku/>
              <w:wordWrap/>
              <w:overflowPunct/>
              <w:topLinePunct w:val="0"/>
              <w:autoSpaceDE/>
              <w:autoSpaceDN/>
              <w:bidi w:val="0"/>
              <w:adjustRightInd w:val="0"/>
              <w:snapToGrid w:val="0"/>
              <w:spacing w:line="560" w:lineRule="exact"/>
              <w:ind w:left="0" w:firstLine="420" w:firstLineChars="200"/>
              <w:textAlignment w:val="auto"/>
              <w:outlineLvl w:val="2"/>
              <w:rPr>
                <w:rFonts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预算情况：本单位本年度总收入为982.24万元。其中：一般公共预算财政拨款收入为982.24万元，占比100.00%；本年度总支出为982.24万元。其中：一般公共服务支出为790.54万元，占比80.49%；社会保障和就业支出为98.66万元，占比10.04%；卫生健康支出为41.17万元，占比4.19%；住房保障支出为51.87万元，占比5.28%。</w:t>
            </w:r>
          </w:p>
          <w:p>
            <w:pPr>
              <w:keepNext w:val="0"/>
              <w:keepLines w:val="0"/>
              <w:pageBreakBefore w:val="0"/>
              <w:widowControl w:val="0"/>
              <w:pBdr>
                <w:bottom w:val="single" w:color="FFFFFF" w:sz="4" w:space="28"/>
              </w:pBdr>
              <w:tabs>
                <w:tab w:val="left" w:pos="1440"/>
              </w:tabs>
              <w:kinsoku/>
              <w:wordWrap/>
              <w:overflowPunct/>
              <w:topLinePunct w:val="0"/>
              <w:autoSpaceDE/>
              <w:autoSpaceDN/>
              <w:bidi w:val="0"/>
              <w:adjustRightInd w:val="0"/>
              <w:snapToGrid w:val="0"/>
              <w:spacing w:line="560" w:lineRule="exact"/>
              <w:ind w:left="0" w:firstLine="420" w:firstLineChars="200"/>
              <w:textAlignment w:val="auto"/>
              <w:outlineLvl w:val="2"/>
              <w:rPr>
                <w:rFonts w:hint="eastAsia" w:ascii="仿宋" w:eastAsia="仿宋" w:cs="仿宋"/>
                <w:i w:val="0"/>
                <w:color w:val="000000"/>
                <w:kern w:val="0"/>
                <w:sz w:val="21"/>
                <w:szCs w:val="21"/>
                <w:u w:val="none"/>
                <w:lang w:val="en-US" w:eastAsia="zh-CN"/>
              </w:rPr>
            </w:pPr>
            <w:r>
              <w:rPr>
                <w:rFonts w:hint="eastAsia" w:ascii="仿宋" w:eastAsia="仿宋" w:cs="仿宋"/>
                <w:i w:val="0"/>
                <w:color w:val="000000"/>
                <w:kern w:val="0"/>
                <w:sz w:val="21"/>
                <w:szCs w:val="21"/>
                <w:u w:val="none"/>
                <w:lang w:val="en-US" w:eastAsia="zh-CN"/>
              </w:rPr>
              <w:t>决算情况：本单位本年度总收入为982.24万元。其中：一般公共预算财政拨款收入为982.24万元，占比100.00%；本年度总支出为982.24万元。其中：一般公共服务支出为790.54万元，占比80.49%；社会保障和就业支出为98.66万元，占比10.04%；卫生健康支出为41.17万元，占比4.19%；住房保障支出为51.87万元，占比5.28%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3" w:hRule="atLeast"/>
        </w:trPr>
        <w:tc>
          <w:tcPr>
            <w:tcW w:w="1002"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年度主要</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任务</w:t>
            </w:r>
          </w:p>
        </w:tc>
        <w:tc>
          <w:tcPr>
            <w:tcW w:w="1500"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任务名称</w:t>
            </w:r>
          </w:p>
        </w:tc>
        <w:tc>
          <w:tcPr>
            <w:tcW w:w="7688" w:type="dxa"/>
            <w:gridSpan w:val="6"/>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主要内容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25" w:hRule="atLeast"/>
        </w:trPr>
        <w:tc>
          <w:tcPr>
            <w:tcW w:w="1002"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00" w:type="dxa"/>
            <w:gridSpan w:val="2"/>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一是突出政治建设，切实服务发展大局。</w:t>
            </w:r>
          </w:p>
        </w:tc>
        <w:tc>
          <w:tcPr>
            <w:tcW w:w="7688" w:type="dxa"/>
            <w:gridSpan w:val="6"/>
            <w:tcBorders>
              <w:top w:val="single" w:color="000000" w:sz="4" w:space="0"/>
              <w:left w:val="single" w:color="000000" w:sz="4" w:space="0"/>
              <w:bottom w:val="single" w:color="000000" w:sz="4" w:space="0"/>
              <w:right w:val="single" w:color="000000" w:sz="4" w:space="0"/>
            </w:tcBorders>
            <w:noWrap/>
            <w:vAlign w:val="center"/>
          </w:tcPr>
          <w:p>
            <w:pPr>
              <w:rPr>
                <w:sz w:val="21"/>
                <w:szCs w:val="21"/>
              </w:rPr>
            </w:pPr>
            <w:r>
              <w:rPr>
                <w:rFonts w:hint="eastAsia" w:ascii="仿宋" w:eastAsia="仿宋" w:cs="Times New Roman"/>
                <w:kern w:val="2"/>
                <w:sz w:val="21"/>
                <w:szCs w:val="21"/>
                <w:shd w:val="clear" w:color="auto" w:fill="FFFFFF"/>
                <w:lang w:val="en-US" w:eastAsia="zh-CN" w:bidi="ar-SA"/>
              </w:rPr>
              <w:t>始终坚持党的全面领导，围绕中心，服务大局，确保人大工作沿着正确方向前进。</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仿宋" w:eastAsia="仿宋" w:cs="Times New Roman"/>
                <w:kern w:val="2"/>
                <w:sz w:val="21"/>
                <w:szCs w:val="21"/>
                <w:shd w:val="clear" w:color="auto" w:fill="FFFFFF"/>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00" w:hRule="atLeast"/>
        </w:trPr>
        <w:tc>
          <w:tcPr>
            <w:tcW w:w="1002"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00" w:type="dxa"/>
            <w:gridSpan w:val="2"/>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二是增强监督实效，维护人民利益。</w:t>
            </w:r>
          </w:p>
        </w:tc>
        <w:tc>
          <w:tcPr>
            <w:tcW w:w="7688" w:type="dxa"/>
            <w:gridSpan w:val="6"/>
            <w:tcBorders>
              <w:top w:val="single" w:color="000000" w:sz="4" w:space="0"/>
              <w:left w:val="single" w:color="000000" w:sz="4" w:space="0"/>
              <w:bottom w:val="single" w:color="000000" w:sz="4" w:space="0"/>
              <w:right w:val="single" w:color="000000" w:sz="4" w:space="0"/>
            </w:tcBorders>
            <w:noWrap/>
            <w:vAlign w:val="center"/>
          </w:tcPr>
          <w:p>
            <w:pPr>
              <w:rPr>
                <w:sz w:val="21"/>
                <w:szCs w:val="21"/>
              </w:rPr>
            </w:pPr>
            <w:r>
              <w:rPr>
                <w:rFonts w:hint="eastAsia" w:ascii="仿宋" w:eastAsia="仿宋" w:cs="Times New Roman"/>
                <w:kern w:val="2"/>
                <w:sz w:val="21"/>
                <w:szCs w:val="21"/>
                <w:shd w:val="clear" w:color="auto" w:fill="FFFFFF"/>
                <w:lang w:val="en-US" w:eastAsia="zh-CN" w:bidi="ar-SA"/>
              </w:rPr>
              <w:t>依法履行监督职权，选准监督议题，加大监督力度，不断增强监督实效，切实维护全县人民根本利益。</w:t>
            </w:r>
          </w:p>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仿宋" w:eastAsia="仿宋" w:cs="Times New Roman"/>
                <w:kern w:val="2"/>
                <w:sz w:val="21"/>
                <w:szCs w:val="21"/>
                <w:shd w:val="clear" w:color="auto" w:fill="FFFFFF"/>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1002"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00" w:type="dxa"/>
            <w:gridSpan w:val="2"/>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三是提升服务水平，充分发挥代表作用。</w:t>
            </w:r>
          </w:p>
        </w:tc>
        <w:tc>
          <w:tcPr>
            <w:tcW w:w="7688" w:type="dxa"/>
            <w:gridSpan w:val="6"/>
            <w:tcBorders>
              <w:top w:val="single" w:color="000000" w:sz="4" w:space="0"/>
              <w:left w:val="single" w:color="000000" w:sz="4" w:space="0"/>
              <w:bottom w:val="single" w:color="000000" w:sz="4" w:space="0"/>
              <w:right w:val="single" w:color="000000" w:sz="4" w:space="0"/>
            </w:tcBorders>
            <w:noWrap/>
            <w:vAlign w:val="center"/>
          </w:tcPr>
          <w:p>
            <w:pPr>
              <w:rPr>
                <w:sz w:val="21"/>
                <w:szCs w:val="21"/>
              </w:rPr>
            </w:pPr>
            <w:r>
              <w:rPr>
                <w:rFonts w:hint="eastAsia" w:ascii="仿宋" w:eastAsia="仿宋" w:cs="Times New Roman"/>
                <w:kern w:val="2"/>
                <w:sz w:val="21"/>
                <w:szCs w:val="21"/>
                <w:shd w:val="clear" w:color="auto" w:fill="FFFFFF"/>
                <w:lang w:val="en-US" w:eastAsia="zh-CN" w:bidi="ar-SA"/>
              </w:rPr>
              <w:t>坚持尊重代表主体地位，努力为代表履职创造更加优越的条件，更好发挥代表作用。</w:t>
            </w:r>
          </w:p>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仿宋" w:eastAsia="仿宋" w:cs="Times New Roman"/>
                <w:kern w:val="2"/>
                <w:sz w:val="21"/>
                <w:szCs w:val="21"/>
                <w:shd w:val="clear" w:color="auto" w:fill="FFFFFF"/>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002" w:type="dxa"/>
            <w:vMerge w:val="continue"/>
            <w:tcBorders>
              <w:top w:val="single" w:color="000000" w:sz="4" w:space="0"/>
              <w:left w:val="single" w:color="000000" w:sz="4" w:space="0"/>
              <w:bottom w:val="single" w:color="000000" w:sz="4" w:space="0"/>
              <w:right w:val="single" w:color="000000" w:sz="4" w:space="0"/>
            </w:tcBorders>
            <w:noWrap/>
            <w:vAlign w:val="center"/>
          </w:tcPr>
          <w:p/>
        </w:tc>
        <w:tc>
          <w:tcPr>
            <w:tcW w:w="1500" w:type="dxa"/>
            <w:gridSpan w:val="2"/>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四是保持奋斗姿态，全面加强自身建设。</w:t>
            </w:r>
          </w:p>
        </w:tc>
        <w:tc>
          <w:tcPr>
            <w:tcW w:w="7688" w:type="dxa"/>
            <w:gridSpan w:val="6"/>
            <w:tcBorders>
              <w:top w:val="single" w:color="000000" w:sz="4" w:space="0"/>
              <w:left w:val="single" w:color="000000" w:sz="4" w:space="0"/>
              <w:bottom w:val="single" w:color="000000" w:sz="4" w:space="0"/>
              <w:right w:val="single" w:color="000000" w:sz="4" w:space="0"/>
            </w:tcBorders>
            <w:noWrap/>
            <w:vAlign w:val="center"/>
          </w:tcPr>
          <w:p>
            <w:pPr>
              <w:rPr>
                <w:sz w:val="21"/>
                <w:szCs w:val="21"/>
              </w:rPr>
            </w:pPr>
            <w:r>
              <w:rPr>
                <w:rFonts w:hint="eastAsia" w:ascii="仿宋" w:eastAsia="仿宋" w:cs="Times New Roman"/>
                <w:kern w:val="2"/>
                <w:sz w:val="21"/>
                <w:szCs w:val="21"/>
                <w:shd w:val="clear" w:color="auto" w:fill="FFFFFF"/>
                <w:lang w:val="en-US" w:eastAsia="zh-CN" w:bidi="ar-SA"/>
              </w:rPr>
              <w:t>坚持高标准、严要求，昂扬向上、砥励奋进，全面推进“四个机关”建设。</w:t>
            </w:r>
          </w:p>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仿宋" w:eastAsia="仿宋" w:cs="Times New Roman"/>
                <w:kern w:val="2"/>
                <w:sz w:val="21"/>
                <w:szCs w:val="21"/>
                <w:shd w:val="clear" w:color="auto" w:fill="FFFFFF"/>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1002" w:type="dxa"/>
            <w:vMerge w:val="restart"/>
            <w:tcBorders>
              <w:top w:val="single" w:color="000000" w:sz="4" w:space="0"/>
              <w:left w:val="single" w:color="auto" w:sz="4" w:space="0"/>
              <w:bottom w:val="nil"/>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年度绩效</w:t>
            </w:r>
          </w:p>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指标</w:t>
            </w:r>
          </w:p>
        </w:tc>
        <w:tc>
          <w:tcPr>
            <w:tcW w:w="5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一级指标</w:t>
            </w:r>
          </w:p>
        </w:tc>
        <w:tc>
          <w:tcPr>
            <w:tcW w:w="92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二级指标</w:t>
            </w:r>
          </w:p>
        </w:tc>
        <w:tc>
          <w:tcPr>
            <w:tcW w:w="415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三级指标</w:t>
            </w:r>
          </w:p>
        </w:tc>
        <w:tc>
          <w:tcPr>
            <w:tcW w:w="74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绩效指标性质</w:t>
            </w:r>
          </w:p>
        </w:tc>
        <w:tc>
          <w:tcPr>
            <w:tcW w:w="733"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绩效指标值</w:t>
            </w:r>
          </w:p>
        </w:tc>
        <w:tc>
          <w:tcPr>
            <w:tcW w:w="6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绩效度量单位</w:t>
            </w:r>
          </w:p>
        </w:tc>
        <w:tc>
          <w:tcPr>
            <w:tcW w:w="467" w:type="dxa"/>
            <w:tcBorders>
              <w:top w:val="single" w:color="000000" w:sz="4" w:space="0"/>
              <w:left w:val="single" w:color="000000" w:sz="4" w:space="0"/>
              <w:bottom w:val="single" w:color="000000" w:sz="4" w:space="0"/>
              <w:right w:val="nil"/>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权重</w:t>
            </w:r>
          </w:p>
        </w:tc>
        <w:tc>
          <w:tcPr>
            <w:tcW w:w="92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实际完成</w:t>
            </w:r>
          </w:p>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002" w:type="dxa"/>
            <w:vMerge w:val="continue"/>
            <w:tcBorders>
              <w:top w:val="nil"/>
              <w:left w:val="single" w:color="auto" w:sz="4" w:space="0"/>
              <w:bottom w:val="nil"/>
              <w:right w:val="single" w:color="000000" w:sz="4" w:space="0"/>
            </w:tcBorders>
            <w:noWrap/>
            <w:vAlign w:val="center"/>
          </w:tcPr>
          <w:p/>
        </w:tc>
        <w:tc>
          <w:tcPr>
            <w:tcW w:w="5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产出指标</w:t>
            </w:r>
          </w:p>
        </w:tc>
        <w:tc>
          <w:tcPr>
            <w:tcW w:w="92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数量指标</w:t>
            </w:r>
          </w:p>
        </w:tc>
        <w:tc>
          <w:tcPr>
            <w:tcW w:w="4150" w:type="dxa"/>
            <w:tcBorders>
              <w:top w:val="single" w:color="000000" w:sz="4" w:space="0"/>
              <w:left w:val="single" w:color="000000" w:sz="4" w:space="0"/>
              <w:bottom w:val="single" w:color="000000" w:sz="4" w:space="0"/>
              <w:right w:val="single" w:color="000000" w:sz="4" w:space="0"/>
            </w:tcBorders>
            <w:noWrap/>
            <w:vAlign w:val="center"/>
          </w:tcPr>
          <w:p>
            <w:pPr>
              <w:rPr>
                <w:rFonts w:ascii="仿宋" w:eastAsia="仿宋" w:cs="Times New Roman"/>
                <w:sz w:val="21"/>
                <w:szCs w:val="21"/>
                <w:shd w:val="clear" w:color="auto" w:fill="FFFFFF"/>
                <w:lang w:val="en-US" w:eastAsia="zh-CN"/>
              </w:rPr>
            </w:pPr>
            <w:r>
              <w:rPr>
                <w:rFonts w:hint="eastAsia" w:ascii="仿宋" w:eastAsia="仿宋" w:cs="Times New Roman"/>
                <w:sz w:val="21"/>
                <w:szCs w:val="21"/>
                <w:shd w:val="clear" w:color="auto" w:fill="FFFFFF"/>
              </w:rPr>
              <w:t>20</w:t>
            </w:r>
            <w:r>
              <w:rPr>
                <w:rFonts w:hint="eastAsia" w:ascii="仿宋" w:eastAsia="仿宋" w:cs="Times New Roman"/>
                <w:sz w:val="21"/>
                <w:szCs w:val="21"/>
                <w:shd w:val="clear" w:color="auto" w:fill="FFFFFF"/>
                <w:lang w:val="en-US" w:eastAsia="zh-CN"/>
              </w:rPr>
              <w:t>25</w:t>
            </w:r>
            <w:r>
              <w:rPr>
                <w:rFonts w:hint="eastAsia" w:ascii="仿宋" w:eastAsia="仿宋" w:cs="Times New Roman"/>
                <w:sz w:val="21"/>
                <w:szCs w:val="21"/>
                <w:shd w:val="clear" w:color="auto" w:fill="FFFFFF"/>
              </w:rPr>
              <w:t>年一般公共预算支出总计</w:t>
            </w:r>
            <w:r>
              <w:rPr>
                <w:rFonts w:hint="eastAsia" w:ascii="仿宋" w:eastAsia="仿宋" w:cs="仿宋"/>
                <w:i w:val="0"/>
                <w:color w:val="000000"/>
                <w:kern w:val="0"/>
                <w:sz w:val="21"/>
                <w:szCs w:val="21"/>
                <w:u w:val="none"/>
                <w:lang w:val="en-US" w:eastAsia="zh-CN"/>
              </w:rPr>
              <w:t>982.24</w:t>
            </w:r>
            <w:r>
              <w:rPr>
                <w:rFonts w:hint="eastAsia" w:ascii="仿宋" w:eastAsia="仿宋" w:cs="Times New Roman"/>
                <w:sz w:val="21"/>
                <w:szCs w:val="21"/>
                <w:shd w:val="clear" w:color="auto" w:fill="FFFFFF"/>
              </w:rPr>
              <w:t>万元，其中基本支出</w:t>
            </w:r>
            <w:r>
              <w:rPr>
                <w:rFonts w:hint="eastAsia" w:ascii="仿宋" w:eastAsia="仿宋" w:cs="仿宋"/>
                <w:i w:val="0"/>
                <w:color w:val="000000"/>
                <w:kern w:val="0"/>
                <w:sz w:val="21"/>
                <w:szCs w:val="21"/>
                <w:u w:val="none"/>
                <w:lang w:val="en-US" w:eastAsia="zh-CN"/>
              </w:rPr>
              <w:t>982.24</w:t>
            </w:r>
            <w:r>
              <w:rPr>
                <w:rFonts w:hint="eastAsia" w:ascii="仿宋" w:eastAsia="仿宋" w:cs="Times New Roman"/>
                <w:sz w:val="21"/>
                <w:szCs w:val="21"/>
                <w:shd w:val="clear" w:color="auto" w:fill="FFFFFF"/>
              </w:rPr>
              <w:t>万元。主要用于年内</w:t>
            </w:r>
            <w:bookmarkStart w:id="1" w:name="_GoBack"/>
            <w:bookmarkEnd w:id="1"/>
            <w:r>
              <w:rPr>
                <w:rFonts w:hint="eastAsia" w:ascii="仿宋" w:eastAsia="仿宋" w:cs="Times New Roman"/>
                <w:sz w:val="21"/>
                <w:szCs w:val="21"/>
                <w:shd w:val="clear" w:color="auto" w:fill="FFFFFF"/>
                <w:lang w:eastAsia="zh-CN"/>
              </w:rPr>
              <w:t>人大常委会机关</w:t>
            </w:r>
            <w:r>
              <w:rPr>
                <w:rFonts w:hint="eastAsia" w:ascii="仿宋" w:eastAsia="仿宋" w:cs="Times New Roman"/>
                <w:sz w:val="21"/>
                <w:szCs w:val="21"/>
                <w:shd w:val="clear" w:color="auto" w:fill="FFFFFF"/>
              </w:rPr>
              <w:t>人员和日常公用经费等支出，切实保证机关的正常运转。</w:t>
            </w:r>
            <w:r>
              <w:rPr>
                <w:rFonts w:hint="eastAsia" w:ascii="仿宋" w:eastAsia="仿宋" w:cs="Times New Roman"/>
                <w:sz w:val="21"/>
                <w:szCs w:val="21"/>
                <w:shd w:val="clear" w:color="auto" w:fill="FFFFFF"/>
                <w:lang w:eastAsia="zh-CN"/>
              </w:rPr>
              <w:t>项目经费</w:t>
            </w:r>
            <w:r>
              <w:rPr>
                <w:rFonts w:hint="eastAsia" w:ascii="仿宋" w:eastAsia="仿宋" w:cs="Times New Roman"/>
                <w:sz w:val="21"/>
                <w:szCs w:val="21"/>
                <w:shd w:val="clear" w:color="auto" w:fill="FFFFFF"/>
                <w:lang w:val="en-US" w:eastAsia="zh-CN"/>
              </w:rPr>
              <w:t>120.87万元，其中人大会议65.52万元、人大代表培训费5.48万元、人大监督17.88万元、代表工作31.99万元。</w:t>
            </w:r>
          </w:p>
          <w:p>
            <w:pPr>
              <w:rPr>
                <w:rFonts w:hint="eastAsia" w:ascii="仿宋" w:eastAsia="仿宋" w:cs="Times New Roman"/>
                <w:kern w:val="2"/>
                <w:sz w:val="21"/>
                <w:szCs w:val="21"/>
                <w:shd w:val="clear" w:color="auto" w:fill="FFFFFF"/>
                <w:lang w:val="en-US" w:eastAsia="zh-CN" w:bidi="ar-SA"/>
              </w:rPr>
            </w:pPr>
          </w:p>
        </w:tc>
        <w:tc>
          <w:tcPr>
            <w:tcW w:w="74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sz w:val="21"/>
                <w:szCs w:val="21"/>
              </w:rPr>
              <w:t>≥</w:t>
            </w:r>
          </w:p>
        </w:tc>
        <w:tc>
          <w:tcPr>
            <w:tcW w:w="733" w:type="dxa"/>
            <w:tcBorders>
              <w:top w:val="single" w:color="000000" w:sz="4" w:space="0"/>
              <w:left w:val="single" w:color="000000" w:sz="4" w:space="0"/>
              <w:bottom w:val="single" w:color="000000" w:sz="4" w:space="0"/>
              <w:right w:val="single" w:color="000000" w:sz="4" w:space="0"/>
            </w:tcBorders>
            <w:noWrap/>
            <w:vAlign w:val="center"/>
          </w:tcPr>
          <w:p>
            <w:pPr>
              <w:rPr>
                <w:rFonts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90</w:t>
            </w:r>
          </w:p>
        </w:tc>
        <w:tc>
          <w:tcPr>
            <w:tcW w:w="6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项</w:t>
            </w:r>
          </w:p>
        </w:tc>
        <w:tc>
          <w:tcPr>
            <w:tcW w:w="467" w:type="dxa"/>
            <w:tcBorders>
              <w:top w:val="single" w:color="000000" w:sz="4" w:space="0"/>
              <w:left w:val="single" w:color="000000" w:sz="4" w:space="0"/>
              <w:bottom w:val="single" w:color="000000" w:sz="4" w:space="0"/>
              <w:right w:val="nil"/>
            </w:tcBorders>
            <w:noWrap/>
            <w:vAlign w:val="center"/>
          </w:tcPr>
          <w:p>
            <w:pPr>
              <w:rPr>
                <w:rFonts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90</w:t>
            </w:r>
          </w:p>
        </w:tc>
        <w:tc>
          <w:tcPr>
            <w:tcW w:w="921" w:type="dxa"/>
            <w:tcBorders>
              <w:top w:val="single" w:color="000000" w:sz="4" w:space="0"/>
              <w:left w:val="single" w:color="000000" w:sz="4" w:space="0"/>
              <w:bottom w:val="single" w:color="000000" w:sz="4" w:space="0"/>
              <w:right w:val="single" w:color="000000" w:sz="4" w:space="0"/>
            </w:tcBorders>
            <w:noWrap/>
            <w:vAlign w:val="center"/>
          </w:tcPr>
          <w:p>
            <w:pPr>
              <w:rPr>
                <w:rFonts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100%完成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93" w:hRule="atLeast"/>
        </w:trPr>
        <w:tc>
          <w:tcPr>
            <w:tcW w:w="1002" w:type="dxa"/>
            <w:vMerge w:val="continue"/>
            <w:tcBorders>
              <w:top w:val="nil"/>
              <w:left w:val="single" w:color="auto" w:sz="4" w:space="0"/>
              <w:bottom w:val="nil"/>
              <w:right w:val="single" w:color="000000" w:sz="4" w:space="0"/>
            </w:tcBorders>
            <w:noWrap/>
            <w:vAlign w:val="center"/>
          </w:tcPr>
          <w:p/>
        </w:tc>
        <w:tc>
          <w:tcPr>
            <w:tcW w:w="5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效益指标</w:t>
            </w:r>
          </w:p>
        </w:tc>
        <w:tc>
          <w:tcPr>
            <w:tcW w:w="92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社会效益指标</w:t>
            </w:r>
          </w:p>
        </w:tc>
        <w:tc>
          <w:tcPr>
            <w:tcW w:w="4150" w:type="dxa"/>
            <w:tcBorders>
              <w:top w:val="single" w:color="000000" w:sz="4" w:space="0"/>
              <w:left w:val="single" w:color="000000" w:sz="4" w:space="0"/>
              <w:bottom w:val="single" w:color="000000" w:sz="4" w:space="0"/>
              <w:right w:val="single" w:color="000000" w:sz="4" w:space="0"/>
            </w:tcBorders>
            <w:noWrap/>
            <w:vAlign w:val="center"/>
          </w:tcPr>
          <w:p>
            <w:pPr>
              <w:rPr>
                <w:rFonts w:ascii="仿宋" w:eastAsia="仿宋" w:cs="Times New Roman"/>
                <w:sz w:val="21"/>
                <w:szCs w:val="21"/>
                <w:shd w:val="clear" w:color="auto" w:fill="FFFFFF"/>
                <w:lang w:val="en-US" w:eastAsia="zh-CN"/>
              </w:rPr>
            </w:pPr>
            <w:r>
              <w:rPr>
                <w:rFonts w:hint="eastAsia" w:ascii="仿宋" w:eastAsia="仿宋" w:cs="Times New Roman"/>
                <w:sz w:val="21"/>
                <w:szCs w:val="21"/>
                <w:shd w:val="clear" w:color="auto" w:fill="FFFFFF"/>
              </w:rPr>
              <w:t>20</w:t>
            </w:r>
            <w:r>
              <w:rPr>
                <w:rFonts w:hint="eastAsia" w:ascii="仿宋" w:eastAsia="仿宋" w:cs="Times New Roman"/>
                <w:sz w:val="21"/>
                <w:szCs w:val="21"/>
                <w:shd w:val="clear" w:color="auto" w:fill="FFFFFF"/>
                <w:lang w:val="en-US" w:eastAsia="zh-CN"/>
              </w:rPr>
              <w:t>25</w:t>
            </w:r>
            <w:r>
              <w:rPr>
                <w:rFonts w:hint="eastAsia" w:ascii="仿宋" w:eastAsia="仿宋" w:cs="Times New Roman"/>
                <w:sz w:val="21"/>
                <w:szCs w:val="21"/>
                <w:shd w:val="clear" w:color="auto" w:fill="FFFFFF"/>
              </w:rPr>
              <w:t>年一般公共预算支出总计</w:t>
            </w:r>
            <w:r>
              <w:rPr>
                <w:rFonts w:hint="eastAsia" w:ascii="仿宋" w:eastAsia="仿宋" w:cs="仿宋"/>
                <w:i w:val="0"/>
                <w:color w:val="000000"/>
                <w:kern w:val="0"/>
                <w:sz w:val="21"/>
                <w:szCs w:val="21"/>
                <w:u w:val="none"/>
                <w:lang w:val="en-US" w:eastAsia="zh-CN"/>
              </w:rPr>
              <w:t>982.24</w:t>
            </w:r>
            <w:r>
              <w:rPr>
                <w:rFonts w:hint="eastAsia" w:ascii="仿宋" w:eastAsia="仿宋" w:cs="Times New Roman"/>
                <w:sz w:val="21"/>
                <w:szCs w:val="21"/>
                <w:shd w:val="clear" w:color="auto" w:fill="FFFFFF"/>
              </w:rPr>
              <w:t>万元，其中基本支出</w:t>
            </w:r>
            <w:r>
              <w:rPr>
                <w:rFonts w:hint="eastAsia" w:ascii="仿宋" w:eastAsia="仿宋" w:cs="仿宋"/>
                <w:i w:val="0"/>
                <w:color w:val="000000"/>
                <w:kern w:val="0"/>
                <w:sz w:val="21"/>
                <w:szCs w:val="21"/>
                <w:u w:val="none"/>
                <w:lang w:val="en-US" w:eastAsia="zh-CN"/>
              </w:rPr>
              <w:t>982.24</w:t>
            </w:r>
            <w:r>
              <w:rPr>
                <w:rFonts w:hint="eastAsia" w:ascii="仿宋" w:eastAsia="仿宋" w:cs="Times New Roman"/>
                <w:sz w:val="21"/>
                <w:szCs w:val="21"/>
                <w:shd w:val="clear" w:color="auto" w:fill="FFFFFF"/>
              </w:rPr>
              <w:t>万元。主要用于年内</w:t>
            </w:r>
            <w:r>
              <w:rPr>
                <w:rFonts w:hint="eastAsia" w:ascii="仿宋" w:eastAsia="仿宋" w:cs="Times New Roman"/>
                <w:sz w:val="21"/>
                <w:szCs w:val="21"/>
                <w:shd w:val="clear" w:color="auto" w:fill="FFFFFF"/>
                <w:lang w:eastAsia="zh-CN"/>
              </w:rPr>
              <w:t>人大常委会机关</w:t>
            </w:r>
            <w:r>
              <w:rPr>
                <w:rFonts w:hint="eastAsia" w:ascii="仿宋" w:eastAsia="仿宋" w:cs="Times New Roman"/>
                <w:sz w:val="21"/>
                <w:szCs w:val="21"/>
                <w:shd w:val="clear" w:color="auto" w:fill="FFFFFF"/>
              </w:rPr>
              <w:t>人员和日常公用经费等支出，切实保证机关的正常运转。</w:t>
            </w:r>
            <w:r>
              <w:rPr>
                <w:rFonts w:hint="eastAsia" w:ascii="仿宋" w:eastAsia="仿宋" w:cs="Times New Roman"/>
                <w:sz w:val="21"/>
                <w:szCs w:val="21"/>
                <w:shd w:val="clear" w:color="auto" w:fill="FFFFFF"/>
                <w:lang w:eastAsia="zh-CN"/>
              </w:rPr>
              <w:t>项目经费</w:t>
            </w:r>
            <w:r>
              <w:rPr>
                <w:rFonts w:hint="eastAsia" w:ascii="仿宋" w:eastAsia="仿宋" w:cs="Times New Roman"/>
                <w:sz w:val="21"/>
                <w:szCs w:val="21"/>
                <w:shd w:val="clear" w:color="auto" w:fill="FFFFFF"/>
                <w:lang w:val="en-US" w:eastAsia="zh-CN"/>
              </w:rPr>
              <w:t>120.87万元，其中人大会议65.52万元、人大代表培训费5.48万元、人大监督17.88万元、代表工作31.99万元。</w:t>
            </w:r>
          </w:p>
          <w:p>
            <w:pPr>
              <w:rPr>
                <w:rFonts w:hint="eastAsia" w:ascii="仿宋" w:eastAsia="仿宋" w:cs="Times New Roman"/>
                <w:kern w:val="2"/>
                <w:sz w:val="21"/>
                <w:szCs w:val="21"/>
                <w:shd w:val="clear" w:color="auto" w:fill="FFFFFF"/>
                <w:lang w:val="en-US" w:eastAsia="zh-CN" w:bidi="ar-SA"/>
              </w:rPr>
            </w:pPr>
          </w:p>
        </w:tc>
        <w:tc>
          <w:tcPr>
            <w:tcW w:w="74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sz w:val="21"/>
                <w:szCs w:val="21"/>
              </w:rPr>
              <w:t>≥</w:t>
            </w:r>
          </w:p>
        </w:tc>
        <w:tc>
          <w:tcPr>
            <w:tcW w:w="733"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Times New Roman" w:hAnsi="Times New Roman" w:eastAsia="仿宋_GB2312" w:cs="Times New Roman"/>
                <w:kern w:val="2"/>
                <w:sz w:val="32"/>
                <w:szCs w:val="24"/>
                <w:lang w:val="en-US" w:eastAsia="zh-CN" w:bidi="ar-SA"/>
              </w:rPr>
            </w:pPr>
            <w:r>
              <w:rPr>
                <w:rFonts w:hint="eastAsia" w:ascii="仿宋" w:eastAsia="仿宋" w:cs="Times New Roman"/>
                <w:kern w:val="2"/>
                <w:sz w:val="21"/>
                <w:szCs w:val="21"/>
                <w:shd w:val="clear" w:color="auto" w:fill="FFFFFF"/>
                <w:lang w:val="en-US" w:eastAsia="zh-CN" w:bidi="ar-SA"/>
              </w:rPr>
              <w:t>90</w:t>
            </w:r>
          </w:p>
        </w:tc>
        <w:tc>
          <w:tcPr>
            <w:tcW w:w="6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项</w:t>
            </w:r>
          </w:p>
        </w:tc>
        <w:tc>
          <w:tcPr>
            <w:tcW w:w="467" w:type="dxa"/>
            <w:tcBorders>
              <w:top w:val="single" w:color="000000" w:sz="4" w:space="0"/>
              <w:left w:val="single" w:color="000000" w:sz="4" w:space="0"/>
              <w:bottom w:val="single" w:color="000000" w:sz="4" w:space="0"/>
              <w:right w:val="nil"/>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90</w:t>
            </w:r>
          </w:p>
        </w:tc>
        <w:tc>
          <w:tcPr>
            <w:tcW w:w="92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100%完成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611" w:hRule="atLeast"/>
        </w:trPr>
        <w:tc>
          <w:tcPr>
            <w:tcW w:w="1002" w:type="dxa"/>
            <w:vMerge w:val="continue"/>
            <w:tcBorders>
              <w:top w:val="nil"/>
              <w:left w:val="single" w:color="auto" w:sz="4" w:space="0"/>
              <w:bottom w:val="nil"/>
              <w:right w:val="single" w:color="000000" w:sz="4" w:space="0"/>
            </w:tcBorders>
            <w:noWrap/>
            <w:vAlign w:val="center"/>
          </w:tcPr>
          <w:p/>
        </w:tc>
        <w:tc>
          <w:tcPr>
            <w:tcW w:w="5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满意度指标</w:t>
            </w:r>
          </w:p>
        </w:tc>
        <w:tc>
          <w:tcPr>
            <w:tcW w:w="92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满意度指标</w:t>
            </w:r>
          </w:p>
        </w:tc>
        <w:tc>
          <w:tcPr>
            <w:tcW w:w="4150" w:type="dxa"/>
            <w:tcBorders>
              <w:top w:val="single" w:color="000000" w:sz="4" w:space="0"/>
              <w:left w:val="single" w:color="000000" w:sz="4" w:space="0"/>
              <w:bottom w:val="single" w:color="000000" w:sz="4" w:space="0"/>
              <w:right w:val="single" w:color="000000" w:sz="4" w:space="0"/>
            </w:tcBorders>
            <w:noWrap/>
            <w:vAlign w:val="center"/>
          </w:tcPr>
          <w:p>
            <w:pPr>
              <w:rPr>
                <w:rFonts w:ascii="仿宋" w:eastAsia="仿宋" w:cs="Times New Roman"/>
                <w:sz w:val="21"/>
                <w:szCs w:val="21"/>
                <w:shd w:val="clear" w:color="auto" w:fill="FFFFFF"/>
                <w:lang w:val="en-US" w:eastAsia="zh-CN"/>
              </w:rPr>
            </w:pPr>
            <w:r>
              <w:rPr>
                <w:rFonts w:hint="eastAsia" w:ascii="仿宋" w:eastAsia="仿宋" w:cs="Times New Roman"/>
                <w:sz w:val="21"/>
                <w:szCs w:val="21"/>
                <w:shd w:val="clear" w:color="auto" w:fill="FFFFFF"/>
              </w:rPr>
              <w:t>20</w:t>
            </w:r>
            <w:r>
              <w:rPr>
                <w:rFonts w:hint="eastAsia" w:ascii="仿宋" w:eastAsia="仿宋" w:cs="Times New Roman"/>
                <w:sz w:val="21"/>
                <w:szCs w:val="21"/>
                <w:shd w:val="clear" w:color="auto" w:fill="FFFFFF"/>
                <w:lang w:val="en-US" w:eastAsia="zh-CN"/>
              </w:rPr>
              <w:t>25</w:t>
            </w:r>
            <w:r>
              <w:rPr>
                <w:rFonts w:hint="eastAsia" w:ascii="仿宋" w:eastAsia="仿宋" w:cs="Times New Roman"/>
                <w:sz w:val="21"/>
                <w:szCs w:val="21"/>
                <w:shd w:val="clear" w:color="auto" w:fill="FFFFFF"/>
              </w:rPr>
              <w:t>年一般公共预算支出总计</w:t>
            </w:r>
            <w:r>
              <w:rPr>
                <w:rFonts w:hint="eastAsia" w:ascii="仿宋" w:eastAsia="仿宋" w:cs="仿宋"/>
                <w:i w:val="0"/>
                <w:color w:val="000000"/>
                <w:kern w:val="0"/>
                <w:sz w:val="21"/>
                <w:szCs w:val="21"/>
                <w:u w:val="none"/>
                <w:lang w:val="en-US" w:eastAsia="zh-CN"/>
              </w:rPr>
              <w:t>982.24</w:t>
            </w:r>
            <w:r>
              <w:rPr>
                <w:rFonts w:hint="eastAsia" w:ascii="仿宋" w:eastAsia="仿宋" w:cs="Times New Roman"/>
                <w:sz w:val="21"/>
                <w:szCs w:val="21"/>
                <w:shd w:val="clear" w:color="auto" w:fill="FFFFFF"/>
              </w:rPr>
              <w:t>万元，其中基本支出</w:t>
            </w:r>
            <w:r>
              <w:rPr>
                <w:rFonts w:hint="eastAsia" w:ascii="仿宋" w:eastAsia="仿宋" w:cs="仿宋"/>
                <w:i w:val="0"/>
                <w:color w:val="000000"/>
                <w:kern w:val="0"/>
                <w:sz w:val="21"/>
                <w:szCs w:val="21"/>
                <w:u w:val="none"/>
                <w:lang w:val="en-US" w:eastAsia="zh-CN"/>
              </w:rPr>
              <w:t>982.24</w:t>
            </w:r>
            <w:r>
              <w:rPr>
                <w:rFonts w:hint="eastAsia" w:ascii="仿宋" w:eastAsia="仿宋" w:cs="Times New Roman"/>
                <w:sz w:val="21"/>
                <w:szCs w:val="21"/>
                <w:shd w:val="clear" w:color="auto" w:fill="FFFFFF"/>
              </w:rPr>
              <w:t>万元。主要用于年内</w:t>
            </w:r>
            <w:r>
              <w:rPr>
                <w:rFonts w:hint="eastAsia" w:ascii="仿宋" w:eastAsia="仿宋" w:cs="Times New Roman"/>
                <w:sz w:val="21"/>
                <w:szCs w:val="21"/>
                <w:shd w:val="clear" w:color="auto" w:fill="FFFFFF"/>
                <w:lang w:eastAsia="zh-CN"/>
              </w:rPr>
              <w:t>人大常委会机关</w:t>
            </w:r>
            <w:r>
              <w:rPr>
                <w:rFonts w:hint="eastAsia" w:ascii="仿宋" w:eastAsia="仿宋" w:cs="Times New Roman"/>
                <w:sz w:val="21"/>
                <w:szCs w:val="21"/>
                <w:shd w:val="clear" w:color="auto" w:fill="FFFFFF"/>
              </w:rPr>
              <w:t>人员和日常公用经费等支出，切实保证机关的正常运转。</w:t>
            </w:r>
            <w:r>
              <w:rPr>
                <w:rFonts w:hint="eastAsia" w:ascii="仿宋" w:eastAsia="仿宋" w:cs="Times New Roman"/>
                <w:sz w:val="21"/>
                <w:szCs w:val="21"/>
                <w:shd w:val="clear" w:color="auto" w:fill="FFFFFF"/>
                <w:lang w:eastAsia="zh-CN"/>
              </w:rPr>
              <w:t>项目经费</w:t>
            </w:r>
            <w:r>
              <w:rPr>
                <w:rFonts w:hint="eastAsia" w:ascii="仿宋" w:eastAsia="仿宋" w:cs="Times New Roman"/>
                <w:sz w:val="21"/>
                <w:szCs w:val="21"/>
                <w:shd w:val="clear" w:color="auto" w:fill="FFFFFF"/>
                <w:lang w:val="en-US" w:eastAsia="zh-CN"/>
              </w:rPr>
              <w:t>120.87万元，其中人大会议65.52万元、人大代表培训费5.48万元、人大监督17.88万元、代表工作31.99万元。</w:t>
            </w:r>
          </w:p>
          <w:p>
            <w:pPr>
              <w:rPr>
                <w:rFonts w:hint="eastAsia" w:ascii="仿宋" w:eastAsia="仿宋" w:cs="Times New Roman"/>
                <w:kern w:val="2"/>
                <w:sz w:val="21"/>
                <w:szCs w:val="21"/>
                <w:shd w:val="clear" w:color="auto" w:fill="FFFFFF"/>
                <w:lang w:val="en-US" w:eastAsia="zh-CN" w:bidi="ar-SA"/>
              </w:rPr>
            </w:pPr>
          </w:p>
        </w:tc>
        <w:tc>
          <w:tcPr>
            <w:tcW w:w="74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sz w:val="21"/>
                <w:szCs w:val="21"/>
              </w:rPr>
              <w:t>≥</w:t>
            </w:r>
          </w:p>
        </w:tc>
        <w:tc>
          <w:tcPr>
            <w:tcW w:w="733"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90</w:t>
            </w:r>
          </w:p>
        </w:tc>
        <w:tc>
          <w:tcPr>
            <w:tcW w:w="6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项</w:t>
            </w:r>
          </w:p>
        </w:tc>
        <w:tc>
          <w:tcPr>
            <w:tcW w:w="467" w:type="dxa"/>
            <w:tcBorders>
              <w:top w:val="single" w:color="000000" w:sz="4" w:space="0"/>
              <w:left w:val="single" w:color="000000" w:sz="4" w:space="0"/>
              <w:bottom w:val="single" w:color="000000" w:sz="4" w:space="0"/>
              <w:right w:val="nil"/>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90</w:t>
            </w:r>
          </w:p>
        </w:tc>
        <w:tc>
          <w:tcPr>
            <w:tcW w:w="92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100%完成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24" w:hRule="atLeast"/>
        </w:trPr>
        <w:tc>
          <w:tcPr>
            <w:tcW w:w="1002" w:type="dxa"/>
            <w:tcBorders>
              <w:top w:val="nil"/>
              <w:left w:val="single" w:color="auto"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p>
        </w:tc>
        <w:tc>
          <w:tcPr>
            <w:tcW w:w="5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成本指标</w:t>
            </w:r>
          </w:p>
        </w:tc>
        <w:tc>
          <w:tcPr>
            <w:tcW w:w="92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社会成本指标</w:t>
            </w:r>
          </w:p>
        </w:tc>
        <w:tc>
          <w:tcPr>
            <w:tcW w:w="4150" w:type="dxa"/>
            <w:tcBorders>
              <w:top w:val="single" w:color="000000" w:sz="4" w:space="0"/>
              <w:left w:val="single" w:color="000000" w:sz="4" w:space="0"/>
              <w:bottom w:val="single" w:color="000000" w:sz="4" w:space="0"/>
              <w:right w:val="single" w:color="000000" w:sz="4" w:space="0"/>
            </w:tcBorders>
            <w:noWrap/>
            <w:vAlign w:val="center"/>
          </w:tcPr>
          <w:p>
            <w:pPr>
              <w:rPr>
                <w:rFonts w:ascii="仿宋" w:eastAsia="仿宋" w:cs="Times New Roman"/>
                <w:sz w:val="21"/>
                <w:szCs w:val="21"/>
                <w:shd w:val="clear" w:color="auto" w:fill="FFFFFF"/>
                <w:lang w:val="en-US" w:eastAsia="zh-CN"/>
              </w:rPr>
            </w:pPr>
            <w:r>
              <w:rPr>
                <w:rFonts w:hint="eastAsia" w:ascii="仿宋" w:eastAsia="仿宋" w:cs="Times New Roman"/>
                <w:sz w:val="21"/>
                <w:szCs w:val="21"/>
                <w:shd w:val="clear" w:color="auto" w:fill="FFFFFF"/>
              </w:rPr>
              <w:t>20</w:t>
            </w:r>
            <w:r>
              <w:rPr>
                <w:rFonts w:hint="eastAsia" w:ascii="仿宋" w:eastAsia="仿宋" w:cs="Times New Roman"/>
                <w:sz w:val="21"/>
                <w:szCs w:val="21"/>
                <w:shd w:val="clear" w:color="auto" w:fill="FFFFFF"/>
                <w:lang w:val="en-US" w:eastAsia="zh-CN"/>
              </w:rPr>
              <w:t>25</w:t>
            </w:r>
            <w:r>
              <w:rPr>
                <w:rFonts w:hint="eastAsia" w:ascii="仿宋" w:eastAsia="仿宋" w:cs="Times New Roman"/>
                <w:sz w:val="21"/>
                <w:szCs w:val="21"/>
                <w:shd w:val="clear" w:color="auto" w:fill="FFFFFF"/>
              </w:rPr>
              <w:t>年一般公共预算支出总计</w:t>
            </w:r>
            <w:r>
              <w:rPr>
                <w:rFonts w:hint="eastAsia" w:ascii="仿宋" w:eastAsia="仿宋" w:cs="仿宋"/>
                <w:i w:val="0"/>
                <w:color w:val="000000"/>
                <w:kern w:val="0"/>
                <w:sz w:val="21"/>
                <w:szCs w:val="21"/>
                <w:u w:val="none"/>
                <w:lang w:val="en-US" w:eastAsia="zh-CN"/>
              </w:rPr>
              <w:t>982.24</w:t>
            </w:r>
            <w:r>
              <w:rPr>
                <w:rFonts w:hint="eastAsia" w:ascii="仿宋" w:eastAsia="仿宋" w:cs="Times New Roman"/>
                <w:sz w:val="21"/>
                <w:szCs w:val="21"/>
                <w:shd w:val="clear" w:color="auto" w:fill="FFFFFF"/>
              </w:rPr>
              <w:t>万元，其中基本支出</w:t>
            </w:r>
            <w:r>
              <w:rPr>
                <w:rFonts w:hint="eastAsia" w:ascii="仿宋" w:eastAsia="仿宋" w:cs="仿宋"/>
                <w:i w:val="0"/>
                <w:color w:val="000000"/>
                <w:kern w:val="0"/>
                <w:sz w:val="21"/>
                <w:szCs w:val="21"/>
                <w:u w:val="none"/>
                <w:lang w:val="en-US" w:eastAsia="zh-CN"/>
              </w:rPr>
              <w:t>982.24</w:t>
            </w:r>
            <w:r>
              <w:rPr>
                <w:rFonts w:hint="eastAsia" w:ascii="仿宋" w:eastAsia="仿宋" w:cs="Times New Roman"/>
                <w:sz w:val="21"/>
                <w:szCs w:val="21"/>
                <w:shd w:val="clear" w:color="auto" w:fill="FFFFFF"/>
              </w:rPr>
              <w:t>万元。主要用于年内</w:t>
            </w:r>
            <w:r>
              <w:rPr>
                <w:rFonts w:hint="eastAsia" w:ascii="仿宋" w:eastAsia="仿宋" w:cs="Times New Roman"/>
                <w:sz w:val="21"/>
                <w:szCs w:val="21"/>
                <w:shd w:val="clear" w:color="auto" w:fill="FFFFFF"/>
                <w:lang w:eastAsia="zh-CN"/>
              </w:rPr>
              <w:t>人大常委会机关</w:t>
            </w:r>
            <w:r>
              <w:rPr>
                <w:rFonts w:hint="eastAsia" w:ascii="仿宋" w:eastAsia="仿宋" w:cs="Times New Roman"/>
                <w:sz w:val="21"/>
                <w:szCs w:val="21"/>
                <w:shd w:val="clear" w:color="auto" w:fill="FFFFFF"/>
              </w:rPr>
              <w:t>人员和日常公用经费等支出，切实保证机关的正常运转。</w:t>
            </w:r>
            <w:r>
              <w:rPr>
                <w:rFonts w:hint="eastAsia" w:ascii="仿宋" w:eastAsia="仿宋" w:cs="Times New Roman"/>
                <w:sz w:val="21"/>
                <w:szCs w:val="21"/>
                <w:shd w:val="clear" w:color="auto" w:fill="FFFFFF"/>
                <w:lang w:eastAsia="zh-CN"/>
              </w:rPr>
              <w:t>项目经费</w:t>
            </w:r>
            <w:r>
              <w:rPr>
                <w:rFonts w:hint="eastAsia" w:ascii="仿宋" w:eastAsia="仿宋" w:cs="Times New Roman"/>
                <w:sz w:val="21"/>
                <w:szCs w:val="21"/>
                <w:shd w:val="clear" w:color="auto" w:fill="FFFFFF"/>
                <w:lang w:val="en-US" w:eastAsia="zh-CN"/>
              </w:rPr>
              <w:t>120.87万元，其中人大会议65.52万元、人大代表培训费5.48万元、人大监督17.88万元、代表工作31.99万元。</w:t>
            </w:r>
          </w:p>
          <w:p>
            <w:pPr>
              <w:rPr>
                <w:rFonts w:hint="eastAsia" w:ascii="仿宋" w:eastAsia="仿宋" w:cs="Times New Roman"/>
                <w:kern w:val="2"/>
                <w:sz w:val="21"/>
                <w:szCs w:val="21"/>
                <w:shd w:val="clear" w:color="auto" w:fill="FFFFFF"/>
                <w:lang w:val="en-US" w:eastAsia="zh-CN" w:bidi="ar-SA"/>
              </w:rPr>
            </w:pPr>
          </w:p>
        </w:tc>
        <w:tc>
          <w:tcPr>
            <w:tcW w:w="74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sz w:val="21"/>
                <w:szCs w:val="21"/>
              </w:rPr>
              <w:t>≥</w:t>
            </w:r>
          </w:p>
        </w:tc>
        <w:tc>
          <w:tcPr>
            <w:tcW w:w="733"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90</w:t>
            </w:r>
          </w:p>
        </w:tc>
        <w:tc>
          <w:tcPr>
            <w:tcW w:w="6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项</w:t>
            </w:r>
          </w:p>
        </w:tc>
        <w:tc>
          <w:tcPr>
            <w:tcW w:w="467" w:type="dxa"/>
            <w:tcBorders>
              <w:top w:val="single" w:color="000000" w:sz="4" w:space="0"/>
              <w:left w:val="single" w:color="000000" w:sz="4" w:space="0"/>
              <w:bottom w:val="single" w:color="000000" w:sz="4" w:space="0"/>
              <w:right w:val="nil"/>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90</w:t>
            </w:r>
          </w:p>
        </w:tc>
        <w:tc>
          <w:tcPr>
            <w:tcW w:w="92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s="Times New Roman"/>
                <w:kern w:val="2"/>
                <w:sz w:val="21"/>
                <w:szCs w:val="21"/>
                <w:shd w:val="clear" w:color="auto" w:fill="FFFFFF"/>
                <w:lang w:val="en-US" w:eastAsia="zh-CN" w:bidi="ar-SA"/>
              </w:rPr>
            </w:pPr>
            <w:r>
              <w:rPr>
                <w:rFonts w:hint="eastAsia" w:ascii="仿宋" w:eastAsia="仿宋" w:cs="Times New Roman"/>
                <w:kern w:val="2"/>
                <w:sz w:val="21"/>
                <w:szCs w:val="21"/>
                <w:shd w:val="clear" w:color="auto" w:fill="FFFFFF"/>
                <w:lang w:val="en-US" w:eastAsia="zh-CN" w:bidi="ar-SA"/>
              </w:rPr>
              <w:t>100%完成</w:t>
            </w:r>
          </w:p>
        </w:tc>
      </w:tr>
    </w:tbl>
    <w:p>
      <w:pPr>
        <w:snapToGrid w:val="0"/>
        <w:spacing w:line="360" w:lineRule="auto"/>
        <w:jc w:val="both"/>
        <w:rPr>
          <w:rFonts w:hint="eastAsia" w:ascii="仿宋" w:eastAsia="仿宋"/>
          <w:sz w:val="32"/>
          <w:szCs w:val="32"/>
          <w:lang w:val="en-US" w:eastAsia="zh-CN"/>
        </w:rPr>
      </w:pPr>
    </w:p>
    <w:p>
      <w:pPr>
        <w:snapToGrid w:val="0"/>
        <w:spacing w:line="360" w:lineRule="auto"/>
        <w:ind w:firstLine="640" w:firstLineChars="200"/>
        <w:jc w:val="right"/>
        <w:rPr>
          <w:rFonts w:hint="eastAsia" w:ascii="仿宋" w:eastAsia="仿宋"/>
          <w:sz w:val="32"/>
          <w:szCs w:val="32"/>
          <w:lang w:val="en-US" w:eastAsia="zh-CN"/>
        </w:rPr>
      </w:pPr>
    </w:p>
    <w:p>
      <w:pPr>
        <w:snapToGrid w:val="0"/>
        <w:spacing w:line="360" w:lineRule="auto"/>
        <w:rPr>
          <w:rFonts w:hint="eastAsia" w:ascii="仿宋" w:hAnsi="仿宋" w:eastAsia="仿宋"/>
          <w:sz w:val="32"/>
          <w:szCs w:val="32"/>
          <w:lang w:val="en-US" w:eastAsia="zh-CN"/>
        </w:rPr>
      </w:pPr>
    </w:p>
    <w:p>
      <w:pPr>
        <w:snapToGrid w:val="0"/>
        <w:spacing w:line="360" w:lineRule="auto"/>
        <w:ind w:firstLine="640" w:firstLineChars="200"/>
        <w:jc w:val="right"/>
        <w:rPr>
          <w:rFonts w:hint="default" w:ascii="仿宋" w:hAnsi="仿宋" w:eastAsia="仿宋"/>
          <w:sz w:val="32"/>
          <w:szCs w:val="32"/>
          <w:lang w:val="en-US" w:eastAsia="zh-CN"/>
        </w:rPr>
      </w:pPr>
      <w:r>
        <w:rPr>
          <w:rFonts w:hint="eastAsia" w:ascii="仿宋" w:hAnsi="仿宋" w:eastAsia="仿宋"/>
          <w:sz w:val="32"/>
          <w:szCs w:val="32"/>
          <w:lang w:val="en-US" w:eastAsia="zh-CN"/>
        </w:rPr>
        <w:t>202</w:t>
      </w:r>
      <w:r>
        <w:rPr>
          <w:rFonts w:hint="default" w:ascii="仿宋" w:hAnsi="仿宋" w:eastAsia="仿宋"/>
          <w:sz w:val="32"/>
          <w:szCs w:val="32"/>
          <w:lang w:val="en-US" w:eastAsia="zh-CN"/>
        </w:rPr>
        <w:t>6</w:t>
      </w:r>
      <w:r>
        <w:rPr>
          <w:rFonts w:hint="eastAsia" w:ascii="仿宋" w:hAnsi="仿宋" w:eastAsia="仿宋"/>
          <w:sz w:val="32"/>
          <w:szCs w:val="32"/>
          <w:lang w:val="en-US" w:eastAsia="zh-CN"/>
        </w:rPr>
        <w:t>年8月</w:t>
      </w:r>
      <w:r>
        <w:rPr>
          <w:rFonts w:hint="default" w:ascii="仿宋" w:hAnsi="仿宋" w:eastAsia="仿宋"/>
          <w:sz w:val="32"/>
          <w:szCs w:val="32"/>
          <w:lang w:val="en-US" w:eastAsia="zh-CN"/>
        </w:rPr>
        <w:t>1</w:t>
      </w:r>
      <w:r>
        <w:rPr>
          <w:rFonts w:hint="eastAsia" w:ascii="仿宋" w:hAnsi="仿宋" w:eastAsia="仿宋"/>
          <w:sz w:val="32"/>
          <w:szCs w:val="32"/>
          <w:lang w:val="en-US" w:eastAsia="zh-CN"/>
        </w:rPr>
        <w:t>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00007A87" w:usb1="80000000" w:usb2="00000008" w:usb3="00000000" w:csb0="400001FF" w:csb1="FFFF0000"/>
  </w:font>
  <w:font w:name="宋体">
    <w:altName w:val="方正书宋_GBK"/>
    <w:panose1 w:val="00000000000000000000"/>
    <w:charset w:val="01"/>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TFhM2IzOGQ0NGYzZmZjNWY3ZDYyMzZjMTI0ZWM5ZTQifQ=="/>
  </w:docVars>
  <w:rsids>
    <w:rsidRoot w:val="00491B22"/>
    <w:rsid w:val="00291808"/>
    <w:rsid w:val="003357D8"/>
    <w:rsid w:val="00491B22"/>
    <w:rsid w:val="0052390C"/>
    <w:rsid w:val="006B6D1F"/>
    <w:rsid w:val="00D04E5E"/>
    <w:rsid w:val="01055032"/>
    <w:rsid w:val="01DC390D"/>
    <w:rsid w:val="022C0730"/>
    <w:rsid w:val="04CE3D21"/>
    <w:rsid w:val="057C552B"/>
    <w:rsid w:val="06B31420"/>
    <w:rsid w:val="06D27AF8"/>
    <w:rsid w:val="0717375D"/>
    <w:rsid w:val="07D16002"/>
    <w:rsid w:val="08AE1E9F"/>
    <w:rsid w:val="08D14DA6"/>
    <w:rsid w:val="095073FA"/>
    <w:rsid w:val="0CA535B9"/>
    <w:rsid w:val="0CDA366E"/>
    <w:rsid w:val="0DCB704F"/>
    <w:rsid w:val="0ED91C40"/>
    <w:rsid w:val="10F468BD"/>
    <w:rsid w:val="11890582"/>
    <w:rsid w:val="11934328"/>
    <w:rsid w:val="122B630F"/>
    <w:rsid w:val="124D097B"/>
    <w:rsid w:val="127A1044"/>
    <w:rsid w:val="13E7095B"/>
    <w:rsid w:val="15FB9F65"/>
    <w:rsid w:val="17F65611"/>
    <w:rsid w:val="19082535"/>
    <w:rsid w:val="199F6E82"/>
    <w:rsid w:val="1A9A2283"/>
    <w:rsid w:val="1B1A1616"/>
    <w:rsid w:val="1CD20489"/>
    <w:rsid w:val="1D2B3667"/>
    <w:rsid w:val="1DA04055"/>
    <w:rsid w:val="1FE3647B"/>
    <w:rsid w:val="20004D08"/>
    <w:rsid w:val="20280331"/>
    <w:rsid w:val="22EC555B"/>
    <w:rsid w:val="232F19D7"/>
    <w:rsid w:val="23A67EEB"/>
    <w:rsid w:val="261A696E"/>
    <w:rsid w:val="271B474C"/>
    <w:rsid w:val="27840543"/>
    <w:rsid w:val="27A504B9"/>
    <w:rsid w:val="28C130D1"/>
    <w:rsid w:val="2A905C71"/>
    <w:rsid w:val="2AE76F28"/>
    <w:rsid w:val="2C2B4EAC"/>
    <w:rsid w:val="300761B5"/>
    <w:rsid w:val="30470360"/>
    <w:rsid w:val="318555E4"/>
    <w:rsid w:val="334E7C57"/>
    <w:rsid w:val="33AE06F6"/>
    <w:rsid w:val="34EB1F43"/>
    <w:rsid w:val="35CF0EDD"/>
    <w:rsid w:val="3619454C"/>
    <w:rsid w:val="36435EC2"/>
    <w:rsid w:val="36575075"/>
    <w:rsid w:val="36CE5337"/>
    <w:rsid w:val="37040D59"/>
    <w:rsid w:val="371AEE44"/>
    <w:rsid w:val="37C36E66"/>
    <w:rsid w:val="382611A3"/>
    <w:rsid w:val="38824072"/>
    <w:rsid w:val="38E452E6"/>
    <w:rsid w:val="392A081F"/>
    <w:rsid w:val="3C4542ED"/>
    <w:rsid w:val="3CB925E5"/>
    <w:rsid w:val="3D14529E"/>
    <w:rsid w:val="3D74650C"/>
    <w:rsid w:val="3E779A60"/>
    <w:rsid w:val="3ED100BA"/>
    <w:rsid w:val="3F5D2872"/>
    <w:rsid w:val="3F7BF2B9"/>
    <w:rsid w:val="3FDFC470"/>
    <w:rsid w:val="41E33B7F"/>
    <w:rsid w:val="42393649"/>
    <w:rsid w:val="42AC04F6"/>
    <w:rsid w:val="434A21E9"/>
    <w:rsid w:val="43655275"/>
    <w:rsid w:val="43B43B06"/>
    <w:rsid w:val="43FD725B"/>
    <w:rsid w:val="44F3240C"/>
    <w:rsid w:val="46164604"/>
    <w:rsid w:val="46B1257F"/>
    <w:rsid w:val="46BA7686"/>
    <w:rsid w:val="46F32B98"/>
    <w:rsid w:val="48401E0D"/>
    <w:rsid w:val="4846543F"/>
    <w:rsid w:val="489108BA"/>
    <w:rsid w:val="4CAE37E9"/>
    <w:rsid w:val="4D4E0B28"/>
    <w:rsid w:val="4DA22C22"/>
    <w:rsid w:val="4DD97D2F"/>
    <w:rsid w:val="4E3221F7"/>
    <w:rsid w:val="4E5C7274"/>
    <w:rsid w:val="4F041DE6"/>
    <w:rsid w:val="4F5A37B4"/>
    <w:rsid w:val="4FAB400F"/>
    <w:rsid w:val="50514E64"/>
    <w:rsid w:val="513D3ABD"/>
    <w:rsid w:val="515661FD"/>
    <w:rsid w:val="516C77CE"/>
    <w:rsid w:val="5197762D"/>
    <w:rsid w:val="51DA5080"/>
    <w:rsid w:val="53D84283"/>
    <w:rsid w:val="54DE4E87"/>
    <w:rsid w:val="56440D1A"/>
    <w:rsid w:val="56466840"/>
    <w:rsid w:val="56D584DE"/>
    <w:rsid w:val="5737087F"/>
    <w:rsid w:val="58DA5965"/>
    <w:rsid w:val="5A3D7F5A"/>
    <w:rsid w:val="5ADB706E"/>
    <w:rsid w:val="5B37B980"/>
    <w:rsid w:val="5B7EB309"/>
    <w:rsid w:val="5C361105"/>
    <w:rsid w:val="5C4F21C6"/>
    <w:rsid w:val="5C844566"/>
    <w:rsid w:val="5CB52971"/>
    <w:rsid w:val="5CDF79EE"/>
    <w:rsid w:val="5F090D52"/>
    <w:rsid w:val="5F835DF5"/>
    <w:rsid w:val="5FBDDEDD"/>
    <w:rsid w:val="5FDF73AB"/>
    <w:rsid w:val="60123C37"/>
    <w:rsid w:val="60D032A5"/>
    <w:rsid w:val="61842912"/>
    <w:rsid w:val="62C21944"/>
    <w:rsid w:val="64DF56DE"/>
    <w:rsid w:val="64ED07CF"/>
    <w:rsid w:val="6502427A"/>
    <w:rsid w:val="676F196F"/>
    <w:rsid w:val="679F5BB4"/>
    <w:rsid w:val="68AA7102"/>
    <w:rsid w:val="68D777CC"/>
    <w:rsid w:val="697E40EB"/>
    <w:rsid w:val="69B61AD7"/>
    <w:rsid w:val="6A050368"/>
    <w:rsid w:val="6AE306AA"/>
    <w:rsid w:val="6B513865"/>
    <w:rsid w:val="6C0C59DE"/>
    <w:rsid w:val="6C3E146A"/>
    <w:rsid w:val="6CBF0CA2"/>
    <w:rsid w:val="6ECEFD9C"/>
    <w:rsid w:val="6F1F1ECC"/>
    <w:rsid w:val="6F59557C"/>
    <w:rsid w:val="6F651FD5"/>
    <w:rsid w:val="6F677B35"/>
    <w:rsid w:val="6FF32624"/>
    <w:rsid w:val="709B37D5"/>
    <w:rsid w:val="72EF52E0"/>
    <w:rsid w:val="73DC5F5D"/>
    <w:rsid w:val="74D80B53"/>
    <w:rsid w:val="753F29A5"/>
    <w:rsid w:val="7601232C"/>
    <w:rsid w:val="777A2FB3"/>
    <w:rsid w:val="797D43BF"/>
    <w:rsid w:val="799528DD"/>
    <w:rsid w:val="79E41D48"/>
    <w:rsid w:val="7AE5AE0D"/>
    <w:rsid w:val="7AFB0014"/>
    <w:rsid w:val="7B5B24DE"/>
    <w:rsid w:val="7C430287"/>
    <w:rsid w:val="7CAD6D69"/>
    <w:rsid w:val="7D230DDA"/>
    <w:rsid w:val="7E5A5C53"/>
    <w:rsid w:val="7E851D4C"/>
    <w:rsid w:val="7EF56FBB"/>
    <w:rsid w:val="7F6FA27A"/>
    <w:rsid w:val="7F9935D5"/>
    <w:rsid w:val="7FFE2B75"/>
    <w:rsid w:val="9DDF5D2B"/>
    <w:rsid w:val="AEBD2FFE"/>
    <w:rsid w:val="BE77CEE3"/>
    <w:rsid w:val="CBF99639"/>
    <w:rsid w:val="CDFFB43D"/>
    <w:rsid w:val="DAFF4CAC"/>
    <w:rsid w:val="DBF96AA8"/>
    <w:rsid w:val="DCBF5A86"/>
    <w:rsid w:val="DFF65784"/>
    <w:rsid w:val="DFF7CCC8"/>
    <w:rsid w:val="EAF794A5"/>
    <w:rsid w:val="EBFB940D"/>
    <w:rsid w:val="ECF3536B"/>
    <w:rsid w:val="EDA53EC8"/>
    <w:rsid w:val="EEFDBB8D"/>
    <w:rsid w:val="EF7B479C"/>
    <w:rsid w:val="EFADFC22"/>
    <w:rsid w:val="EFF7C931"/>
    <w:rsid w:val="F5FFEF6E"/>
    <w:rsid w:val="F7DEA7D2"/>
    <w:rsid w:val="F97BDF3F"/>
    <w:rsid w:val="FA3F00C0"/>
    <w:rsid w:val="FBFEB8BA"/>
    <w:rsid w:val="FF1D321D"/>
    <w:rsid w:val="FFDE489B"/>
    <w:rsid w:val="FFFDD1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正文-公1"/>
    <w:basedOn w:val="3"/>
    <w:next w:val="1"/>
    <w:qFormat/>
    <w:uiPriority w:val="0"/>
    <w:pPr>
      <w:ind w:firstLine="200" w:firstLineChars="200"/>
    </w:pPr>
  </w:style>
  <w:style w:type="paragraph" w:customStyle="1" w:styleId="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
    <w:qFormat/>
    <w:uiPriority w:val="0"/>
    <w:pPr>
      <w:widowControl w:val="0"/>
      <w:jc w:val="both"/>
    </w:pPr>
    <w:rPr>
      <w:rFonts w:ascii="Times New Roman" w:hAnsi="Times New Roman" w:eastAsia="宋体" w:cs="Times New Roman"/>
      <w:kern w:val="2"/>
      <w:sz w:val="21"/>
      <w:lang w:val="en-US" w:eastAsia="zh-CN"/>
    </w:rPr>
  </w:style>
  <w:style w:type="paragraph" w:styleId="4">
    <w:name w:val="footer"/>
    <w:basedOn w:val="1"/>
    <w:link w:val="10"/>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table of figures"/>
    <w:basedOn w:val="1"/>
    <w:next w:val="1"/>
    <w:qFormat/>
    <w:uiPriority w:val="0"/>
    <w:pPr>
      <w:ind w:leftChars="200" w:hanging="200" w:hangingChars="200"/>
    </w:pPr>
  </w:style>
  <w:style w:type="character" w:customStyle="1" w:styleId="9">
    <w:name w:val="页眉 Char"/>
    <w:basedOn w:val="8"/>
    <w:link w:val="5"/>
    <w:semiHidden/>
    <w:qFormat/>
    <w:uiPriority w:val="99"/>
    <w:rPr>
      <w:sz w:val="18"/>
      <w:szCs w:val="18"/>
    </w:rPr>
  </w:style>
  <w:style w:type="character" w:customStyle="1" w:styleId="10">
    <w:name w:val="页脚 Char"/>
    <w:basedOn w:val="8"/>
    <w:link w:val="4"/>
    <w:semiHidden/>
    <w:qFormat/>
    <w:uiPriority w:val="99"/>
    <w:rPr>
      <w:sz w:val="18"/>
      <w:szCs w:val="18"/>
    </w:rPr>
  </w:style>
  <w:style w:type="character" w:customStyle="1" w:styleId="11">
    <w:name w:val="19"/>
    <w:basedOn w:val="8"/>
    <w:qFormat/>
    <w:uiPriority w:val="0"/>
    <w:rPr>
      <w:rFonts w:hint="default" w:ascii="Times New Roman" w:hAnsi="Times New Roman" w:cs="Times New Roman"/>
      <w:color w:val="0000FF"/>
      <w:u w:val="single"/>
    </w:rPr>
  </w:style>
  <w:style w:type="paragraph" w:customStyle="1" w:styleId="12">
    <w:name w:val="普通(网站) Char"/>
    <w:basedOn w:val="1"/>
    <w:qFormat/>
    <w:uiPriority w:val="0"/>
    <w:pPr>
      <w:spacing w:before="100" w:beforeAutospacing="1" w:after="100" w:afterAutospacing="1"/>
    </w:pPr>
  </w:style>
  <w:style w:type="character" w:customStyle="1" w:styleId="13">
    <w:name w:val="22"/>
    <w:basedOn w:val="8"/>
    <w:qFormat/>
    <w:uiPriority w:val="0"/>
    <w:rPr>
      <w:rFonts w:hint="default" w:ascii="Times New Roman" w:hAnsi="Times New Roman" w:cs="Times New Roman"/>
      <w:b/>
    </w:rPr>
  </w:style>
  <w:style w:type="paragraph" w:customStyle="1" w:styleId="14">
    <w:name w:val="NormalIndent"/>
    <w:next w:val="5"/>
    <w:qFormat/>
    <w:uiPriority w:val="0"/>
    <w:pPr>
      <w:widowControl w:val="0"/>
      <w:ind w:firstLine="200" w:firstLineChars="200"/>
      <w:jc w:val="both"/>
    </w:pPr>
    <w:rPr>
      <w:rFonts w:ascii="Times New Roman" w:hAnsi="Times New Roman" w:eastAsia="仿宋_GB2312" w:cs="Times New Roman"/>
      <w:kern w:val="2"/>
      <w:sz w:val="32"/>
      <w:szCs w:val="32"/>
      <w:lang w:val="en-US" w:eastAsia="zh-CN" w:bidi="ar-SA"/>
    </w:rPr>
  </w:style>
  <w:style w:type="paragraph" w:customStyle="1" w:styleId="15">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404040">
                    <a:lumMod val="75000"/>
                    <a:lumOff val="25000"/>
                  </a:srgbClr>
                </a:solidFill>
                <a:latin typeface="+mn-lt"/>
                <a:ea typeface="+mn-ea"/>
                <a:cs typeface="+mn-cs"/>
              </a:defRPr>
            </a:pPr>
            <a:r>
              <a:t>财政拨款收入支出情况表</a:t>
            </a:r>
          </a:p>
        </c:rich>
      </c:tx>
      <c:layout/>
      <c:overlay val="0"/>
      <c:spPr>
        <a:noFill/>
        <a:ln>
          <a:noFill/>
        </a:ln>
        <a:effectLst/>
      </c:spPr>
    </c:title>
    <c:autoTitleDeleted val="0"/>
    <c:plotArea>
      <c:layout/>
      <c:barChart>
        <c:barDir val="col"/>
        <c:grouping val="clustered"/>
        <c:varyColors val="0"/>
        <c:ser>
          <c:idx val="0"/>
          <c:order val="0"/>
          <c:spPr>
            <a:solidFill>
              <a:srgbClr val="4F81BD"/>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404040">
                        <a:lumMod val="75000"/>
                        <a:lumOff val="25000"/>
                      </a:srgb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[Book1.xlsx]Sheet8!$A$29:$A$32</c:f>
              <c:strCache>
                <c:ptCount val="4"/>
                <c:pt idx="0">
                  <c:v>2024年财政拨款收入</c:v>
                </c:pt>
                <c:pt idx="1">
                  <c:v>2024年财政拨款支出</c:v>
                </c:pt>
                <c:pt idx="2">
                  <c:v>2025年财政拨款收入</c:v>
                </c:pt>
                <c:pt idx="3">
                  <c:v>2025年财政拨款支出</c:v>
                </c:pt>
              </c:strCache>
            </c:strRef>
          </c:cat>
          <c:val>
            <c:numRef>
              <c:f>[Book1.xlsx]Sheet8!$B$29:$B$32</c:f>
              <c:numCache>
                <c:formatCode>General</c:formatCode>
                <c:ptCount val="4"/>
                <c:pt idx="0">
                  <c:v>983.08</c:v>
                </c:pt>
                <c:pt idx="1">
                  <c:v>983.08</c:v>
                </c:pt>
                <c:pt idx="2">
                  <c:v>891.05</c:v>
                </c:pt>
                <c:pt idx="3">
                  <c:v>891.05</c:v>
                </c:pt>
              </c:numCache>
            </c:numRef>
          </c:val>
        </c:ser>
        <c:dLbls>
          <c:showLegendKey val="0"/>
          <c:showVal val="1"/>
          <c:showCatName val="0"/>
          <c:showSerName val="0"/>
          <c:showPercent val="0"/>
          <c:showBubbleSize val="0"/>
        </c:dLbls>
        <c:gapWidth val="246"/>
        <c:overlap val="-28"/>
        <c:axId val="766026520"/>
        <c:axId val="976815034"/>
      </c:barChart>
      <c:catAx>
        <c:axId val="766026520"/>
        <c:scaling>
          <c:orientation val="minMax"/>
        </c:scaling>
        <c:delete val="0"/>
        <c:axPos val="b"/>
        <c:majorTickMark val="none"/>
        <c:minorTickMark val="none"/>
        <c:tickLblPos val="nextTo"/>
        <c:spPr>
          <a:noFill/>
          <a:ln w="9525" cap="flat" cmpd="sng" algn="ctr">
            <a:solidFill>
              <a:srgbClr val="D9D9D9">
                <a:lumMod val="15000"/>
                <a:lumOff val="85000"/>
              </a:srgbClr>
            </a:solidFill>
            <a:round/>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976815034"/>
        <c:crosses val="autoZero"/>
        <c:auto val="1"/>
        <c:lblAlgn val="ctr"/>
        <c:lblOffset val="100"/>
        <c:noMultiLvlLbl val="0"/>
      </c:catAx>
      <c:valAx>
        <c:axId val="976815034"/>
        <c:scaling>
          <c:orientation val="minMax"/>
        </c:scaling>
        <c:delete val="0"/>
        <c:axPos val="l"/>
        <c:majorGridlines>
          <c:spPr>
            <a:ln w="9525" cap="flat" cmpd="sng" algn="ctr">
              <a:solidFill>
                <a:srgbClr val="E6E6E6">
                  <a:lumMod val="90200"/>
                </a:srgb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crossAx val="76602652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p>
      </c:txPr>
    </c:legend>
    <c:plotVisOnly val="1"/>
    <c:dispBlanksAs val="gap"/>
    <c:showDLblsOverMax val="0"/>
  </c:chart>
  <c:spPr>
    <a:solidFill>
      <a:srgbClr val="FFFFFF"/>
    </a:solidFill>
    <a:ln w="9525" cap="flat" cmpd="sng" algn="ctr">
      <a:solidFill>
        <a:srgbClr val="D9D9D9">
          <a:lumMod val="15000"/>
          <a:lumOff val="85000"/>
        </a:srgb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rgbClr val="595959">
        <a:lumMod val="65000"/>
        <a:lumOff val="35000"/>
      </a:srgbClr>
    </cs:fontRef>
    <cs:defRPr sz="1000" kern="1200"/>
  </cs:axisTitle>
  <cs:category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1000" kern="1200"/>
  </cs:chartArea>
  <cs:dataLabel>
    <cs:lnRef idx="0"/>
    <cs:fillRef idx="0"/>
    <cs:effectRef idx="0"/>
    <cs:fontRef idx="minor">
      <a:srgbClr val="404040">
        <a:lumMod val="75000"/>
        <a:lumOff val="25000"/>
      </a:srgbClr>
    </cs:fontRef>
    <cs:defRPr sz="1000" kern="1200"/>
  </cs:dataLabel>
  <cs:dataLabelCallout>
    <cs:lnRef idx="0"/>
    <cs:fillRef idx="0"/>
    <cs:effectRef idx="0"/>
    <cs:fontRef idx="minor">
      <a:srgbClr val="595959">
        <a:lumMod val="65000"/>
        <a:lumOff val="35000"/>
      </a:srgbClr>
    </cs:fontRef>
    <cs:spPr>
      <a:solidFill>
        <a:srgbClr val="FFFFFF"/>
      </a:solidFill>
      <a:ln>
        <a:solidFill>
          <a:srgbClr val="BFBFBF">
            <a:lumMod val="25000"/>
            <a:lumOff val="75000"/>
          </a:srgb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rgbClr val="000000"/>
    </cs:fontRef>
    <cs:spPr>
      <a:ln>
        <a:noFill/>
      </a:ln>
      <a:effectLst/>
    </cs:spPr>
  </cs:dataPoint>
  <cs:dataPoint3D>
    <cs:lnRef idx="0"/>
    <cs:fillRef idx="1">
      <cs:styleClr val="auto"/>
    </cs:fillRef>
    <cs:effectRef idx="0"/>
    <cs:fontRef idx="minor">
      <a:srgbClr val="000000"/>
    </cs:fontRef>
  </cs:dataPoint3D>
  <cs:dataPointLine>
    <cs:lnRef idx="0">
      <cs:styleClr val="auto"/>
    </cs:lnRef>
    <cs:fillRef idx="1"/>
    <cs:effectRef idx="0"/>
    <cs:fontRef idx="minor">
      <a:srgbClr val="000000"/>
    </cs:fontRef>
    <cs:spPr>
      <a:ln w="28575" cap="rnd">
        <a:solidFill>
          <a:srgbClr val="FFFFFF"/>
        </a:solidFill>
        <a:round/>
      </a:ln>
    </cs:spPr>
  </cs:dataPointLine>
  <cs:dataPointMarker>
    <cs:lnRef idx="0">
      <cs:styleClr val="auto"/>
    </cs:lnRef>
    <cs:fillRef idx="1">
      <cs:styleClr val="auto"/>
    </cs:fillRef>
    <cs:effectRef idx="0"/>
    <cs:fontRef idx="minor">
      <a:srgbClr val="000000"/>
    </cs:fontRef>
    <cs:spPr>
      <a:ln w="9525">
        <a:solidFill>
          <a:srgbClr val="FFFFFF"/>
        </a:solidFill>
      </a:ln>
    </cs:spPr>
  </cs:dataPointMarker>
  <cs:dataPointMarkerLayout symbol="circle" size="5"/>
  <cs:dataPointWireframe>
    <cs:lnRef idx="0">
      <cs:styleClr val="auto"/>
    </cs:lnRef>
    <cs:fillRef idx="1"/>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595959">
          <a:lumMod val="65000"/>
          <a:lumOff val="35000"/>
        </a:srgbClr>
      </a:solidFill>
      <a:ln w="9525">
        <a:solidFill>
          <a:srgbClr val="595959">
            <a:lumMod val="65000"/>
            <a:lumOff val="35000"/>
          </a:srgbClr>
        </a:solidFill>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E6E6E6">
            <a:lumMod val="902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404040">
            <a:lumMod val="75000"/>
            <a:lumOff val="25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404040">
        <a:lumMod val="75000"/>
        <a:lumOff val="25000"/>
      </a:srgbClr>
    </cs:fontRef>
    <cs:defRPr sz="1400" b="1" kern="1200" baseline="0"/>
  </cs:title>
  <cs:trendline>
    <cs:lnRef idx="0">
      <cs:styleClr val="auto"/>
    </cs:lnRef>
    <cs:fillRef idx="0"/>
    <cs:effectRef idx="0"/>
    <cs:fontRef idx="minor">
      <a:srgbClr val="000000"/>
    </cs:fontRef>
    <cs:spPr>
      <a:ln w="19050" cap="rnd">
        <a:solidFill>
          <a:srgbClr val="FFFFFF"/>
        </a:solidFill>
        <a:prstDash val="sysDot"/>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a:solidFill>
          <a:srgbClr val="D9D9D9">
            <a:lumMod val="15000"/>
            <a:lumOff val="85000"/>
          </a:srgbClr>
        </a:solidFill>
      </a:ln>
    </cs:spPr>
  </cs:upBar>
  <cs:valueAxis>
    <cs:lnRef idx="0"/>
    <cs:fillRef idx="0"/>
    <cs:effectRef idx="0"/>
    <cs:fontRef idx="minor">
      <a:srgbClr val="595959">
        <a:lumMod val="65000"/>
        <a:lumOff val="35000"/>
      </a:srgbClr>
    </cs:fontRef>
    <cs:defRPr sz="900" kern="1200"/>
  </cs:valueAxis>
  <cs:wall>
    <cs:lnRef idx="0"/>
    <cs:fillRef idx="0"/>
    <cs:effectRef idx="0"/>
    <cs:fontRef idx="minor">
      <a:srgbClr val="000000"/>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6</Pages>
  <Words>2126</Words>
  <Characters>2420</Characters>
  <Lines>2</Lines>
  <Paragraphs>1</Paragraphs>
  <TotalTime>4</TotalTime>
  <ScaleCrop>false</ScaleCrop>
  <LinksUpToDate>false</LinksUpToDate>
  <CharactersWithSpaces>2421</CharactersWithSpaces>
  <Application>WPS Office_11.8.2.1120_F1E327BC-269C-435d-A152-05C5408002CA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2019-08-22T01:06:00Z</dcterms:created>
  <dc:creator>Sky123.Org</dc:creator>
  <cp:lastModifiedBy>user</cp:lastModifiedBy>
  <dcterms:modified xsi:type="dcterms:W3CDTF">2026-10-20T16:24:27Z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2052-11.8.2.1120</vt:lpwstr>
  </property>
  <property fmtid="{D5CDD505-2E9C-101B-9397-08002B2CF9AE}" pid="3" name="ICV">
    <vt:lpwstr>2ED0D98343C64B439AD4139A6AADAA89_12</vt:lpwstr>
  </property>
  <property fmtid="{D5CDD505-2E9C-101B-9397-08002B2CF9AE}" pid="4" name="KSOTemplateDocerSaveRecord">
    <vt:lpwstr>eyJoZGlkIjoiYTFhM2IzOGQ0NGYzZmZjNWY3ZDYyMzZjMTI0ZWM5ZTQiLCJ1c2VySWQiOiI2NjkyOTQ5NzMifQ==</vt:lpwstr>
  </property>
</Properties>
</file>