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D29026">
      <w:pPr>
        <w:spacing w:line="600" w:lineRule="exact"/>
        <w:jc w:val="center"/>
        <w:outlineLvl w:val="0"/>
        <w:rPr>
          <w:rFonts w:hint="eastAsia" w:ascii="方正小标宋_GBK" w:hAnsi="方正小标宋_GBK" w:eastAsia="方正小标宋_GBK" w:cs="方正小标宋_GBK"/>
          <w:b/>
          <w:bCs w:val="0"/>
          <w:sz w:val="44"/>
          <w:szCs w:val="44"/>
          <w:highlight w:val="none"/>
          <w:lang w:eastAsia="zh-CN"/>
        </w:rPr>
      </w:pPr>
      <w:r>
        <w:rPr>
          <w:rFonts w:hint="eastAsia" w:ascii="方正小标宋_GBK" w:hAnsi="方正小标宋_GBK" w:eastAsia="方正小标宋_GBK" w:cs="方正小标宋_GBK"/>
          <w:b/>
          <w:bCs w:val="0"/>
          <w:kern w:val="2"/>
          <w:sz w:val="44"/>
          <w:szCs w:val="44"/>
          <w:highlight w:val="none"/>
          <w:lang w:val="en-US" w:eastAsia="zh-CN" w:bidi="ar-SA"/>
        </w:rPr>
        <w:t>黑水县政协委员服务中心</w:t>
      </w:r>
    </w:p>
    <w:p w14:paraId="3708A601">
      <w:pPr>
        <w:pStyle w:val="3"/>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val="0"/>
          <w:kern w:val="2"/>
          <w:sz w:val="44"/>
          <w:szCs w:val="44"/>
          <w:highlight w:val="none"/>
          <w:lang w:val="en-US" w:eastAsia="zh-CN" w:bidi="ar-SA"/>
        </w:rPr>
      </w:pPr>
      <w:r>
        <w:rPr>
          <w:rFonts w:hint="eastAsia" w:ascii="方正小标宋_GBK" w:hAnsi="方正小标宋_GBK" w:eastAsia="方正小标宋_GBK" w:cs="方正小标宋_GBK"/>
          <w:b/>
          <w:bCs w:val="0"/>
          <w:kern w:val="2"/>
          <w:sz w:val="44"/>
          <w:szCs w:val="44"/>
          <w:highlight w:val="none"/>
          <w:lang w:val="en-US" w:eastAsia="zh-CN" w:bidi="ar-SA"/>
        </w:rPr>
        <w:t>2025年部门预算绩效自评报告</w:t>
      </w:r>
    </w:p>
    <w:p w14:paraId="162558DA">
      <w:pPr>
        <w:rPr>
          <w:rFonts w:hint="eastAsia" w:ascii="仿宋" w:hAnsi="仿宋" w:eastAsia="仿宋" w:cs="仿宋"/>
          <w:b/>
          <w:bCs/>
          <w:sz w:val="32"/>
          <w:szCs w:val="32"/>
        </w:rPr>
      </w:pPr>
    </w:p>
    <w:p w14:paraId="0A603659">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Times New Roman" w:hAnsi="Times New Roman" w:eastAsia="黑体" w:cs="Times New Roman"/>
          <w:color w:val="000000"/>
          <w:kern w:val="0"/>
          <w:sz w:val="32"/>
          <w:szCs w:val="32"/>
          <w:highlight w:val="none"/>
          <w:shd w:val="clear" w:color="auto" w:fill="FFFFFF"/>
          <w:lang w:val="zh-CN" w:eastAsia="zh-CN"/>
        </w:rPr>
      </w:pPr>
      <w:r>
        <w:rPr>
          <w:rFonts w:hint="eastAsia" w:ascii="Times New Roman" w:hAnsi="Times New Roman" w:eastAsia="黑体" w:cs="Times New Roman"/>
          <w:color w:val="000000"/>
          <w:kern w:val="0"/>
          <w:sz w:val="32"/>
          <w:szCs w:val="32"/>
          <w:highlight w:val="none"/>
          <w:shd w:val="clear" w:color="auto" w:fill="FFFFFF"/>
          <w:lang w:val="zh-CN"/>
        </w:rPr>
        <w:t>一、部门</w:t>
      </w:r>
      <w:r>
        <w:rPr>
          <w:rFonts w:hint="eastAsia" w:ascii="Times New Roman" w:hAnsi="Times New Roman" w:eastAsia="黑体" w:cs="Times New Roman"/>
          <w:color w:val="000000"/>
          <w:kern w:val="0"/>
          <w:sz w:val="32"/>
          <w:szCs w:val="32"/>
          <w:highlight w:val="none"/>
          <w:shd w:val="clear" w:color="auto" w:fill="FFFFFF"/>
          <w:lang w:val="en-US" w:eastAsia="zh-CN"/>
        </w:rPr>
        <w:t>基本情况</w:t>
      </w:r>
    </w:p>
    <w:p w14:paraId="70537AB0">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3" w:firstLineChars="200"/>
        <w:contextualSpacing/>
        <w:jc w:val="both"/>
        <w:textAlignment w:val="auto"/>
        <w:outlineLvl w:val="9"/>
        <w:rPr>
          <w:rFonts w:hint="eastAsia" w:ascii="Times New Roman" w:hAnsi="Times New Roman" w:eastAsia="楷体_GB2312" w:cs="Times New Roman"/>
          <w:b/>
          <w:bCs/>
          <w:color w:val="000000"/>
          <w:kern w:val="0"/>
          <w:sz w:val="32"/>
          <w:szCs w:val="32"/>
          <w:highlight w:val="none"/>
          <w:shd w:val="clear" w:color="auto" w:fill="FFFFFF"/>
          <w:lang w:val="zh-CN" w:eastAsia="zh-CN"/>
        </w:rPr>
      </w:pPr>
      <w:r>
        <w:rPr>
          <w:rFonts w:hint="eastAsia" w:ascii="Times New Roman" w:hAnsi="Times New Roman" w:eastAsia="楷体_GB2312" w:cs="Times New Roman"/>
          <w:b/>
          <w:bCs/>
          <w:color w:val="000000"/>
          <w:kern w:val="0"/>
          <w:sz w:val="32"/>
          <w:szCs w:val="32"/>
          <w:highlight w:val="none"/>
          <w:shd w:val="clear" w:color="auto" w:fill="FFFFFF"/>
          <w:lang w:val="zh-CN"/>
        </w:rPr>
        <w:t>(一)机构组成</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p>
    <w:p w14:paraId="1D65FAA1">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ascii="Times New Roman" w:hAnsi="Times New Roman" w:eastAsia="仿宋_GB2312" w:cs="Times New Roman"/>
          <w:color w:val="000000"/>
          <w:kern w:val="0"/>
          <w:sz w:val="32"/>
          <w:szCs w:val="32"/>
          <w:shd w:val="clear" w:color="auto" w:fill="FFFFFF"/>
        </w:rPr>
      </w:pPr>
      <w:r>
        <w:rPr>
          <w:rFonts w:hint="eastAsia" w:ascii="仿宋_GB2312" w:hAnsi="黑体" w:eastAsia="仿宋_GB2312" w:cs="黑体"/>
          <w:sz w:val="32"/>
          <w:szCs w:val="32"/>
          <w:lang w:val="en-US" w:eastAsia="zh-CN"/>
        </w:rPr>
        <w:t>黑水县政协委员服务中心</w:t>
      </w:r>
      <w:r>
        <w:rPr>
          <w:rFonts w:hint="eastAsia" w:ascii="仿宋_GB2312" w:hAnsi="黑体" w:eastAsia="仿宋_GB2312" w:cs="黑体"/>
          <w:sz w:val="32"/>
          <w:szCs w:val="32"/>
          <w:lang w:eastAsia="zh-CN"/>
        </w:rPr>
        <w:t>系政协黑水县委员会办公室下属事业单位，为公益一类股级事业</w:t>
      </w:r>
      <w:r>
        <w:rPr>
          <w:rFonts w:hint="eastAsia" w:ascii="仿宋_GB2312" w:hAnsi="黑体" w:eastAsia="仿宋_GB2312" w:cs="黑体"/>
          <w:sz w:val="32"/>
          <w:szCs w:val="32"/>
          <w:lang w:val="en-US" w:eastAsia="zh-CN"/>
        </w:rPr>
        <w:t>单位</w:t>
      </w:r>
      <w:r>
        <w:rPr>
          <w:rFonts w:hint="eastAsia" w:ascii="仿宋_GB2312" w:hAnsi="黑体" w:eastAsia="仿宋_GB2312" w:cs="黑体"/>
          <w:sz w:val="32"/>
          <w:szCs w:val="32"/>
          <w:lang w:eastAsia="zh-CN"/>
        </w:rPr>
        <w:t>。</w:t>
      </w:r>
    </w:p>
    <w:p w14:paraId="2AC03F1E">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3" w:firstLineChars="200"/>
        <w:contextualSpacing/>
        <w:jc w:val="both"/>
        <w:textAlignment w:val="auto"/>
        <w:outlineLvl w:val="9"/>
        <w:rPr>
          <w:rFonts w:hint="eastAsia" w:ascii="Times New Roman" w:hAnsi="Times New Roman" w:eastAsia="楷体_GB2312" w:cs="Times New Roman"/>
          <w:b/>
          <w:bCs/>
          <w:color w:val="000000"/>
          <w:kern w:val="0"/>
          <w:sz w:val="32"/>
          <w:szCs w:val="32"/>
          <w:highlight w:val="none"/>
          <w:shd w:val="clear" w:color="auto" w:fill="FFFFFF"/>
          <w:lang w:val="en-US" w:eastAsia="zh-CN"/>
        </w:rPr>
      </w:pPr>
      <w:r>
        <w:rPr>
          <w:rFonts w:hint="eastAsia" w:ascii="Times New Roman" w:hAnsi="Times New Roman" w:eastAsia="楷体_GB2312" w:cs="Times New Roman"/>
          <w:b/>
          <w:bCs/>
          <w:color w:val="000000"/>
          <w:kern w:val="0"/>
          <w:sz w:val="32"/>
          <w:szCs w:val="32"/>
          <w:highlight w:val="none"/>
          <w:shd w:val="clear" w:color="auto" w:fill="FFFFFF"/>
          <w:lang w:val="en-US" w:eastAsia="zh-CN"/>
        </w:rPr>
        <w:t>（二）机构职能。</w:t>
      </w:r>
    </w:p>
    <w:p w14:paraId="214C4215">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黑水县政协委员服务中心主要职能是履行政治协商、民主监督、参政议政三大职能，具体如下：</w:t>
      </w:r>
    </w:p>
    <w:p w14:paraId="10ECAF84">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政治协商是对国家和地方的大政方针以及政治、经济、文化和社会生活中的主要问题在决策之前进行协商和就决策过程中的重要问题进行协商。中国人民政治协商会议全国委员会和地方委员会可根据中国共产党、人民代表大会常务委员会、人民政府、民主党派、人民团体的提议，举行由各党派、团体的负责人和各族各界人士的代表参加的会议，进行协商，亦可建议上列单位将有关重要问题提交协商。</w:t>
      </w:r>
    </w:p>
    <w:p w14:paraId="5582AE86">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民主监督是对国家宪法、法律和法规的实施，重大方针政策的贯彻执行、国家机关及其工作人员的工作，通过建议和批评进行监督。</w:t>
      </w:r>
    </w:p>
    <w:p w14:paraId="1B3BAC9B">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pPr>
      <w:r>
        <w:rPr>
          <w:rFonts w:hint="eastAsia" w:ascii="仿宋_GB2312" w:hAnsi="黑体" w:eastAsia="仿宋_GB2312" w:cs="黑体"/>
          <w:sz w:val="32"/>
          <w:szCs w:val="32"/>
          <w:lang w:val="en-US" w:eastAsia="zh-CN"/>
        </w:rPr>
        <w:t>参政议政是对政治、经济、文化和社会生活中的重要问题以及人民群众普遍关心的问题，开展调查研究，反映社情民意，进行协商讨论，通过调研报告、提案、建议案或其他形式，向中国共产党和国家机关提出意见和建议。下属黑水县政协委员服务中心主要承担委员服务保障等相关辅助工作，助力政协三大职能高效履行。</w:t>
      </w:r>
    </w:p>
    <w:p w14:paraId="45602A75">
      <w:pPr>
        <w:keepNext w:val="0"/>
        <w:keepLines w:val="0"/>
        <w:pageBreakBefore w:val="0"/>
        <w:numPr>
          <w:ilvl w:val="0"/>
          <w:numId w:val="0"/>
        </w:numPr>
        <w:kinsoku/>
        <w:wordWrap/>
        <w:overflowPunct/>
        <w:topLinePunct w:val="0"/>
        <w:autoSpaceDE/>
        <w:autoSpaceDN/>
        <w:bidi w:val="0"/>
        <w:adjustRightInd/>
        <w:spacing w:line="560" w:lineRule="exact"/>
        <w:ind w:firstLine="643" w:firstLineChars="200"/>
        <w:jc w:val="both"/>
        <w:textAlignment w:val="auto"/>
        <w:rPr>
          <w:rFonts w:hint="eastAsia" w:ascii="仿宋" w:hAnsi="仿宋" w:eastAsia="仿宋" w:cs="仿宋"/>
          <w:b/>
          <w:bCs/>
          <w:sz w:val="32"/>
          <w:szCs w:val="32"/>
          <w:lang w:eastAsia="zh-CN"/>
        </w:rPr>
      </w:pPr>
      <w:r>
        <w:rPr>
          <w:rFonts w:hint="eastAsia" w:ascii="Times New Roman" w:hAnsi="Times New Roman" w:eastAsia="楷体_GB2312" w:cs="Times New Roman"/>
          <w:b/>
          <w:bCs/>
          <w:color w:val="000000"/>
          <w:kern w:val="0"/>
          <w:sz w:val="32"/>
          <w:szCs w:val="32"/>
          <w:highlight w:val="none"/>
          <w:shd w:val="clear" w:color="auto" w:fill="FFFFFF"/>
          <w:lang w:val="en-US" w:eastAsia="zh-CN"/>
        </w:rPr>
        <w:t>（三）人员概况。</w:t>
      </w:r>
    </w:p>
    <w:p w14:paraId="3B5B43CB">
      <w:pPr>
        <w:keepNext w:val="0"/>
        <w:keepLines w:val="0"/>
        <w:pageBreakBefore w:val="0"/>
        <w:kinsoku/>
        <w:wordWrap/>
        <w:overflowPunct/>
        <w:topLinePunct w:val="0"/>
        <w:autoSpaceDE/>
        <w:autoSpaceDN/>
        <w:bidi w:val="0"/>
        <w:spacing w:before="120" w:after="120" w:line="560" w:lineRule="exact"/>
        <w:ind w:left="0" w:firstLine="640" w:firstLineChars="200"/>
        <w:jc w:val="left"/>
        <w:textAlignment w:val="auto"/>
        <w:rPr>
          <w:rFonts w:hint="eastAsia" w:ascii="仿宋_GB2312" w:hAnsi="黑体" w:eastAsia="仿宋_GB2312" w:cs="黑体"/>
          <w:sz w:val="32"/>
          <w:szCs w:val="32"/>
          <w:lang w:eastAsia="zh-CN"/>
        </w:rPr>
      </w:pPr>
      <w:r>
        <w:rPr>
          <w:rFonts w:hint="eastAsia" w:ascii="仿宋_GB2312" w:hAnsi="黑体" w:eastAsia="仿宋_GB2312" w:cs="黑体"/>
          <w:sz w:val="32"/>
          <w:szCs w:val="32"/>
          <w:lang w:val="en-US" w:eastAsia="zh-CN"/>
        </w:rPr>
        <w:t>黑水县政协委员服务中心单位核定事业编制4名，截至2025年年末，实有在职事业人员3人。</w:t>
      </w:r>
    </w:p>
    <w:p w14:paraId="31A2D1F8">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Times New Roman" w:hAnsi="Times New Roman" w:eastAsia="黑体" w:cs="Times New Roman"/>
          <w:color w:val="000000"/>
          <w:kern w:val="0"/>
          <w:sz w:val="32"/>
          <w:szCs w:val="32"/>
          <w:highlight w:val="none"/>
          <w:shd w:val="clear" w:color="auto" w:fill="FFFFFF"/>
          <w:lang w:val="zh-CN"/>
        </w:rPr>
      </w:pPr>
      <w:r>
        <w:rPr>
          <w:rFonts w:hint="eastAsia" w:ascii="Times New Roman" w:hAnsi="Times New Roman" w:eastAsia="黑体" w:cs="Times New Roman"/>
          <w:color w:val="000000"/>
          <w:kern w:val="0"/>
          <w:sz w:val="32"/>
          <w:szCs w:val="32"/>
          <w:highlight w:val="none"/>
          <w:shd w:val="clear" w:color="auto" w:fill="FFFFFF"/>
          <w:lang w:val="zh-CN"/>
        </w:rPr>
        <w:t>二、部门资金收支情况</w:t>
      </w:r>
    </w:p>
    <w:p w14:paraId="0EC1077C">
      <w:pPr>
        <w:keepNext w:val="0"/>
        <w:keepLines w:val="0"/>
        <w:pageBreakBefore w:val="0"/>
        <w:numPr>
          <w:ilvl w:val="0"/>
          <w:numId w:val="0"/>
        </w:numPr>
        <w:kinsoku/>
        <w:wordWrap/>
        <w:overflowPunct/>
        <w:topLinePunct w:val="0"/>
        <w:autoSpaceDE/>
        <w:autoSpaceDN/>
        <w:bidi w:val="0"/>
        <w:adjustRightInd/>
        <w:spacing w:line="560" w:lineRule="exact"/>
        <w:ind w:firstLine="643" w:firstLineChars="200"/>
        <w:jc w:val="both"/>
        <w:textAlignment w:val="auto"/>
        <w:rPr>
          <w:rFonts w:hint="eastAsia" w:ascii="仿宋" w:hAnsi="仿宋" w:eastAsia="仿宋" w:cs="仿宋"/>
          <w:b/>
          <w:bCs/>
          <w:sz w:val="32"/>
          <w:szCs w:val="32"/>
          <w:lang w:eastAsia="zh-CN"/>
        </w:rPr>
      </w:pPr>
      <w:r>
        <w:rPr>
          <w:rFonts w:hint="eastAsia" w:ascii="Times New Roman" w:hAnsi="Times New Roman" w:eastAsia="楷体_GB2312" w:cs="Times New Roman"/>
          <w:b/>
          <w:bCs/>
          <w:color w:val="000000"/>
          <w:kern w:val="0"/>
          <w:sz w:val="32"/>
          <w:szCs w:val="32"/>
          <w:highlight w:val="none"/>
          <w:shd w:val="clear" w:color="auto" w:fill="FFFFFF"/>
          <w:lang w:val="en-US" w:eastAsia="zh-CN"/>
        </w:rPr>
        <w:t>(一)收入情况。</w:t>
      </w:r>
    </w:p>
    <w:p w14:paraId="461A148C">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2025年，黑水县政协委员服务中心一般公共预算收入62.81万元，其中基本收入62.81万元，主要用于2025年黑水县政协委员服务中心工作人员工资、保险及日常公用经费等支出，切实保证机关正常运转。</w:t>
      </w:r>
    </w:p>
    <w:p w14:paraId="384AA74A">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3" w:firstLineChars="200"/>
        <w:contextualSpacing/>
        <w:jc w:val="both"/>
        <w:textAlignment w:val="auto"/>
        <w:outlineLvl w:val="9"/>
        <w:rPr>
          <w:rFonts w:hint="eastAsia" w:ascii="Times New Roman" w:hAnsi="Times New Roman" w:eastAsia="楷体_GB2312" w:cs="Times New Roman"/>
          <w:b/>
          <w:bCs/>
          <w:color w:val="000000"/>
          <w:kern w:val="0"/>
          <w:sz w:val="32"/>
          <w:szCs w:val="32"/>
          <w:highlight w:val="none"/>
          <w:shd w:val="clear" w:color="auto" w:fill="FFFFFF"/>
          <w:lang w:val="en-US" w:eastAsia="zh-CN"/>
        </w:rPr>
      </w:pPr>
      <w:r>
        <w:rPr>
          <w:rFonts w:hint="eastAsia" w:ascii="Times New Roman" w:hAnsi="Times New Roman" w:eastAsia="楷体_GB2312" w:cs="Times New Roman"/>
          <w:b/>
          <w:bCs/>
          <w:color w:val="000000"/>
          <w:kern w:val="0"/>
          <w:sz w:val="32"/>
          <w:szCs w:val="32"/>
          <w:highlight w:val="none"/>
          <w:shd w:val="clear" w:color="auto" w:fill="FFFFFF"/>
          <w:lang w:val="en-US" w:eastAsia="zh-CN"/>
        </w:rPr>
        <w:t>（二）支出情况。</w:t>
      </w:r>
    </w:p>
    <w:p w14:paraId="7A060C76">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2025年，实际支出62.81万元。按资金来源分析：其中财政拨款支出62.81万元；按支出性质分析：基本支出62.81万元；按支出经济分类分析：其中工资福利支出工资福利支出53.72万元，商品和服务支出6.90万元，对个人和家庭的补助2.19万元。</w:t>
      </w:r>
    </w:p>
    <w:p w14:paraId="03050DE2">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3" w:firstLineChars="200"/>
        <w:contextualSpacing/>
        <w:jc w:val="both"/>
        <w:textAlignment w:val="auto"/>
        <w:outlineLvl w:val="9"/>
        <w:rPr>
          <w:rFonts w:hint="eastAsia" w:ascii="Times New Roman" w:hAnsi="Times New Roman" w:eastAsia="楷体_GB2312" w:cs="Times New Roman"/>
          <w:b/>
          <w:bCs/>
          <w:color w:val="000000"/>
          <w:kern w:val="0"/>
          <w:sz w:val="32"/>
          <w:szCs w:val="32"/>
          <w:highlight w:val="none"/>
          <w:shd w:val="clear" w:color="auto" w:fill="FFFFFF"/>
          <w:lang w:val="en-US" w:eastAsia="zh-CN"/>
        </w:rPr>
      </w:pPr>
      <w:r>
        <w:rPr>
          <w:rFonts w:hint="eastAsia" w:ascii="Times New Roman" w:hAnsi="Times New Roman" w:eastAsia="楷体_GB2312" w:cs="Times New Roman"/>
          <w:b/>
          <w:bCs/>
          <w:color w:val="000000"/>
          <w:kern w:val="0"/>
          <w:sz w:val="32"/>
          <w:szCs w:val="32"/>
          <w:highlight w:val="none"/>
          <w:shd w:val="clear" w:color="auto" w:fill="FFFFFF"/>
          <w:lang w:val="en-US" w:eastAsia="zh-CN"/>
        </w:rPr>
        <w:t>（三）</w:t>
      </w:r>
      <w:r>
        <w:rPr>
          <w:rFonts w:hint="default" w:ascii="Times New Roman" w:hAnsi="Times New Roman" w:eastAsia="楷体_GB2312" w:cs="Times New Roman"/>
          <w:b/>
          <w:bCs/>
          <w:color w:val="000000"/>
          <w:kern w:val="0"/>
          <w:sz w:val="32"/>
          <w:szCs w:val="32"/>
          <w:highlight w:val="none"/>
          <w:shd w:val="clear" w:color="auto" w:fill="FFFFFF"/>
          <w:lang w:val="en-US" w:eastAsia="zh-CN"/>
        </w:rPr>
        <w:t>结余分配和结转结余</w:t>
      </w:r>
      <w:r>
        <w:rPr>
          <w:rFonts w:hint="eastAsia" w:ascii="Times New Roman" w:hAnsi="Times New Roman" w:eastAsia="楷体_GB2312" w:cs="Times New Roman"/>
          <w:b/>
          <w:bCs/>
          <w:color w:val="000000"/>
          <w:kern w:val="0"/>
          <w:sz w:val="32"/>
          <w:szCs w:val="32"/>
          <w:highlight w:val="none"/>
          <w:shd w:val="clear" w:color="auto" w:fill="FFFFFF"/>
          <w:lang w:val="en-US" w:eastAsia="zh-CN"/>
        </w:rPr>
        <w:t>情况。</w:t>
      </w:r>
    </w:p>
    <w:p w14:paraId="44C5A0C6">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2025年年末，黑水县政协委员服务中心无结转结余资金，预算资金全部按规定使用完毕，资金使用效率较高，实现了收支平衡。</w:t>
      </w:r>
    </w:p>
    <w:p w14:paraId="316B09EA">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Times New Roman" w:hAnsi="Times New Roman" w:eastAsia="黑体" w:cs="Times New Roman"/>
          <w:color w:val="000000"/>
          <w:kern w:val="0"/>
          <w:sz w:val="32"/>
          <w:szCs w:val="32"/>
          <w:highlight w:val="none"/>
          <w:shd w:val="clear" w:color="auto" w:fill="FFFFFF"/>
          <w:lang w:val="en-US"/>
        </w:rPr>
      </w:pPr>
      <w:r>
        <w:rPr>
          <w:rFonts w:hint="eastAsia" w:ascii="Times New Roman" w:hAnsi="Times New Roman" w:eastAsia="黑体" w:cs="Times New Roman"/>
          <w:color w:val="000000"/>
          <w:kern w:val="0"/>
          <w:sz w:val="32"/>
          <w:szCs w:val="32"/>
          <w:highlight w:val="none"/>
          <w:shd w:val="clear" w:color="auto" w:fill="FFFFFF"/>
          <w:lang w:val="zh-CN"/>
        </w:rPr>
        <w:t>三、部门预算绩效</w:t>
      </w:r>
      <w:r>
        <w:rPr>
          <w:rFonts w:hint="eastAsia" w:ascii="Times New Roman" w:hAnsi="Times New Roman" w:eastAsia="黑体" w:cs="Times New Roman"/>
          <w:color w:val="000000"/>
          <w:kern w:val="0"/>
          <w:sz w:val="32"/>
          <w:szCs w:val="32"/>
          <w:highlight w:val="none"/>
          <w:shd w:val="clear" w:color="auto" w:fill="FFFFFF"/>
          <w:lang w:val="en-US" w:eastAsia="zh-CN"/>
        </w:rPr>
        <w:t>分析</w:t>
      </w:r>
    </w:p>
    <w:p w14:paraId="1519C9A8">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3" w:firstLineChars="200"/>
        <w:contextualSpacing/>
        <w:jc w:val="both"/>
        <w:textAlignment w:val="auto"/>
        <w:outlineLvl w:val="9"/>
        <w:rPr>
          <w:rFonts w:hint="eastAsia" w:ascii="Times New Roman" w:hAnsi="Times New Roman" w:eastAsia="楷体_GB2312" w:cs="Times New Roman"/>
          <w:b/>
          <w:bCs/>
          <w:color w:val="000000"/>
          <w:kern w:val="0"/>
          <w:sz w:val="32"/>
          <w:szCs w:val="32"/>
          <w:highlight w:val="none"/>
          <w:shd w:val="clear" w:color="auto" w:fill="FFFFFF"/>
          <w:lang w:val="en-US" w:eastAsia="zh-CN"/>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（一）</w:t>
      </w:r>
      <w:r>
        <w:rPr>
          <w:rFonts w:hint="eastAsia" w:ascii="Times New Roman" w:hAnsi="Times New Roman" w:eastAsia="楷体_GB2312" w:cs="Times New Roman"/>
          <w:b/>
          <w:bCs/>
          <w:color w:val="000000"/>
          <w:kern w:val="0"/>
          <w:sz w:val="32"/>
          <w:szCs w:val="32"/>
          <w:highlight w:val="none"/>
          <w:shd w:val="clear" w:color="auto" w:fill="FFFFFF"/>
          <w:lang w:val="zh-CN" w:eastAsia="zh-CN"/>
        </w:rPr>
        <w:t>部门预算</w:t>
      </w:r>
      <w:r>
        <w:rPr>
          <w:rFonts w:hint="default" w:ascii="Times New Roman" w:hAnsi="Times New Roman" w:eastAsia="楷体_GB2312" w:cs="Times New Roman"/>
          <w:b/>
          <w:bCs/>
          <w:color w:val="000000"/>
          <w:kern w:val="0"/>
          <w:sz w:val="32"/>
          <w:szCs w:val="32"/>
          <w:highlight w:val="none"/>
          <w:shd w:val="clear" w:color="auto" w:fill="FFFFFF"/>
          <w:lang w:val="zh-CN" w:eastAsia="zh-CN"/>
        </w:rPr>
        <w:t>总体绩效分析。</w:t>
      </w:r>
    </w:p>
    <w:p w14:paraId="0C704F2A">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根据部门预算绩效评价指标体系“总体绩效”涉及二、三级指标，结合黑水县政协委员服务中心实际工作，逐项进行绩效分析并评分，具体如下：</w:t>
      </w:r>
    </w:p>
    <w:p w14:paraId="03CB89AC">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bookmarkStart w:id="0" w:name="heading_10"/>
      <w:r>
        <w:rPr>
          <w:rFonts w:hint="eastAsia" w:ascii="仿宋_GB2312" w:hAnsi="黑体" w:eastAsia="仿宋_GB2312" w:cs="黑体"/>
          <w:sz w:val="32"/>
          <w:szCs w:val="32"/>
          <w:lang w:val="en-US" w:eastAsia="zh-CN"/>
        </w:rPr>
        <w:t>1. 履职效能</w:t>
      </w:r>
      <w:bookmarkEnd w:id="0"/>
    </w:p>
    <w:p w14:paraId="4E83A2BD">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黑水县政协委员服务中心依据部门预算项目设定，积极组织开展政协全会、县级政协委员履职培训班，同时紧紧围绕中心、服务大局，以多种形式参政议政；组织开展专题小微协商，深入基层开展调研，有效推动了政协协商同基层治理的衔接与融合，为乡村振兴注入政协力量；学习借鉴有效的民主监督方式，用民主监督推进各项工作、改进工作作风、加强党风廉政建设。切实提高政协履职能力，充分发挥自身带头作用，认真履行政协章程赋予的职能。该项自评得分为14.5分。</w:t>
      </w:r>
    </w:p>
    <w:p w14:paraId="011F4637">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bookmarkStart w:id="1" w:name="heading_11"/>
      <w:r>
        <w:rPr>
          <w:rFonts w:hint="eastAsia" w:ascii="仿宋_GB2312" w:hAnsi="黑体" w:eastAsia="仿宋_GB2312" w:cs="黑体"/>
          <w:sz w:val="32"/>
          <w:szCs w:val="32"/>
          <w:lang w:val="en-US" w:eastAsia="zh-CN"/>
        </w:rPr>
        <w:t>2. 预算管理</w:t>
      </w:r>
      <w:bookmarkEnd w:id="1"/>
    </w:p>
    <w:p w14:paraId="57BF7363">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预算编制质量：2025年黑水县政协委员服务中心以财为本、依法履职，主动靠前加强部门预算编制工作，以文件为基础、以定额为标准、根据工作量合理编制部门预算，较好地完成了预算编制工作。该项自评得分为6.4分。</w:t>
      </w:r>
    </w:p>
    <w:p w14:paraId="43377B2A">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单位收入统筹：该年度我单位无自有收入。该项自评得分为0分。</w:t>
      </w:r>
    </w:p>
    <w:p w14:paraId="643ABA68">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支出执行进度：1-6月一般公共预算支出金额为28.29万元，资金支付进度达45.04%；1-10月一般公共预算支出金额为49.05万元，资金支付进度达78.10%。未出现支出预警情况，较好地完成了预算支出执行力度。该项自评得分为5.9分。</w:t>
      </w:r>
    </w:p>
    <w:p w14:paraId="017FB993">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预算年终结余：年终无预算结余资金。该项自评得分为2分。</w:t>
      </w:r>
    </w:p>
    <w:p w14:paraId="7A62216E">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严控一般性支出：在执行管理中，政协机关严格控制各项开支，尤其重视对“三公”经费的支出管理，尽量压缩公务接待次数，加强公车运行管理。该项自评得分为5分。</w:t>
      </w:r>
    </w:p>
    <w:p w14:paraId="5E08AAD8">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bookmarkStart w:id="2" w:name="heading_12"/>
      <w:r>
        <w:rPr>
          <w:rFonts w:hint="eastAsia" w:ascii="仿宋_GB2312" w:hAnsi="黑体" w:eastAsia="仿宋_GB2312" w:cs="黑体"/>
          <w:sz w:val="32"/>
          <w:szCs w:val="32"/>
          <w:lang w:val="en-US" w:eastAsia="zh-CN"/>
        </w:rPr>
        <w:t>3. 财务管理</w:t>
      </w:r>
      <w:bookmarkEnd w:id="2"/>
    </w:p>
    <w:p w14:paraId="734EE88E">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财务管理制度：严格按照《中华人民共和国会计法》，建立内部财务管理制度、会计出纳岗位职责、内部控制等制度。该项自评得分为4分。</w:t>
      </w:r>
    </w:p>
    <w:p w14:paraId="493C2FA5">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财务岗位设置：合理设置财务工作岗位，明确职责权限，并严格实行会计、出纳不相容岗位分离。该项自评得分为2分。</w:t>
      </w:r>
    </w:p>
    <w:p w14:paraId="1D3C74DF">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资金使用规范：根据部门资金用途，按照财务管理制度，统一管理，专款专用，追踪问效的原则进行考核，严格执行预算，规范资金审批和支付程序，提高资金的使用效率。该项自评得分为4分。</w:t>
      </w:r>
    </w:p>
    <w:p w14:paraId="41941A02">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bookmarkStart w:id="3" w:name="heading_13"/>
      <w:r>
        <w:rPr>
          <w:rFonts w:hint="eastAsia" w:ascii="仿宋_GB2312" w:hAnsi="黑体" w:eastAsia="仿宋_GB2312" w:cs="黑体"/>
          <w:sz w:val="32"/>
          <w:szCs w:val="32"/>
          <w:lang w:val="en-US" w:eastAsia="zh-CN"/>
        </w:rPr>
        <w:t>4. 资产管理</w:t>
      </w:r>
      <w:bookmarkEnd w:id="3"/>
    </w:p>
    <w:p w14:paraId="6D6DF68B">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人均资产变化率：人均资产变化率无较大变化。该项自评得分为2分。</w:t>
      </w:r>
    </w:p>
    <w:p w14:paraId="425F2655">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资产利用率：我办对到期仍具有使用价值的资产进行功能挖潜、修旧利废、合理调剂满足单位不同委室业务工作需求，做到物尽其用，尽可能减少资产配置，减少财政经费支出，有效盘活并高效使用闲置资产，加强单位内部资源统筹。该项自评得分为2分。</w:t>
      </w:r>
    </w:p>
    <w:p w14:paraId="0C0A1FB2">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资产盘活率：我办无闲置一年以上的资产盘活情况。该项自评得分为1分。</w:t>
      </w:r>
    </w:p>
    <w:p w14:paraId="501DA28F">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bookmarkStart w:id="4" w:name="heading_14"/>
      <w:r>
        <w:rPr>
          <w:rFonts w:hint="eastAsia" w:ascii="仿宋_GB2312" w:hAnsi="黑体" w:eastAsia="仿宋_GB2312" w:cs="黑体"/>
          <w:sz w:val="32"/>
          <w:szCs w:val="32"/>
          <w:lang w:val="en-US" w:eastAsia="zh-CN"/>
        </w:rPr>
        <w:t>5. 采购管理</w:t>
      </w:r>
      <w:bookmarkEnd w:id="4"/>
    </w:p>
    <w:p w14:paraId="4A06ACB2">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支持中小企业发展：我办严格执行政府采购促进中小企业发展相关管理办法，对适宜由中小企业提供的采购项目和采购包，预留采购份额专门面向中小企业采购，并在采购预算中单独列示。该项自评得分为3分。</w:t>
      </w:r>
    </w:p>
    <w:p w14:paraId="59C878BD">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zh-CN" w:eastAsia="zh-CN"/>
        </w:rPr>
      </w:pPr>
      <w:r>
        <w:rPr>
          <w:rFonts w:hint="eastAsia" w:ascii="仿宋_GB2312" w:hAnsi="黑体" w:eastAsia="仿宋_GB2312" w:cs="黑体"/>
          <w:sz w:val="32"/>
          <w:szCs w:val="32"/>
          <w:lang w:val="en-US" w:eastAsia="zh-CN"/>
        </w:rPr>
        <w:t>采购执行率：严格按照流程执行采购预算支付。该项自评得分为3分。</w:t>
      </w:r>
    </w:p>
    <w:p w14:paraId="184003FF">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3" w:firstLineChars="200"/>
        <w:contextualSpacing/>
        <w:jc w:val="both"/>
        <w:textAlignment w:val="auto"/>
        <w:outlineLvl w:val="9"/>
        <w:rPr>
          <w:rFonts w:hint="eastAsia" w:ascii="Times New Roman" w:hAnsi="Times New Roman" w:eastAsia="楷体_GB2312" w:cs="Times New Roman"/>
          <w:b/>
          <w:bCs/>
          <w:color w:val="000000"/>
          <w:kern w:val="0"/>
          <w:sz w:val="32"/>
          <w:szCs w:val="32"/>
          <w:highlight w:val="none"/>
          <w:shd w:val="clear" w:color="auto" w:fill="FFFFFF"/>
          <w:lang w:val="en-US" w:eastAsia="zh-CN"/>
        </w:rPr>
      </w:pPr>
      <w:r>
        <w:rPr>
          <w:rFonts w:hint="eastAsia" w:ascii="Times New Roman" w:hAnsi="Times New Roman" w:eastAsia="楷体_GB2312" w:cs="Times New Roman"/>
          <w:b/>
          <w:bCs/>
          <w:color w:val="000000"/>
          <w:kern w:val="0"/>
          <w:sz w:val="32"/>
          <w:szCs w:val="32"/>
          <w:highlight w:val="none"/>
          <w:shd w:val="clear" w:color="auto" w:fill="FFFFFF"/>
          <w:lang w:val="en-US" w:eastAsia="zh-CN"/>
        </w:rPr>
        <w:t>（二）部门预算项目绩效分析。</w:t>
      </w:r>
    </w:p>
    <w:p w14:paraId="7C04C583">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根据部门预算绩效评价指标体系“项目绩效”涉及二、三级指标，结合本单位项目实际开展情况，逐项进行绩效分析并评分，具体如下：</w:t>
      </w:r>
    </w:p>
    <w:p w14:paraId="4CB64B47">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常年项目绩效分析：该类项目总数10个，涉及预算总金额62.81万元，1—12月预算执行总体进度为100%。</w:t>
      </w:r>
    </w:p>
    <w:p w14:paraId="17F88791">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zh-CN" w:eastAsia="zh-CN"/>
        </w:rPr>
      </w:pPr>
      <w:r>
        <w:rPr>
          <w:rFonts w:hint="eastAsia" w:ascii="仿宋_GB2312" w:hAnsi="黑体" w:eastAsia="仿宋_GB2312" w:cs="黑体"/>
          <w:sz w:val="32"/>
          <w:szCs w:val="32"/>
          <w:lang w:val="en-US" w:eastAsia="zh-CN"/>
        </w:rPr>
        <w:t>1.</w:t>
      </w:r>
      <w:r>
        <w:rPr>
          <w:rFonts w:hint="eastAsia" w:ascii="仿宋_GB2312" w:hAnsi="黑体" w:eastAsia="仿宋_GB2312" w:cs="黑体"/>
          <w:sz w:val="32"/>
          <w:szCs w:val="32"/>
          <w:lang w:val="zh-CN" w:eastAsia="zh-CN"/>
        </w:rPr>
        <w:t>项目决策。</w:t>
      </w:r>
    </w:p>
    <w:p w14:paraId="76465BE6">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决策程序:部门预算项目依据充分，主要根据法律法规和部门职能职责。立项程序规范，按照县财政局相关要求履行评估论证、项目入库等申报程序。该项自评得分为4分。</w:t>
      </w:r>
    </w:p>
    <w:p w14:paraId="21C6099A">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目标设置：设立绩效目标具有合理性，设立绩效指标具有明确性，资金投入体现了预算科学性。该项自评得分为4分。</w:t>
      </w:r>
    </w:p>
    <w:p w14:paraId="44CB6DCD">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项目入库：严格按照财政要求，在规定时间内完成预算一体化项目入库工作。该项自评得分为4分。</w:t>
      </w:r>
    </w:p>
    <w:p w14:paraId="725B64B1">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bookmarkStart w:id="5" w:name="heading_17"/>
      <w:r>
        <w:rPr>
          <w:rFonts w:hint="eastAsia" w:ascii="仿宋_GB2312" w:hAnsi="黑体" w:eastAsia="仿宋_GB2312" w:cs="黑体"/>
          <w:sz w:val="32"/>
          <w:szCs w:val="32"/>
          <w:lang w:val="en-US" w:eastAsia="zh-CN"/>
        </w:rPr>
        <w:t>2. 项目执行</w:t>
      </w:r>
      <w:bookmarkEnd w:id="5"/>
    </w:p>
    <w:p w14:paraId="3FC4D19E">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执行同向:部门预算项目实际列支内容与绩效目标设置方向相符。该项自评得分为4分。</w:t>
      </w:r>
    </w:p>
    <w:p w14:paraId="58DB6D4D">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项目调整:部分预算项目资金根据财政最终批复金额，在规定时间内对项目库进行相应调整。该项自评得分为4分。</w:t>
      </w:r>
    </w:p>
    <w:p w14:paraId="2130F1EF">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执行结果:截止2025年年底，我办部门预算执行情况较好，财政预算收入62.81万元，支出62.81万元，年底无结余资金。该项自评得分为4分。</w:t>
      </w:r>
    </w:p>
    <w:p w14:paraId="32E730F4">
      <w:pPr>
        <w:keepNext w:val="0"/>
        <w:keepLines w:val="0"/>
        <w:pageBreakBefore w:val="0"/>
        <w:kinsoku/>
        <w:wordWrap/>
        <w:overflowPunct/>
        <w:topLinePunct w:val="0"/>
        <w:autoSpaceDE/>
        <w:autoSpaceDN/>
        <w:bidi w:val="0"/>
        <w:spacing w:before="300" w:after="120" w:line="560" w:lineRule="exact"/>
        <w:ind w:left="0" w:firstLine="643" w:firstLineChars="200"/>
        <w:jc w:val="left"/>
        <w:textAlignment w:val="auto"/>
        <w:outlineLvl w:val="2"/>
        <w:rPr>
          <w:rFonts w:hint="eastAsia" w:ascii="仿宋_GB2312" w:hAnsi="仿宋_GB2312" w:eastAsia="仿宋_GB2312" w:cs="仿宋_GB2312"/>
          <w:sz w:val="32"/>
          <w:szCs w:val="32"/>
        </w:rPr>
      </w:pPr>
      <w:bookmarkStart w:id="6" w:name="heading_18"/>
      <w:r>
        <w:rPr>
          <w:rFonts w:hint="eastAsia" w:ascii="仿宋_GB2312" w:hAnsi="仿宋_GB2312" w:eastAsia="仿宋_GB2312" w:cs="仿宋_GB2312"/>
          <w:b/>
          <w:sz w:val="32"/>
          <w:szCs w:val="32"/>
        </w:rPr>
        <w:t>3. 目标实现</w:t>
      </w:r>
      <w:bookmarkEnd w:id="6"/>
    </w:p>
    <w:p w14:paraId="5EB51A6B">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目标完成:通过对我办预算支出绩效目标的设置情况、资金使用情况、资金实施管理情况、整体支出绩效表现情况进行自我评价，了解资金使用是否达到了预期目标、资金管理是否规范、资金使用是否有效，检验资金支出效率和效果，分析存在的问题和原因，及时总结经验，改进管理措施，不断增强和落实绩效管理责任，完善工作机制，有效提高资金管理水平和使用效益，进一步提升绩效管理水平，强化支出责任，提高财政资金使用效益。该项自评得分为4分。</w:t>
      </w:r>
    </w:p>
    <w:p w14:paraId="069FC0E6">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目标偏离:本年度部门预算项目绩效目标数量指标完成情况较好，已完成预期指标值的数量指标中偏离度均在30%内。该项自评得分为4分。</w:t>
      </w:r>
    </w:p>
    <w:p w14:paraId="598A9C8A">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实现效果:我办认真做好政协工作安排、按时完成县委工作计划，合理推进全县经济发展目标；做好预决算审查监督工作，保障财政资金高效利用，对政协干部、委员培训，提升相关履职职能，更好为人民服务，本年度所有项目均完成预期设定绩效目标效益指标，该项自评得分为4分。</w:t>
      </w:r>
    </w:p>
    <w:p w14:paraId="7B78205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3" w:firstLineChars="200"/>
        <w:contextualSpacing/>
        <w:jc w:val="both"/>
        <w:textAlignment w:val="auto"/>
        <w:outlineLvl w:val="9"/>
        <w:rPr>
          <w:rFonts w:hint="eastAsia" w:ascii="Times New Roman" w:hAnsi="Times New Roman" w:eastAsia="楷体_GB2312" w:cs="Times New Roman"/>
          <w:b/>
          <w:bCs/>
          <w:color w:val="000000"/>
          <w:kern w:val="0"/>
          <w:sz w:val="32"/>
          <w:szCs w:val="32"/>
          <w:highlight w:val="none"/>
          <w:shd w:val="clear" w:color="auto" w:fill="FFFFFF"/>
          <w:lang w:val="zh-CN" w:eastAsia="zh-CN"/>
        </w:rPr>
      </w:pPr>
      <w:r>
        <w:rPr>
          <w:rFonts w:hint="eastAsia" w:ascii="Times New Roman" w:hAnsi="Times New Roman" w:eastAsia="楷体_GB2312" w:cs="Times New Roman"/>
          <w:b/>
          <w:bCs/>
          <w:color w:val="000000"/>
          <w:kern w:val="0"/>
          <w:sz w:val="32"/>
          <w:szCs w:val="32"/>
          <w:highlight w:val="none"/>
          <w:shd w:val="clear" w:color="auto" w:fill="FFFFFF"/>
          <w:lang w:val="zh-CN" w:eastAsia="zh-CN"/>
        </w:rPr>
        <w:t>（三）</w:t>
      </w:r>
      <w:r>
        <w:rPr>
          <w:rFonts w:hint="default" w:ascii="Times New Roman" w:hAnsi="Times New Roman" w:eastAsia="楷体_GB2312" w:cs="Times New Roman"/>
          <w:b/>
          <w:bCs/>
          <w:color w:val="000000"/>
          <w:kern w:val="0"/>
          <w:sz w:val="32"/>
          <w:szCs w:val="32"/>
          <w:highlight w:val="none"/>
          <w:shd w:val="clear" w:color="auto" w:fill="FFFFFF"/>
          <w:lang w:val="zh-CN" w:eastAsia="zh-CN"/>
        </w:rPr>
        <w:t>绩效结果应用情况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p>
    <w:p w14:paraId="5E7E0EFE">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我办将进一步加强预算绩效管理的力度、扎实工作，将预算绩效自评价结果作为改进预算管理和安排以后年度预算的重要依据。在今后编制预算时，我们将在县财政局的具体指导下，不断完善绩效评价指标，及时调整和优化我办后续项目和以后年度预算支出的方向和结构，合理配置资源，加强财务管理，完善项目管理办法，切实提高项目管理水平、财政资金使用效益和部门工作效率。针对财政局的反馈意见，我们将认真落实整改。加强资金使用的监管和跟踪，完善内部控制制度，压实责任，重视财政资金使用的绩效评价，确保各项资金管理使用合规合纪，为政协机关正常运转提供强有力的财务保障。</w:t>
      </w:r>
    </w:p>
    <w:p w14:paraId="4D2236C4">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Times New Roman" w:hAnsi="Times New Roman" w:eastAsia="黑体" w:cs="Times New Roman"/>
          <w:color w:val="000000"/>
          <w:kern w:val="0"/>
          <w:sz w:val="32"/>
          <w:szCs w:val="32"/>
          <w:highlight w:val="none"/>
          <w:shd w:val="clear" w:color="auto" w:fill="FFFFFF"/>
          <w:lang w:eastAsia="zh-CN"/>
        </w:rPr>
      </w:pPr>
      <w:r>
        <w:rPr>
          <w:rFonts w:hint="eastAsia" w:ascii="Times New Roman" w:hAnsi="Times New Roman" w:eastAsia="黑体" w:cs="Times New Roman"/>
          <w:color w:val="000000"/>
          <w:kern w:val="0"/>
          <w:sz w:val="32"/>
          <w:szCs w:val="32"/>
          <w:highlight w:val="none"/>
          <w:shd w:val="clear" w:color="auto" w:fill="FFFFFF"/>
          <w:lang w:val="zh-CN" w:eastAsia="zh-CN"/>
        </w:rPr>
        <w:t>四、评价结论及建议</w:t>
      </w:r>
    </w:p>
    <w:p w14:paraId="1B9E772C">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3" w:firstLineChars="200"/>
        <w:contextualSpacing/>
        <w:jc w:val="both"/>
        <w:textAlignment w:val="auto"/>
        <w:outlineLvl w:val="9"/>
        <w:rPr>
          <w:rFonts w:hint="eastAsia" w:ascii="Times New Roman" w:hAnsi="Times New Roman" w:eastAsia="楷体_GB2312" w:cs="Times New Roman"/>
          <w:b/>
          <w:bCs/>
          <w:color w:val="000000"/>
          <w:kern w:val="0"/>
          <w:sz w:val="32"/>
          <w:szCs w:val="32"/>
          <w:highlight w:val="none"/>
          <w:shd w:val="clear" w:color="auto" w:fill="FFFFFF"/>
          <w:lang w:val="zh-CN" w:eastAsia="zh-CN"/>
        </w:rPr>
      </w:pPr>
      <w:r>
        <w:rPr>
          <w:rFonts w:hint="eastAsia" w:ascii="Times New Roman" w:hAnsi="Times New Roman" w:eastAsia="楷体_GB2312" w:cs="Times New Roman"/>
          <w:b/>
          <w:bCs/>
          <w:color w:val="000000"/>
          <w:kern w:val="0"/>
          <w:sz w:val="32"/>
          <w:szCs w:val="32"/>
          <w:highlight w:val="none"/>
          <w:shd w:val="clear" w:color="auto" w:fill="FFFFFF"/>
          <w:lang w:val="zh-CN" w:eastAsia="zh-CN"/>
        </w:rPr>
        <w:t>（一）评价结论。</w:t>
      </w:r>
    </w:p>
    <w:p w14:paraId="5F7F84F9">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我中心组织开展了2025年度部门整体支出绩效评价工作，对2025年度财政预算资金进行整体绩效评价，根据设定的绩效目标，运用合理的评价方法，对预算资金支出经济性、效率性、有效性和可持续性进行客观、公正的评价。我单位对财政专项资金的分配、使用和管理按照先有办法、后分资金；专款专用、独立核算；统一支付、严格把关的原则进行管理。严格执行预算，规范了资金审批和支付程序，提高了资金的使用效率。认真开展专项资金绩效管理，在资金分配中的项目申报、评审和安排，均按规定严格执行，各项重点项目资金安排都保证及时到位，每一笔收支都做到有依据、有凭证、有程序，确保专项资金依法管理与使用，未发生专项资金挤占、挪用、截留等违规现象。按照“部门预算绩效评价指标体系”进行综合评价，整体绩效评价综合得分90.8分，各项评分结果见评价表。</w:t>
      </w:r>
    </w:p>
    <w:p w14:paraId="606DC93A">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3" w:firstLineChars="200"/>
        <w:contextualSpacing/>
        <w:jc w:val="both"/>
        <w:textAlignment w:val="auto"/>
        <w:outlineLvl w:val="9"/>
        <w:rPr>
          <w:rFonts w:hint="eastAsia" w:ascii="Times New Roman" w:hAnsi="Times New Roman" w:eastAsia="楷体_GB2312" w:cs="Times New Roman"/>
          <w:b/>
          <w:bCs/>
          <w:color w:val="000000"/>
          <w:kern w:val="0"/>
          <w:sz w:val="32"/>
          <w:szCs w:val="32"/>
          <w:highlight w:val="none"/>
          <w:shd w:val="clear" w:color="auto" w:fill="FFFFFF"/>
          <w:lang w:val="en-US" w:eastAsia="zh-CN"/>
        </w:rPr>
      </w:pPr>
      <w:r>
        <w:rPr>
          <w:rFonts w:hint="eastAsia" w:ascii="Times New Roman" w:hAnsi="Times New Roman" w:eastAsia="楷体_GB2312" w:cs="Times New Roman"/>
          <w:b/>
          <w:bCs/>
          <w:color w:val="000000"/>
          <w:kern w:val="0"/>
          <w:sz w:val="32"/>
          <w:szCs w:val="32"/>
          <w:highlight w:val="none"/>
          <w:shd w:val="clear" w:color="auto" w:fill="FFFFFF"/>
          <w:lang w:val="en-US" w:eastAsia="zh-CN"/>
        </w:rPr>
        <w:t>（二）存在问题。</w:t>
      </w:r>
    </w:p>
    <w:p w14:paraId="0353835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 w:hAnsi="仿宋" w:eastAsia="仿宋" w:cs="仿宋"/>
          <w:bCs/>
          <w:sz w:val="32"/>
          <w:szCs w:val="32"/>
          <w:highlight w:val="none"/>
          <w:lang w:val="en-US" w:eastAsia="zh-CN"/>
        </w:rPr>
      </w:pPr>
      <w:r>
        <w:rPr>
          <w:rFonts w:hint="eastAsia" w:ascii="仿宋_GB2312" w:hAnsi="黑体" w:eastAsia="仿宋_GB2312" w:cs="黑体"/>
          <w:sz w:val="32"/>
          <w:szCs w:val="32"/>
          <w:lang w:val="en-US" w:eastAsia="zh-CN"/>
        </w:rPr>
        <w:t>在项目绩效目标设定、预算执行、资金使用等方面，不同程度存在操作不够规范、跟踪不够及时、衔接不够充分、监督不够到位等问题；部分项目预算资金支付进度有待提高，短期资金支出效率较低；项目绩效目标设定的科学性、时效性有待加强；项目安排统筹力度还需加大，因资金拨付及工作开展进度影响，个别项目存在支出进度偏慢的现象。</w:t>
      </w:r>
      <w:r>
        <w:rPr>
          <w:rFonts w:hint="eastAsia" w:ascii="仿宋" w:hAnsi="仿宋" w:eastAsia="仿宋" w:cs="仿宋"/>
          <w:bCs/>
          <w:sz w:val="32"/>
          <w:szCs w:val="32"/>
          <w:highlight w:val="none"/>
          <w:lang w:val="en-US" w:eastAsia="zh-CN"/>
        </w:rPr>
        <w:t>  </w:t>
      </w:r>
    </w:p>
    <w:p w14:paraId="2A2859D4">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3" w:firstLineChars="200"/>
        <w:contextualSpacing/>
        <w:jc w:val="both"/>
        <w:textAlignment w:val="auto"/>
        <w:outlineLvl w:val="9"/>
        <w:rPr>
          <w:rFonts w:hint="eastAsia" w:ascii="Times New Roman" w:hAnsi="Times New Roman" w:eastAsia="楷体_GB2312" w:cs="Times New Roman"/>
          <w:b/>
          <w:bCs/>
          <w:color w:val="000000"/>
          <w:kern w:val="0"/>
          <w:sz w:val="32"/>
          <w:szCs w:val="32"/>
          <w:highlight w:val="none"/>
          <w:shd w:val="clear" w:color="auto" w:fill="FFFFFF"/>
          <w:lang w:val="en-US" w:eastAsia="zh-CN"/>
        </w:rPr>
      </w:pPr>
      <w:r>
        <w:rPr>
          <w:rFonts w:hint="eastAsia" w:ascii="Times New Roman" w:hAnsi="Times New Roman" w:eastAsia="楷体_GB2312" w:cs="Times New Roman"/>
          <w:b/>
          <w:bCs/>
          <w:color w:val="000000"/>
          <w:kern w:val="0"/>
          <w:sz w:val="32"/>
          <w:szCs w:val="32"/>
          <w:highlight w:val="none"/>
          <w:shd w:val="clear" w:color="auto" w:fill="FFFFFF"/>
          <w:lang w:val="en-US" w:eastAsia="zh-CN"/>
        </w:rPr>
        <w:t>（三）改进建议。</w:t>
      </w:r>
    </w:p>
    <w:p w14:paraId="6A8E7C23">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黑体" w:eastAsia="仿宋_GB2312" w:cs="黑体"/>
          <w:sz w:val="32"/>
          <w:szCs w:val="32"/>
          <w:lang w:val="en-US" w:eastAsia="zh-CN"/>
        </w:rPr>
      </w:pPr>
      <w:r>
        <w:rPr>
          <w:rFonts w:hint="eastAsia" w:ascii="仿宋_GB2312" w:hAnsi="黑体" w:eastAsia="仿宋_GB2312" w:cs="黑体"/>
          <w:sz w:val="32"/>
          <w:szCs w:val="32"/>
          <w:lang w:val="en-US" w:eastAsia="zh-CN"/>
        </w:rPr>
        <w:t>一是进一步加强财务规范化管理，增强内部预算管理意识，严格按照预算编制相关制度和要求开展预算编制与绩效评估，切实提高财政资金使用效益，不断提升单位绩效自评工作人员的专业能力，确保绩效评价科学准确。二是坚持推进精细化管理，强化预算绩效目标管理，细化绩效目标并分解为具体工作计划，提升预算执行的针对性和高效性。三是恳请财政部门结合政协工作发展要求和实际情况，将相关项目经费纳入年度预算，保障单位财务正常运转，使绩效评价工作更合理、更完整。四是进一步完善预算管理体制，加强项目开展进度跟踪，常态化开展项目绩效评价，确保项目绩效目标圆满完成。</w:t>
      </w:r>
    </w:p>
    <w:p w14:paraId="736FD846">
      <w:pPr>
        <w:pStyle w:val="2"/>
        <w:rPr>
          <w:rFonts w:hint="eastAsia"/>
          <w:lang w:val="en-US" w:eastAsia="zh-CN"/>
        </w:rPr>
      </w:pPr>
    </w:p>
    <w:p w14:paraId="79742CE6">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contextualSpacing/>
        <w:jc w:val="both"/>
        <w:textAlignment w:val="auto"/>
        <w:outlineLvl w:val="9"/>
        <w:rPr>
          <w:rFonts w:hint="eastAsia" w:ascii="仿宋" w:hAnsi="仿宋" w:eastAsia="仿宋" w:cs="仿宋"/>
          <w:bCs/>
          <w:sz w:val="32"/>
          <w:szCs w:val="32"/>
          <w:highlight w:val="none"/>
          <w:lang w:val="en-US" w:eastAsia="zh-CN"/>
        </w:rPr>
      </w:pPr>
      <w:r>
        <w:rPr>
          <w:rFonts w:hint="eastAsia" w:ascii="仿宋" w:hAnsi="仿宋" w:eastAsia="仿宋" w:cs="仿宋"/>
          <w:bCs/>
          <w:sz w:val="32"/>
          <w:szCs w:val="32"/>
          <w:highlight w:val="none"/>
          <w:lang w:val="en-US" w:eastAsia="zh-CN"/>
        </w:rPr>
        <w:t>附表：1.部门预算绩效自评打分表</w:t>
      </w:r>
    </w:p>
    <w:p w14:paraId="6ADF361E">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contextualSpacing/>
        <w:jc w:val="both"/>
        <w:textAlignment w:val="auto"/>
        <w:outlineLvl w:val="9"/>
        <w:rPr>
          <w:rFonts w:hint="eastAsia" w:ascii="仿宋" w:hAnsi="仿宋" w:eastAsia="仿宋" w:cs="仿宋"/>
          <w:bCs/>
          <w:sz w:val="32"/>
          <w:szCs w:val="32"/>
          <w:highlight w:val="none"/>
          <w:lang w:val="en-US" w:eastAsia="zh-CN"/>
        </w:rPr>
      </w:pPr>
      <w:r>
        <w:rPr>
          <w:rFonts w:hint="eastAsia" w:ascii="仿宋" w:hAnsi="仿宋" w:eastAsia="仿宋" w:cs="仿宋"/>
          <w:bCs/>
          <w:sz w:val="32"/>
          <w:szCs w:val="32"/>
          <w:highlight w:val="none"/>
          <w:lang w:val="en-US" w:eastAsia="zh-CN"/>
        </w:rPr>
        <w:t xml:space="preserve">      2.部门整体支出绩效目标完成情况自评表</w:t>
      </w:r>
    </w:p>
    <w:p w14:paraId="4A0E79B4">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黑体" w:cs="Times New Roman"/>
          <w:sz w:val="32"/>
        </w:rPr>
      </w:pPr>
      <w:r>
        <w:rPr>
          <w:rFonts w:hint="default" w:ascii="仿宋" w:hAnsi="仿宋" w:eastAsia="仿宋" w:cs="仿宋"/>
          <w:bCs/>
          <w:sz w:val="32"/>
          <w:szCs w:val="32"/>
          <w:highlight w:val="none"/>
          <w:lang w:val="en-US" w:eastAsia="zh-CN"/>
        </w:rPr>
        <w:br w:type="page"/>
      </w:r>
      <w:r>
        <w:rPr>
          <w:rFonts w:ascii="Times New Roman" w:hAnsi="Times New Roman" w:eastAsia="黑体" w:cs="Times New Roman"/>
          <w:sz w:val="32"/>
        </w:rPr>
        <w:t>附表</w:t>
      </w:r>
      <w:r>
        <w:rPr>
          <w:rFonts w:hint="eastAsia" w:ascii="Times New Roman" w:hAnsi="Times New Roman" w:eastAsia="黑体" w:cs="Times New Roman"/>
          <w:sz w:val="32"/>
        </w:rPr>
        <w:t>1</w:t>
      </w:r>
    </w:p>
    <w:p w14:paraId="1CCE76D4">
      <w:pPr>
        <w:pStyle w:val="2"/>
        <w:jc w:val="center"/>
        <w:rPr>
          <w:rFonts w:hint="eastAsia" w:eastAsia="方正小标宋简体"/>
          <w:color w:val="000000"/>
          <w:kern w:val="0"/>
          <w:sz w:val="44"/>
          <w:szCs w:val="44"/>
        </w:rPr>
      </w:pPr>
      <w:r>
        <w:rPr>
          <w:rFonts w:hint="eastAsia" w:eastAsia="方正小标宋简体"/>
          <w:color w:val="000000"/>
          <w:kern w:val="0"/>
          <w:sz w:val="44"/>
          <w:szCs w:val="44"/>
        </w:rPr>
        <w:t>部门预算绩效自评打分表</w:t>
      </w:r>
    </w:p>
    <w:tbl>
      <w:tblPr>
        <w:tblStyle w:val="4"/>
        <w:tblW w:w="0" w:type="auto"/>
        <w:jc w:val="center"/>
        <w:tblLayout w:type="fixed"/>
        <w:tblCellMar>
          <w:top w:w="0" w:type="dxa"/>
          <w:left w:w="108" w:type="dxa"/>
          <w:bottom w:w="0" w:type="dxa"/>
          <w:right w:w="108" w:type="dxa"/>
        </w:tblCellMar>
      </w:tblPr>
      <w:tblGrid>
        <w:gridCol w:w="1097"/>
        <w:gridCol w:w="1201"/>
        <w:gridCol w:w="1929"/>
        <w:gridCol w:w="717"/>
        <w:gridCol w:w="4760"/>
        <w:gridCol w:w="730"/>
        <w:gridCol w:w="478"/>
      </w:tblGrid>
      <w:tr w14:paraId="771B4B95">
        <w:tblPrEx>
          <w:tblCellMar>
            <w:top w:w="0" w:type="dxa"/>
            <w:left w:w="108" w:type="dxa"/>
            <w:bottom w:w="0" w:type="dxa"/>
            <w:right w:w="108" w:type="dxa"/>
          </w:tblCellMar>
        </w:tblPrEx>
        <w:trPr>
          <w:trHeight w:val="23" w:hRule="atLeast"/>
          <w:jc w:val="center"/>
        </w:trPr>
        <w:tc>
          <w:tcPr>
            <w:tcW w:w="4944" w:type="dxa"/>
            <w:gridSpan w:val="4"/>
            <w:tcBorders>
              <w:top w:val="single" w:color="000000" w:sz="4" w:space="0"/>
              <w:left w:val="single" w:color="000000" w:sz="4" w:space="0"/>
              <w:bottom w:val="single" w:color="000000" w:sz="4" w:space="0"/>
              <w:right w:val="single" w:color="000000" w:sz="4" w:space="0"/>
            </w:tcBorders>
            <w:noWrap w:val="0"/>
            <w:vAlign w:val="center"/>
          </w:tcPr>
          <w:p w14:paraId="4EBBDF6E">
            <w:pPr>
              <w:widowControl/>
              <w:spacing w:line="240" w:lineRule="exact"/>
              <w:jc w:val="center"/>
              <w:textAlignment w:val="center"/>
              <w:rPr>
                <w:rFonts w:ascii="黑体" w:hAnsi="宋体" w:eastAsia="黑体" w:cs="黑体"/>
                <w:color w:val="000000"/>
                <w:sz w:val="24"/>
              </w:rPr>
            </w:pPr>
            <w:r>
              <w:rPr>
                <w:rFonts w:hint="eastAsia" w:ascii="黑体" w:hAnsi="宋体" w:eastAsia="黑体" w:cs="黑体"/>
                <w:color w:val="000000"/>
                <w:kern w:val="0"/>
                <w:sz w:val="24"/>
              </w:rPr>
              <w:t>绩效评价指标指标分值</w:t>
            </w:r>
          </w:p>
        </w:tc>
        <w:tc>
          <w:tcPr>
            <w:tcW w:w="4760" w:type="dxa"/>
            <w:vMerge w:val="restart"/>
            <w:tcBorders>
              <w:top w:val="single" w:color="000000" w:sz="4" w:space="0"/>
              <w:left w:val="single" w:color="000000" w:sz="4" w:space="0"/>
              <w:bottom w:val="single" w:color="000000" w:sz="4" w:space="0"/>
              <w:right w:val="single" w:color="000000" w:sz="4" w:space="0"/>
            </w:tcBorders>
            <w:noWrap w:val="0"/>
            <w:vAlign w:val="center"/>
          </w:tcPr>
          <w:p w14:paraId="17FF4FD9">
            <w:pPr>
              <w:widowControl/>
              <w:spacing w:line="240" w:lineRule="exact"/>
              <w:jc w:val="center"/>
              <w:textAlignment w:val="center"/>
              <w:rPr>
                <w:rFonts w:ascii="黑体" w:hAnsi="宋体" w:eastAsia="黑体" w:cs="黑体"/>
                <w:color w:val="000000"/>
                <w:sz w:val="24"/>
              </w:rPr>
            </w:pPr>
            <w:r>
              <w:rPr>
                <w:rFonts w:hint="eastAsia" w:ascii="黑体" w:hAnsi="宋体" w:eastAsia="黑体" w:cs="黑体"/>
                <w:color w:val="000000"/>
                <w:kern w:val="0"/>
                <w:sz w:val="24"/>
              </w:rPr>
              <w:t>指标解释</w:t>
            </w:r>
          </w:p>
        </w:tc>
        <w:tc>
          <w:tcPr>
            <w:tcW w:w="730" w:type="dxa"/>
            <w:vMerge w:val="restart"/>
            <w:tcBorders>
              <w:top w:val="single" w:color="000000" w:sz="4" w:space="0"/>
              <w:left w:val="single" w:color="000000" w:sz="4" w:space="0"/>
              <w:right w:val="single" w:color="000000" w:sz="4" w:space="0"/>
            </w:tcBorders>
            <w:noWrap w:val="0"/>
            <w:vAlign w:val="center"/>
          </w:tcPr>
          <w:p w14:paraId="798195E2">
            <w:pPr>
              <w:widowControl/>
              <w:spacing w:line="240" w:lineRule="exact"/>
              <w:jc w:val="center"/>
              <w:textAlignment w:val="center"/>
              <w:rPr>
                <w:rFonts w:ascii="黑体" w:hAnsi="宋体" w:eastAsia="黑体" w:cs="黑体"/>
                <w:color w:val="000000"/>
                <w:kern w:val="0"/>
                <w:sz w:val="24"/>
              </w:rPr>
            </w:pPr>
            <w:r>
              <w:rPr>
                <w:rFonts w:hint="eastAsia" w:ascii="黑体" w:hAnsi="宋体" w:eastAsia="黑体" w:cs="黑体"/>
                <w:color w:val="000000"/>
                <w:kern w:val="0"/>
                <w:sz w:val="24"/>
              </w:rPr>
              <w:t>自评得分</w:t>
            </w:r>
          </w:p>
        </w:tc>
        <w:tc>
          <w:tcPr>
            <w:tcW w:w="478" w:type="dxa"/>
            <w:vMerge w:val="restart"/>
            <w:tcBorders>
              <w:top w:val="single" w:color="000000" w:sz="4" w:space="0"/>
              <w:left w:val="single" w:color="000000" w:sz="4" w:space="0"/>
              <w:right w:val="single" w:color="000000" w:sz="4" w:space="0"/>
            </w:tcBorders>
            <w:noWrap w:val="0"/>
            <w:vAlign w:val="center"/>
          </w:tcPr>
          <w:p w14:paraId="172D28E8">
            <w:pPr>
              <w:widowControl/>
              <w:spacing w:line="240" w:lineRule="exact"/>
              <w:jc w:val="center"/>
              <w:textAlignment w:val="center"/>
              <w:rPr>
                <w:rFonts w:ascii="黑体" w:hAnsi="宋体" w:eastAsia="黑体" w:cs="黑体"/>
                <w:color w:val="000000"/>
                <w:kern w:val="0"/>
                <w:sz w:val="24"/>
              </w:rPr>
            </w:pPr>
            <w:r>
              <w:rPr>
                <w:rFonts w:hint="eastAsia" w:ascii="黑体" w:hAnsi="宋体" w:eastAsia="黑体" w:cs="黑体"/>
                <w:color w:val="000000"/>
                <w:kern w:val="0"/>
                <w:sz w:val="24"/>
              </w:rPr>
              <w:t>备注</w:t>
            </w:r>
          </w:p>
        </w:tc>
      </w:tr>
      <w:tr w14:paraId="08188019">
        <w:tblPrEx>
          <w:tblCellMar>
            <w:top w:w="0" w:type="dxa"/>
            <w:left w:w="108" w:type="dxa"/>
            <w:bottom w:w="0" w:type="dxa"/>
            <w:right w:w="108" w:type="dxa"/>
          </w:tblCellMar>
        </w:tblPrEx>
        <w:trPr>
          <w:trHeight w:val="23" w:hRule="atLeast"/>
          <w:jc w:val="center"/>
        </w:trPr>
        <w:tc>
          <w:tcPr>
            <w:tcW w:w="1097" w:type="dxa"/>
            <w:tcBorders>
              <w:top w:val="single" w:color="000000" w:sz="4" w:space="0"/>
              <w:left w:val="single" w:color="000000" w:sz="4" w:space="0"/>
              <w:bottom w:val="single" w:color="000000" w:sz="4" w:space="0"/>
              <w:right w:val="nil"/>
            </w:tcBorders>
            <w:noWrap w:val="0"/>
            <w:vAlign w:val="center"/>
          </w:tcPr>
          <w:p w14:paraId="168CC931">
            <w:pPr>
              <w:widowControl/>
              <w:spacing w:line="240" w:lineRule="exact"/>
              <w:jc w:val="center"/>
              <w:textAlignment w:val="center"/>
              <w:rPr>
                <w:rFonts w:ascii="黑体" w:hAnsi="宋体" w:eastAsia="黑体" w:cs="黑体"/>
                <w:color w:val="000000"/>
                <w:sz w:val="24"/>
              </w:rPr>
            </w:pPr>
            <w:r>
              <w:rPr>
                <w:rFonts w:hint="eastAsia" w:ascii="黑体" w:hAnsi="宋体" w:eastAsia="黑体" w:cs="黑体"/>
                <w:color w:val="000000"/>
                <w:kern w:val="0"/>
                <w:sz w:val="24"/>
              </w:rPr>
              <w:t>一级指标</w:t>
            </w:r>
          </w:p>
        </w:tc>
        <w:tc>
          <w:tcPr>
            <w:tcW w:w="1201" w:type="dxa"/>
            <w:tcBorders>
              <w:top w:val="single" w:color="000000" w:sz="4" w:space="0"/>
              <w:left w:val="single" w:color="000000" w:sz="4" w:space="0"/>
              <w:bottom w:val="single" w:color="000000" w:sz="4" w:space="0"/>
              <w:right w:val="single" w:color="000000" w:sz="4" w:space="0"/>
            </w:tcBorders>
            <w:noWrap w:val="0"/>
            <w:vAlign w:val="center"/>
          </w:tcPr>
          <w:p w14:paraId="21CB7C8A">
            <w:pPr>
              <w:widowControl/>
              <w:spacing w:line="240" w:lineRule="exact"/>
              <w:jc w:val="center"/>
              <w:textAlignment w:val="center"/>
              <w:rPr>
                <w:rFonts w:ascii="黑体" w:hAnsi="宋体" w:eastAsia="黑体" w:cs="黑体"/>
                <w:color w:val="000000"/>
                <w:sz w:val="24"/>
              </w:rPr>
            </w:pPr>
            <w:r>
              <w:rPr>
                <w:rFonts w:hint="eastAsia" w:ascii="黑体" w:hAnsi="宋体" w:eastAsia="黑体" w:cs="黑体"/>
                <w:color w:val="000000"/>
                <w:kern w:val="0"/>
                <w:sz w:val="24"/>
              </w:rPr>
              <w:t>二级指标</w:t>
            </w: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3B3B7493">
            <w:pPr>
              <w:widowControl/>
              <w:spacing w:line="240" w:lineRule="exact"/>
              <w:jc w:val="center"/>
              <w:textAlignment w:val="center"/>
              <w:rPr>
                <w:rFonts w:ascii="黑体" w:hAnsi="宋体" w:eastAsia="黑体" w:cs="黑体"/>
                <w:color w:val="000000"/>
                <w:sz w:val="24"/>
              </w:rPr>
            </w:pPr>
            <w:r>
              <w:rPr>
                <w:rFonts w:hint="eastAsia" w:ascii="黑体" w:hAnsi="宋体" w:eastAsia="黑体" w:cs="黑体"/>
                <w:color w:val="000000"/>
                <w:kern w:val="0"/>
                <w:sz w:val="24"/>
              </w:rPr>
              <w:t>三级指标</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14051D50">
            <w:pPr>
              <w:widowControl/>
              <w:spacing w:line="240" w:lineRule="exact"/>
              <w:jc w:val="center"/>
              <w:textAlignment w:val="center"/>
              <w:rPr>
                <w:rFonts w:ascii="黑体" w:hAnsi="宋体" w:eastAsia="黑体" w:cs="黑体"/>
                <w:color w:val="000000"/>
                <w:sz w:val="24"/>
              </w:rPr>
            </w:pPr>
            <w:r>
              <w:rPr>
                <w:rFonts w:hint="eastAsia" w:ascii="黑体" w:hAnsi="宋体" w:eastAsia="黑体" w:cs="黑体"/>
                <w:color w:val="000000"/>
                <w:kern w:val="0"/>
                <w:sz w:val="24"/>
              </w:rPr>
              <w:t>指标</w:t>
            </w:r>
            <w:r>
              <w:rPr>
                <w:rFonts w:hint="eastAsia" w:ascii="黑体" w:hAnsi="宋体" w:eastAsia="黑体" w:cs="黑体"/>
                <w:color w:val="000000"/>
                <w:kern w:val="0"/>
                <w:sz w:val="24"/>
              </w:rPr>
              <w:br w:type="textWrapping"/>
            </w:r>
            <w:r>
              <w:rPr>
                <w:rFonts w:hint="eastAsia" w:ascii="黑体" w:hAnsi="宋体" w:eastAsia="黑体" w:cs="黑体"/>
                <w:color w:val="000000"/>
                <w:kern w:val="0"/>
                <w:sz w:val="24"/>
              </w:rPr>
              <w:t>分值</w:t>
            </w:r>
          </w:p>
        </w:tc>
        <w:tc>
          <w:tcPr>
            <w:tcW w:w="47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F257C6">
            <w:pPr>
              <w:widowControl/>
              <w:spacing w:line="240" w:lineRule="exact"/>
              <w:jc w:val="center"/>
              <w:rPr>
                <w:rFonts w:ascii="黑体" w:hAnsi="宋体" w:eastAsia="黑体" w:cs="黑体"/>
                <w:color w:val="000000"/>
                <w:sz w:val="24"/>
              </w:rPr>
            </w:pPr>
          </w:p>
        </w:tc>
        <w:tc>
          <w:tcPr>
            <w:tcW w:w="730" w:type="dxa"/>
            <w:vMerge w:val="continue"/>
            <w:tcBorders>
              <w:left w:val="single" w:color="000000" w:sz="4" w:space="0"/>
              <w:bottom w:val="single" w:color="000000" w:sz="4" w:space="0"/>
              <w:right w:val="single" w:color="000000" w:sz="4" w:space="0"/>
            </w:tcBorders>
            <w:noWrap w:val="0"/>
            <w:vAlign w:val="center"/>
          </w:tcPr>
          <w:p w14:paraId="69862107">
            <w:pPr>
              <w:widowControl/>
              <w:spacing w:line="240" w:lineRule="exact"/>
              <w:jc w:val="center"/>
              <w:rPr>
                <w:rFonts w:ascii="黑体" w:hAnsi="宋体" w:eastAsia="黑体" w:cs="黑体"/>
                <w:color w:val="000000"/>
                <w:sz w:val="24"/>
              </w:rPr>
            </w:pPr>
          </w:p>
        </w:tc>
        <w:tc>
          <w:tcPr>
            <w:tcW w:w="478" w:type="dxa"/>
            <w:vMerge w:val="continue"/>
            <w:tcBorders>
              <w:left w:val="single" w:color="000000" w:sz="4" w:space="0"/>
              <w:bottom w:val="single" w:color="000000" w:sz="4" w:space="0"/>
              <w:right w:val="single" w:color="000000" w:sz="4" w:space="0"/>
            </w:tcBorders>
            <w:noWrap w:val="0"/>
            <w:vAlign w:val="center"/>
          </w:tcPr>
          <w:p w14:paraId="28B6F74F">
            <w:pPr>
              <w:widowControl/>
              <w:spacing w:line="240" w:lineRule="exact"/>
              <w:jc w:val="center"/>
              <w:rPr>
                <w:rFonts w:ascii="黑体" w:hAnsi="宋体" w:eastAsia="黑体" w:cs="黑体"/>
                <w:color w:val="000000"/>
                <w:sz w:val="24"/>
              </w:rPr>
            </w:pPr>
          </w:p>
        </w:tc>
      </w:tr>
      <w:tr w14:paraId="7AA3C8BA">
        <w:tblPrEx>
          <w:tblCellMar>
            <w:top w:w="0" w:type="dxa"/>
            <w:left w:w="108" w:type="dxa"/>
            <w:bottom w:w="0" w:type="dxa"/>
            <w:right w:w="108" w:type="dxa"/>
          </w:tblCellMar>
        </w:tblPrEx>
        <w:trPr>
          <w:trHeight w:val="160" w:hRule="atLeast"/>
          <w:jc w:val="center"/>
        </w:trPr>
        <w:tc>
          <w:tcPr>
            <w:tcW w:w="1097" w:type="dxa"/>
            <w:vMerge w:val="restart"/>
            <w:tcBorders>
              <w:top w:val="single" w:color="000000" w:sz="4" w:space="0"/>
              <w:left w:val="single" w:color="000000" w:sz="4" w:space="0"/>
              <w:right w:val="single" w:color="000000" w:sz="4" w:space="0"/>
            </w:tcBorders>
            <w:noWrap w:val="0"/>
            <w:vAlign w:val="center"/>
          </w:tcPr>
          <w:p w14:paraId="126BE7B7">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总体绩效（65分）</w:t>
            </w:r>
          </w:p>
        </w:tc>
        <w:tc>
          <w:tcPr>
            <w:tcW w:w="1201" w:type="dxa"/>
            <w:vMerge w:val="restart"/>
            <w:tcBorders>
              <w:top w:val="single" w:color="000000" w:sz="4" w:space="0"/>
              <w:left w:val="single" w:color="000000" w:sz="4" w:space="0"/>
              <w:right w:val="single" w:color="000000" w:sz="4" w:space="0"/>
            </w:tcBorders>
            <w:noWrap w:val="0"/>
            <w:vAlign w:val="center"/>
          </w:tcPr>
          <w:p w14:paraId="362D7AF0">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履职效能</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（15分）</w:t>
            </w: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1AFCB860">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切实开展政协调研、协商、视察全过程</w:t>
            </w:r>
            <w:r>
              <w:rPr>
                <w:rFonts w:hint="eastAsia" w:ascii="宋体" w:hAnsi="宋体" w:cs="宋体"/>
                <w:color w:val="000000"/>
                <w:kern w:val="0"/>
                <w:sz w:val="24"/>
                <w:lang w:eastAsia="zh-CN"/>
              </w:rPr>
              <w:t>人民</w:t>
            </w:r>
            <w:bookmarkStart w:id="7" w:name="_GoBack"/>
            <w:bookmarkEnd w:id="7"/>
            <w:r>
              <w:rPr>
                <w:rFonts w:hint="eastAsia" w:ascii="宋体" w:hAnsi="宋体" w:eastAsia="宋体" w:cs="宋体"/>
                <w:color w:val="000000"/>
                <w:kern w:val="0"/>
                <w:sz w:val="24"/>
              </w:rPr>
              <w:t>民主监督</w:t>
            </w:r>
          </w:p>
        </w:tc>
        <w:tc>
          <w:tcPr>
            <w:tcW w:w="717" w:type="dxa"/>
            <w:vMerge w:val="restart"/>
            <w:tcBorders>
              <w:top w:val="nil"/>
              <w:left w:val="single" w:color="000000" w:sz="4" w:space="0"/>
              <w:right w:val="single" w:color="000000" w:sz="4" w:space="0"/>
            </w:tcBorders>
            <w:noWrap w:val="0"/>
            <w:vAlign w:val="center"/>
          </w:tcPr>
          <w:p w14:paraId="15ABF9F4">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15</w:t>
            </w:r>
          </w:p>
        </w:tc>
        <w:tc>
          <w:tcPr>
            <w:tcW w:w="4760" w:type="dxa"/>
            <w:vMerge w:val="restart"/>
            <w:tcBorders>
              <w:top w:val="single" w:color="000000" w:sz="4" w:space="0"/>
              <w:left w:val="single" w:color="000000" w:sz="4" w:space="0"/>
              <w:right w:val="single" w:color="000000" w:sz="4" w:space="0"/>
            </w:tcBorders>
            <w:noWrap w:val="0"/>
            <w:vAlign w:val="center"/>
          </w:tcPr>
          <w:p w14:paraId="07205E49">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部门整体绩效目标中选定3-5个核心职能目标，反映该项职能目标完成效果情况</w:t>
            </w:r>
          </w:p>
        </w:tc>
        <w:tc>
          <w:tcPr>
            <w:tcW w:w="730" w:type="dxa"/>
            <w:vMerge w:val="restart"/>
            <w:tcBorders>
              <w:top w:val="single" w:color="000000" w:sz="4" w:space="0"/>
              <w:left w:val="single" w:color="000000" w:sz="4" w:space="0"/>
              <w:right w:val="single" w:color="000000" w:sz="4" w:space="0"/>
            </w:tcBorders>
            <w:noWrap w:val="0"/>
            <w:vAlign w:val="center"/>
          </w:tcPr>
          <w:p w14:paraId="67426430">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14.5</w:t>
            </w:r>
          </w:p>
        </w:tc>
        <w:tc>
          <w:tcPr>
            <w:tcW w:w="478" w:type="dxa"/>
            <w:vMerge w:val="restart"/>
            <w:tcBorders>
              <w:top w:val="single" w:color="000000" w:sz="4" w:space="0"/>
              <w:left w:val="single" w:color="000000" w:sz="4" w:space="0"/>
              <w:right w:val="single" w:color="000000" w:sz="4" w:space="0"/>
            </w:tcBorders>
            <w:noWrap w:val="0"/>
            <w:vAlign w:val="center"/>
          </w:tcPr>
          <w:p w14:paraId="64169646">
            <w:pPr>
              <w:widowControl/>
              <w:spacing w:line="240" w:lineRule="exact"/>
              <w:jc w:val="left"/>
              <w:textAlignment w:val="center"/>
              <w:rPr>
                <w:rFonts w:ascii="宋体" w:hAnsi="宋体" w:eastAsia="宋体" w:cs="宋体"/>
                <w:color w:val="000000"/>
                <w:kern w:val="0"/>
                <w:sz w:val="24"/>
              </w:rPr>
            </w:pPr>
          </w:p>
        </w:tc>
      </w:tr>
      <w:tr w14:paraId="00CCB2A6">
        <w:tblPrEx>
          <w:tblCellMar>
            <w:top w:w="0" w:type="dxa"/>
            <w:left w:w="108" w:type="dxa"/>
            <w:bottom w:w="0" w:type="dxa"/>
            <w:right w:w="108" w:type="dxa"/>
          </w:tblCellMar>
        </w:tblPrEx>
        <w:trPr>
          <w:trHeight w:val="160" w:hRule="atLeast"/>
          <w:jc w:val="center"/>
        </w:trPr>
        <w:tc>
          <w:tcPr>
            <w:tcW w:w="1097" w:type="dxa"/>
            <w:vMerge w:val="continue"/>
            <w:tcBorders>
              <w:left w:val="single" w:color="000000" w:sz="4" w:space="0"/>
              <w:right w:val="single" w:color="000000" w:sz="4" w:space="0"/>
            </w:tcBorders>
            <w:noWrap w:val="0"/>
            <w:vAlign w:val="center"/>
          </w:tcPr>
          <w:p w14:paraId="656E4065">
            <w:pPr>
              <w:widowControl/>
              <w:spacing w:line="240" w:lineRule="exact"/>
              <w:jc w:val="center"/>
              <w:textAlignment w:val="center"/>
            </w:pPr>
          </w:p>
        </w:tc>
        <w:tc>
          <w:tcPr>
            <w:tcW w:w="1201" w:type="dxa"/>
            <w:vMerge w:val="continue"/>
            <w:tcBorders>
              <w:left w:val="single" w:color="000000" w:sz="4" w:space="0"/>
              <w:right w:val="single" w:color="000000" w:sz="4" w:space="0"/>
            </w:tcBorders>
            <w:noWrap w:val="0"/>
            <w:vAlign w:val="center"/>
          </w:tcPr>
          <w:p w14:paraId="20274A14">
            <w:pPr>
              <w:widowControl/>
              <w:spacing w:line="240" w:lineRule="exact"/>
              <w:jc w:val="center"/>
              <w:textAlignment w:val="center"/>
            </w:pP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3E7B9BC1">
            <w:pPr>
              <w:widowControl/>
              <w:spacing w:line="240" w:lineRule="exact"/>
              <w:jc w:val="left"/>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召开政协十六届四次全会及政协常委会</w:t>
            </w:r>
          </w:p>
        </w:tc>
        <w:tc>
          <w:tcPr>
            <w:tcW w:w="717" w:type="dxa"/>
            <w:vMerge w:val="continue"/>
            <w:tcBorders>
              <w:left w:val="single" w:color="000000" w:sz="4" w:space="0"/>
              <w:right w:val="single" w:color="000000" w:sz="4" w:space="0"/>
            </w:tcBorders>
            <w:noWrap w:val="0"/>
            <w:vAlign w:val="center"/>
          </w:tcPr>
          <w:p w14:paraId="13DDDC16">
            <w:pPr>
              <w:widowControl/>
              <w:spacing w:line="240" w:lineRule="exact"/>
              <w:jc w:val="center"/>
              <w:textAlignment w:val="center"/>
              <w:rPr>
                <w:rFonts w:hint="eastAsia" w:ascii="宋体" w:hAnsi="宋体" w:eastAsia="宋体" w:cs="宋体"/>
                <w:color w:val="000000"/>
                <w:kern w:val="0"/>
                <w:sz w:val="24"/>
              </w:rPr>
            </w:pPr>
          </w:p>
        </w:tc>
        <w:tc>
          <w:tcPr>
            <w:tcW w:w="4760" w:type="dxa"/>
            <w:vMerge w:val="continue"/>
            <w:tcBorders>
              <w:left w:val="single" w:color="000000" w:sz="4" w:space="0"/>
              <w:right w:val="single" w:color="000000" w:sz="4" w:space="0"/>
            </w:tcBorders>
            <w:noWrap w:val="0"/>
            <w:vAlign w:val="center"/>
          </w:tcPr>
          <w:p w14:paraId="2A146AD1">
            <w:pPr>
              <w:widowControl/>
              <w:spacing w:line="240" w:lineRule="exact"/>
              <w:jc w:val="center"/>
              <w:textAlignment w:val="center"/>
              <w:rPr>
                <w:rFonts w:hint="eastAsia" w:ascii="宋体" w:hAnsi="宋体" w:eastAsia="宋体" w:cs="宋体"/>
                <w:color w:val="000000"/>
                <w:kern w:val="0"/>
                <w:sz w:val="24"/>
              </w:rPr>
            </w:pPr>
          </w:p>
        </w:tc>
        <w:tc>
          <w:tcPr>
            <w:tcW w:w="730" w:type="dxa"/>
            <w:vMerge w:val="continue"/>
            <w:tcBorders>
              <w:left w:val="single" w:color="000000" w:sz="4" w:space="0"/>
              <w:right w:val="single" w:color="000000" w:sz="4" w:space="0"/>
            </w:tcBorders>
            <w:noWrap w:val="0"/>
            <w:vAlign w:val="center"/>
          </w:tcPr>
          <w:p w14:paraId="497D46D2">
            <w:pPr>
              <w:widowControl/>
              <w:spacing w:line="240" w:lineRule="exact"/>
              <w:jc w:val="center"/>
              <w:textAlignment w:val="center"/>
              <w:rPr>
                <w:rFonts w:hint="eastAsia" w:ascii="宋体" w:hAnsi="宋体" w:eastAsia="宋体" w:cs="宋体"/>
                <w:color w:val="000000"/>
                <w:kern w:val="0"/>
                <w:sz w:val="24"/>
              </w:rPr>
            </w:pPr>
          </w:p>
        </w:tc>
        <w:tc>
          <w:tcPr>
            <w:tcW w:w="478" w:type="dxa"/>
            <w:vMerge w:val="continue"/>
            <w:tcBorders>
              <w:left w:val="single" w:color="000000" w:sz="4" w:space="0"/>
              <w:right w:val="single" w:color="000000" w:sz="4" w:space="0"/>
            </w:tcBorders>
            <w:noWrap w:val="0"/>
            <w:vAlign w:val="center"/>
          </w:tcPr>
          <w:p w14:paraId="14948A55">
            <w:pPr>
              <w:widowControl/>
              <w:spacing w:line="240" w:lineRule="exact"/>
              <w:jc w:val="center"/>
              <w:textAlignment w:val="center"/>
              <w:rPr>
                <w:rFonts w:hint="eastAsia" w:ascii="宋体" w:hAnsi="宋体" w:eastAsia="宋体" w:cs="宋体"/>
                <w:color w:val="000000"/>
                <w:kern w:val="0"/>
                <w:sz w:val="24"/>
              </w:rPr>
            </w:pPr>
          </w:p>
        </w:tc>
      </w:tr>
      <w:tr w14:paraId="5FCA4704">
        <w:tblPrEx>
          <w:tblCellMar>
            <w:top w:w="0" w:type="dxa"/>
            <w:left w:w="108" w:type="dxa"/>
            <w:bottom w:w="0" w:type="dxa"/>
            <w:right w:w="108" w:type="dxa"/>
          </w:tblCellMar>
        </w:tblPrEx>
        <w:trPr>
          <w:trHeight w:val="160" w:hRule="atLeast"/>
          <w:jc w:val="center"/>
        </w:trPr>
        <w:tc>
          <w:tcPr>
            <w:tcW w:w="1097" w:type="dxa"/>
            <w:vMerge w:val="continue"/>
            <w:tcBorders>
              <w:left w:val="single" w:color="000000" w:sz="4" w:space="0"/>
              <w:right w:val="single" w:color="000000" w:sz="4" w:space="0"/>
            </w:tcBorders>
            <w:noWrap w:val="0"/>
            <w:vAlign w:val="center"/>
          </w:tcPr>
          <w:p w14:paraId="284EAF3C">
            <w:pPr>
              <w:widowControl/>
              <w:spacing w:line="240" w:lineRule="exact"/>
              <w:jc w:val="center"/>
              <w:textAlignment w:val="center"/>
              <w:rPr>
                <w:rFonts w:hint="eastAsia" w:ascii="宋体" w:hAnsi="宋体" w:eastAsia="宋体" w:cs="宋体"/>
                <w:color w:val="000000"/>
                <w:kern w:val="0"/>
                <w:sz w:val="24"/>
              </w:rPr>
            </w:pPr>
          </w:p>
        </w:tc>
        <w:tc>
          <w:tcPr>
            <w:tcW w:w="1201" w:type="dxa"/>
            <w:vMerge w:val="continue"/>
            <w:tcBorders>
              <w:left w:val="single" w:color="000000" w:sz="4" w:space="0"/>
              <w:bottom w:val="single" w:color="000000" w:sz="4" w:space="0"/>
              <w:right w:val="single" w:color="000000" w:sz="4" w:space="0"/>
            </w:tcBorders>
            <w:noWrap w:val="0"/>
            <w:vAlign w:val="center"/>
          </w:tcPr>
          <w:p w14:paraId="09D21E08">
            <w:pPr>
              <w:widowControl/>
              <w:spacing w:line="240" w:lineRule="exact"/>
              <w:jc w:val="center"/>
              <w:textAlignment w:val="center"/>
              <w:rPr>
                <w:rFonts w:hint="eastAsia" w:ascii="宋体" w:hAnsi="宋体" w:eastAsia="宋体" w:cs="宋体"/>
                <w:color w:val="000000"/>
                <w:kern w:val="0"/>
                <w:sz w:val="24"/>
              </w:rPr>
            </w:pP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43C14BE2">
            <w:pPr>
              <w:widowControl/>
              <w:spacing w:line="240" w:lineRule="exact"/>
              <w:jc w:val="left"/>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组织开展政协履职能力培训班</w:t>
            </w:r>
          </w:p>
        </w:tc>
        <w:tc>
          <w:tcPr>
            <w:tcW w:w="717" w:type="dxa"/>
            <w:vMerge w:val="continue"/>
            <w:tcBorders>
              <w:left w:val="single" w:color="000000" w:sz="4" w:space="0"/>
              <w:bottom w:val="single" w:color="000000" w:sz="4" w:space="0"/>
              <w:right w:val="single" w:color="000000" w:sz="4" w:space="0"/>
            </w:tcBorders>
            <w:noWrap w:val="0"/>
            <w:vAlign w:val="center"/>
          </w:tcPr>
          <w:p w14:paraId="5FE38790">
            <w:pPr>
              <w:widowControl/>
              <w:spacing w:line="240" w:lineRule="exact"/>
              <w:jc w:val="center"/>
              <w:textAlignment w:val="center"/>
              <w:rPr>
                <w:rFonts w:hint="eastAsia" w:ascii="宋体" w:hAnsi="宋体" w:eastAsia="宋体" w:cs="宋体"/>
                <w:color w:val="000000"/>
                <w:kern w:val="0"/>
                <w:sz w:val="24"/>
              </w:rPr>
            </w:pPr>
          </w:p>
        </w:tc>
        <w:tc>
          <w:tcPr>
            <w:tcW w:w="4760" w:type="dxa"/>
            <w:vMerge w:val="continue"/>
            <w:tcBorders>
              <w:left w:val="single" w:color="000000" w:sz="4" w:space="0"/>
              <w:bottom w:val="single" w:color="000000" w:sz="4" w:space="0"/>
              <w:right w:val="single" w:color="000000" w:sz="4" w:space="0"/>
            </w:tcBorders>
            <w:noWrap w:val="0"/>
            <w:vAlign w:val="center"/>
          </w:tcPr>
          <w:p w14:paraId="6F9DCF75">
            <w:pPr>
              <w:widowControl/>
              <w:spacing w:line="240" w:lineRule="exact"/>
              <w:jc w:val="center"/>
              <w:textAlignment w:val="center"/>
              <w:rPr>
                <w:rFonts w:hint="eastAsia" w:ascii="宋体" w:hAnsi="宋体" w:eastAsia="宋体" w:cs="宋体"/>
                <w:color w:val="000000"/>
                <w:kern w:val="0"/>
                <w:sz w:val="24"/>
              </w:rPr>
            </w:pPr>
          </w:p>
        </w:tc>
        <w:tc>
          <w:tcPr>
            <w:tcW w:w="730" w:type="dxa"/>
            <w:vMerge w:val="continue"/>
            <w:tcBorders>
              <w:left w:val="single" w:color="000000" w:sz="4" w:space="0"/>
              <w:bottom w:val="single" w:color="000000" w:sz="4" w:space="0"/>
              <w:right w:val="single" w:color="000000" w:sz="4" w:space="0"/>
            </w:tcBorders>
            <w:noWrap w:val="0"/>
            <w:vAlign w:val="center"/>
          </w:tcPr>
          <w:p w14:paraId="26DC3B51">
            <w:pPr>
              <w:widowControl/>
              <w:spacing w:line="240" w:lineRule="exact"/>
              <w:jc w:val="center"/>
              <w:textAlignment w:val="center"/>
              <w:rPr>
                <w:rFonts w:hint="eastAsia" w:ascii="宋体" w:hAnsi="宋体" w:eastAsia="宋体" w:cs="宋体"/>
                <w:color w:val="000000"/>
                <w:kern w:val="0"/>
                <w:sz w:val="24"/>
              </w:rPr>
            </w:pPr>
          </w:p>
        </w:tc>
        <w:tc>
          <w:tcPr>
            <w:tcW w:w="478" w:type="dxa"/>
            <w:vMerge w:val="continue"/>
            <w:tcBorders>
              <w:left w:val="single" w:color="000000" w:sz="4" w:space="0"/>
              <w:bottom w:val="single" w:color="000000" w:sz="4" w:space="0"/>
              <w:right w:val="single" w:color="000000" w:sz="4" w:space="0"/>
            </w:tcBorders>
            <w:noWrap w:val="0"/>
            <w:vAlign w:val="center"/>
          </w:tcPr>
          <w:p w14:paraId="2BD4B7EE">
            <w:pPr>
              <w:widowControl/>
              <w:spacing w:line="240" w:lineRule="exact"/>
              <w:jc w:val="center"/>
              <w:textAlignment w:val="center"/>
              <w:rPr>
                <w:rFonts w:hint="eastAsia" w:ascii="宋体" w:hAnsi="宋体" w:eastAsia="宋体" w:cs="宋体"/>
                <w:color w:val="000000"/>
                <w:kern w:val="0"/>
                <w:sz w:val="24"/>
              </w:rPr>
            </w:pPr>
          </w:p>
        </w:tc>
      </w:tr>
      <w:tr w14:paraId="53F0C43F">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noWrap w:val="0"/>
            <w:vAlign w:val="center"/>
          </w:tcPr>
          <w:p w14:paraId="6063527F">
            <w:pPr>
              <w:widowControl/>
              <w:spacing w:line="240" w:lineRule="exact"/>
              <w:jc w:val="center"/>
              <w:rPr>
                <w:rFonts w:ascii="宋体" w:hAnsi="宋体" w:eastAsia="宋体" w:cs="宋体"/>
                <w:b/>
                <w:color w:val="000000"/>
                <w:sz w:val="24"/>
              </w:rPr>
            </w:pPr>
          </w:p>
        </w:tc>
        <w:tc>
          <w:tcPr>
            <w:tcW w:w="1201" w:type="dxa"/>
            <w:vMerge w:val="restart"/>
            <w:tcBorders>
              <w:top w:val="single" w:color="000000" w:sz="4" w:space="0"/>
              <w:left w:val="single" w:color="000000" w:sz="4" w:space="0"/>
              <w:right w:val="single" w:color="000000" w:sz="4" w:space="0"/>
            </w:tcBorders>
            <w:noWrap w:val="0"/>
            <w:vAlign w:val="center"/>
          </w:tcPr>
          <w:p w14:paraId="297A5A93">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预算管理</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（25分）</w:t>
            </w: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41FB2589">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预算编制质量</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6365DA5F">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8</w:t>
            </w:r>
          </w:p>
        </w:tc>
        <w:tc>
          <w:tcPr>
            <w:tcW w:w="4760" w:type="dxa"/>
            <w:tcBorders>
              <w:top w:val="single" w:color="000000" w:sz="4" w:space="0"/>
              <w:left w:val="single" w:color="000000" w:sz="4" w:space="0"/>
              <w:bottom w:val="single" w:color="000000" w:sz="4" w:space="0"/>
              <w:right w:val="single" w:color="000000" w:sz="4" w:space="0"/>
            </w:tcBorders>
            <w:noWrap w:val="0"/>
            <w:vAlign w:val="center"/>
          </w:tcPr>
          <w:p w14:paraId="1CAD1458">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部门是否严格按要求编制年初部门预算，年初预算编制的科学性和准确性</w:t>
            </w:r>
          </w:p>
        </w:tc>
        <w:tc>
          <w:tcPr>
            <w:tcW w:w="730" w:type="dxa"/>
            <w:tcBorders>
              <w:top w:val="single" w:color="000000" w:sz="4" w:space="0"/>
              <w:left w:val="single" w:color="000000" w:sz="4" w:space="0"/>
              <w:bottom w:val="single" w:color="000000" w:sz="4" w:space="0"/>
              <w:right w:val="single" w:color="000000" w:sz="4" w:space="0"/>
            </w:tcBorders>
            <w:noWrap w:val="0"/>
            <w:vAlign w:val="center"/>
          </w:tcPr>
          <w:p w14:paraId="10D52003">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6.4</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14:paraId="0E0447E5">
            <w:pPr>
              <w:widowControl/>
              <w:spacing w:line="240" w:lineRule="exact"/>
              <w:jc w:val="left"/>
              <w:textAlignment w:val="center"/>
              <w:rPr>
                <w:rFonts w:ascii="宋体" w:hAnsi="宋体" w:eastAsia="宋体" w:cs="宋体"/>
                <w:color w:val="000000"/>
                <w:kern w:val="0"/>
                <w:sz w:val="24"/>
              </w:rPr>
            </w:pPr>
          </w:p>
        </w:tc>
      </w:tr>
      <w:tr w14:paraId="05A724DC">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noWrap w:val="0"/>
            <w:vAlign w:val="center"/>
          </w:tcPr>
          <w:p w14:paraId="571FA60C">
            <w:pPr>
              <w:widowControl/>
              <w:spacing w:line="240" w:lineRule="exact"/>
              <w:jc w:val="center"/>
              <w:rPr>
                <w:rFonts w:ascii="宋体" w:hAnsi="宋体" w:eastAsia="宋体" w:cs="宋体"/>
                <w:b/>
                <w:color w:val="000000"/>
                <w:sz w:val="24"/>
              </w:rPr>
            </w:pPr>
          </w:p>
        </w:tc>
        <w:tc>
          <w:tcPr>
            <w:tcW w:w="1201" w:type="dxa"/>
            <w:vMerge w:val="continue"/>
            <w:tcBorders>
              <w:left w:val="single" w:color="000000" w:sz="4" w:space="0"/>
              <w:right w:val="single" w:color="000000" w:sz="4" w:space="0"/>
            </w:tcBorders>
            <w:noWrap w:val="0"/>
            <w:vAlign w:val="center"/>
          </w:tcPr>
          <w:p w14:paraId="6E88BBA3">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74E88264">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单位收入统筹</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0953F879">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noWrap w:val="0"/>
            <w:vAlign w:val="center"/>
          </w:tcPr>
          <w:p w14:paraId="7FDA69A5">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部门统筹自有收入努力程度</w:t>
            </w:r>
          </w:p>
        </w:tc>
        <w:tc>
          <w:tcPr>
            <w:tcW w:w="730" w:type="dxa"/>
            <w:tcBorders>
              <w:top w:val="single" w:color="000000" w:sz="4" w:space="0"/>
              <w:left w:val="single" w:color="000000" w:sz="4" w:space="0"/>
              <w:bottom w:val="single" w:color="000000" w:sz="4" w:space="0"/>
              <w:right w:val="single" w:color="000000" w:sz="4" w:space="0"/>
            </w:tcBorders>
            <w:noWrap w:val="0"/>
            <w:vAlign w:val="center"/>
          </w:tcPr>
          <w:p w14:paraId="756195DD">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0</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14:paraId="3A46630F">
            <w:pPr>
              <w:widowControl/>
              <w:spacing w:line="240" w:lineRule="exact"/>
              <w:jc w:val="left"/>
              <w:textAlignment w:val="center"/>
              <w:rPr>
                <w:rFonts w:ascii="宋体" w:hAnsi="宋体" w:eastAsia="宋体" w:cs="宋体"/>
                <w:color w:val="000000"/>
                <w:kern w:val="0"/>
                <w:sz w:val="24"/>
              </w:rPr>
            </w:pPr>
          </w:p>
        </w:tc>
      </w:tr>
      <w:tr w14:paraId="7147ECC7">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noWrap w:val="0"/>
            <w:vAlign w:val="center"/>
          </w:tcPr>
          <w:p w14:paraId="7F042669">
            <w:pPr>
              <w:widowControl/>
              <w:spacing w:line="240" w:lineRule="exact"/>
              <w:jc w:val="center"/>
              <w:rPr>
                <w:rFonts w:ascii="宋体" w:hAnsi="宋体" w:eastAsia="宋体" w:cs="宋体"/>
                <w:b/>
                <w:color w:val="000000"/>
                <w:sz w:val="24"/>
              </w:rPr>
            </w:pPr>
          </w:p>
        </w:tc>
        <w:tc>
          <w:tcPr>
            <w:tcW w:w="1201" w:type="dxa"/>
            <w:vMerge w:val="continue"/>
            <w:tcBorders>
              <w:left w:val="single" w:color="000000" w:sz="4" w:space="0"/>
              <w:right w:val="single" w:color="000000" w:sz="4" w:space="0"/>
            </w:tcBorders>
            <w:noWrap w:val="0"/>
            <w:vAlign w:val="center"/>
          </w:tcPr>
          <w:p w14:paraId="7151C2CE">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4EB32153">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支出执行管理</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79AE0B18">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6</w:t>
            </w:r>
          </w:p>
        </w:tc>
        <w:tc>
          <w:tcPr>
            <w:tcW w:w="4760" w:type="dxa"/>
            <w:tcBorders>
              <w:top w:val="single" w:color="000000" w:sz="4" w:space="0"/>
              <w:left w:val="single" w:color="000000" w:sz="4" w:space="0"/>
              <w:bottom w:val="single" w:color="000000" w:sz="4" w:space="0"/>
              <w:right w:val="single" w:color="000000" w:sz="4" w:space="0"/>
            </w:tcBorders>
            <w:noWrap w:val="0"/>
            <w:vAlign w:val="center"/>
          </w:tcPr>
          <w:p w14:paraId="17FE98DE">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部门1至6月、1至10月预算执行情况</w:t>
            </w:r>
          </w:p>
        </w:tc>
        <w:tc>
          <w:tcPr>
            <w:tcW w:w="730" w:type="dxa"/>
            <w:tcBorders>
              <w:top w:val="single" w:color="000000" w:sz="4" w:space="0"/>
              <w:left w:val="single" w:color="000000" w:sz="4" w:space="0"/>
              <w:bottom w:val="single" w:color="000000" w:sz="4" w:space="0"/>
              <w:right w:val="single" w:color="000000" w:sz="4" w:space="0"/>
            </w:tcBorders>
            <w:noWrap w:val="0"/>
            <w:vAlign w:val="center"/>
          </w:tcPr>
          <w:p w14:paraId="2413A590">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5.9</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14:paraId="68B62512">
            <w:pPr>
              <w:widowControl/>
              <w:spacing w:line="240" w:lineRule="exact"/>
              <w:jc w:val="left"/>
              <w:textAlignment w:val="center"/>
              <w:rPr>
                <w:rFonts w:ascii="宋体" w:hAnsi="宋体" w:eastAsia="宋体" w:cs="宋体"/>
                <w:color w:val="000000"/>
                <w:kern w:val="0"/>
                <w:sz w:val="24"/>
              </w:rPr>
            </w:pPr>
          </w:p>
        </w:tc>
      </w:tr>
      <w:tr w14:paraId="4B357A02">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noWrap w:val="0"/>
            <w:vAlign w:val="center"/>
          </w:tcPr>
          <w:p w14:paraId="5430F490">
            <w:pPr>
              <w:widowControl/>
              <w:spacing w:line="240" w:lineRule="exact"/>
              <w:jc w:val="center"/>
              <w:rPr>
                <w:rFonts w:ascii="宋体" w:hAnsi="宋体" w:eastAsia="宋体" w:cs="宋体"/>
                <w:b/>
                <w:color w:val="000000"/>
                <w:sz w:val="24"/>
              </w:rPr>
            </w:pPr>
          </w:p>
        </w:tc>
        <w:tc>
          <w:tcPr>
            <w:tcW w:w="1201" w:type="dxa"/>
            <w:vMerge w:val="continue"/>
            <w:tcBorders>
              <w:left w:val="single" w:color="000000" w:sz="4" w:space="0"/>
              <w:right w:val="single" w:color="000000" w:sz="4" w:space="0"/>
            </w:tcBorders>
            <w:noWrap w:val="0"/>
            <w:vAlign w:val="center"/>
          </w:tcPr>
          <w:p w14:paraId="06A70069">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0099E209">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预算年终结余</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08C71FBD">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2</w:t>
            </w:r>
          </w:p>
        </w:tc>
        <w:tc>
          <w:tcPr>
            <w:tcW w:w="4760" w:type="dxa"/>
            <w:tcBorders>
              <w:top w:val="single" w:color="000000" w:sz="4" w:space="0"/>
              <w:left w:val="single" w:color="000000" w:sz="4" w:space="0"/>
              <w:bottom w:val="single" w:color="000000" w:sz="4" w:space="0"/>
              <w:right w:val="single" w:color="000000" w:sz="4" w:space="0"/>
            </w:tcBorders>
            <w:noWrap w:val="0"/>
            <w:vAlign w:val="center"/>
          </w:tcPr>
          <w:p w14:paraId="584D3D5A">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部门整体年终预算结余情况</w:t>
            </w:r>
          </w:p>
        </w:tc>
        <w:tc>
          <w:tcPr>
            <w:tcW w:w="730" w:type="dxa"/>
            <w:tcBorders>
              <w:top w:val="single" w:color="000000" w:sz="4" w:space="0"/>
              <w:left w:val="single" w:color="000000" w:sz="4" w:space="0"/>
              <w:bottom w:val="single" w:color="000000" w:sz="4" w:space="0"/>
              <w:right w:val="single" w:color="000000" w:sz="4" w:space="0"/>
            </w:tcBorders>
            <w:noWrap w:val="0"/>
            <w:vAlign w:val="center"/>
          </w:tcPr>
          <w:p w14:paraId="48D2DEF8">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2</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14:paraId="0A0945B9">
            <w:pPr>
              <w:widowControl/>
              <w:spacing w:line="240" w:lineRule="exact"/>
              <w:jc w:val="left"/>
              <w:textAlignment w:val="center"/>
              <w:rPr>
                <w:rFonts w:ascii="宋体" w:hAnsi="宋体" w:eastAsia="宋体" w:cs="宋体"/>
                <w:color w:val="000000"/>
                <w:kern w:val="0"/>
                <w:sz w:val="24"/>
              </w:rPr>
            </w:pPr>
          </w:p>
        </w:tc>
      </w:tr>
      <w:tr w14:paraId="52A6E6EE">
        <w:tblPrEx>
          <w:tblCellMar>
            <w:top w:w="0" w:type="dxa"/>
            <w:left w:w="108" w:type="dxa"/>
            <w:bottom w:w="0" w:type="dxa"/>
            <w:right w:w="108" w:type="dxa"/>
          </w:tblCellMar>
        </w:tblPrEx>
        <w:trPr>
          <w:trHeight w:val="743" w:hRule="atLeast"/>
          <w:jc w:val="center"/>
        </w:trPr>
        <w:tc>
          <w:tcPr>
            <w:tcW w:w="1097" w:type="dxa"/>
            <w:vMerge w:val="continue"/>
            <w:tcBorders>
              <w:left w:val="single" w:color="000000" w:sz="4" w:space="0"/>
              <w:right w:val="single" w:color="000000" w:sz="4" w:space="0"/>
            </w:tcBorders>
            <w:noWrap w:val="0"/>
            <w:vAlign w:val="center"/>
          </w:tcPr>
          <w:p w14:paraId="314C311F">
            <w:pPr>
              <w:widowControl/>
              <w:spacing w:line="240" w:lineRule="exact"/>
              <w:jc w:val="center"/>
              <w:rPr>
                <w:rFonts w:ascii="宋体" w:hAnsi="宋体" w:eastAsia="宋体" w:cs="宋体"/>
                <w:b/>
                <w:color w:val="000000"/>
                <w:sz w:val="24"/>
              </w:rPr>
            </w:pPr>
          </w:p>
        </w:tc>
        <w:tc>
          <w:tcPr>
            <w:tcW w:w="1201" w:type="dxa"/>
            <w:vMerge w:val="continue"/>
            <w:tcBorders>
              <w:left w:val="single" w:color="000000" w:sz="4" w:space="0"/>
              <w:right w:val="single" w:color="000000" w:sz="4" w:space="0"/>
            </w:tcBorders>
            <w:noWrap w:val="0"/>
            <w:vAlign w:val="center"/>
          </w:tcPr>
          <w:p w14:paraId="65E52669">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23C4F3A9">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严控一般性支出</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2D27920D">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4760" w:type="dxa"/>
            <w:tcBorders>
              <w:top w:val="single" w:color="000000" w:sz="4" w:space="0"/>
              <w:left w:val="single" w:color="000000" w:sz="4" w:space="0"/>
              <w:bottom w:val="single" w:color="000000" w:sz="4" w:space="0"/>
              <w:right w:val="single" w:color="000000" w:sz="4" w:space="0"/>
            </w:tcBorders>
            <w:noWrap w:val="0"/>
            <w:vAlign w:val="center"/>
          </w:tcPr>
          <w:p w14:paraId="32F1D484">
            <w:pPr>
              <w:widowControl/>
              <w:spacing w:line="240" w:lineRule="exact"/>
              <w:jc w:val="left"/>
              <w:textAlignment w:val="center"/>
              <w:rPr>
                <w:rFonts w:ascii="宋体" w:hAnsi="宋体" w:eastAsia="宋体" w:cs="宋体"/>
                <w:color w:val="000000"/>
                <w:kern w:val="0"/>
                <w:sz w:val="24"/>
              </w:rPr>
            </w:pPr>
            <w:r>
              <w:rPr>
                <w:rFonts w:hint="eastAsia" w:ascii="宋体" w:hAnsi="宋体" w:eastAsia="宋体" w:cs="宋体"/>
                <w:color w:val="000000"/>
                <w:kern w:val="0"/>
                <w:sz w:val="24"/>
              </w:rPr>
              <w:t>部门严控“三公”经费、会议、培训、差旅、办节办展、办公设备购置、信息化建设和运维、课题经费、竞赛活动、规划编制一般性支出情况</w:t>
            </w:r>
          </w:p>
        </w:tc>
        <w:tc>
          <w:tcPr>
            <w:tcW w:w="730" w:type="dxa"/>
            <w:tcBorders>
              <w:top w:val="single" w:color="000000" w:sz="4" w:space="0"/>
              <w:left w:val="single" w:color="000000" w:sz="4" w:space="0"/>
              <w:bottom w:val="single" w:color="000000" w:sz="4" w:space="0"/>
              <w:right w:val="single" w:color="000000" w:sz="4" w:space="0"/>
            </w:tcBorders>
            <w:noWrap w:val="0"/>
            <w:vAlign w:val="center"/>
          </w:tcPr>
          <w:p w14:paraId="34225ED6">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5</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14:paraId="0111900E">
            <w:pPr>
              <w:widowControl/>
              <w:spacing w:line="240" w:lineRule="exact"/>
              <w:jc w:val="left"/>
              <w:textAlignment w:val="center"/>
              <w:rPr>
                <w:rFonts w:ascii="宋体" w:hAnsi="宋体" w:eastAsia="宋体" w:cs="宋体"/>
                <w:color w:val="000000"/>
                <w:kern w:val="0"/>
                <w:sz w:val="24"/>
              </w:rPr>
            </w:pPr>
          </w:p>
        </w:tc>
      </w:tr>
      <w:tr w14:paraId="38CE3155">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noWrap w:val="0"/>
            <w:vAlign w:val="center"/>
          </w:tcPr>
          <w:p w14:paraId="24765C43">
            <w:pPr>
              <w:widowControl/>
              <w:spacing w:line="240" w:lineRule="exact"/>
              <w:jc w:val="center"/>
              <w:rPr>
                <w:rFonts w:ascii="宋体" w:hAnsi="宋体" w:eastAsia="宋体" w:cs="宋体"/>
                <w:b/>
                <w:color w:val="000000"/>
                <w:sz w:val="24"/>
              </w:rPr>
            </w:pPr>
          </w:p>
        </w:tc>
        <w:tc>
          <w:tcPr>
            <w:tcW w:w="1201" w:type="dxa"/>
            <w:vMerge w:val="restart"/>
            <w:tcBorders>
              <w:top w:val="single" w:color="000000" w:sz="4" w:space="0"/>
              <w:left w:val="single" w:color="000000" w:sz="4" w:space="0"/>
              <w:bottom w:val="single" w:color="000000" w:sz="4" w:space="0"/>
              <w:right w:val="single" w:color="000000" w:sz="4" w:space="0"/>
            </w:tcBorders>
            <w:noWrap w:val="0"/>
            <w:vAlign w:val="center"/>
          </w:tcPr>
          <w:p w14:paraId="233B0AA6">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财务管理</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（10分）</w:t>
            </w: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19CDFB30">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财务管理制度</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312A4444">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noWrap w:val="0"/>
            <w:vAlign w:val="center"/>
          </w:tcPr>
          <w:p w14:paraId="6454FBDC">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部门财务管理制度建立情况</w:t>
            </w:r>
          </w:p>
        </w:tc>
        <w:tc>
          <w:tcPr>
            <w:tcW w:w="730" w:type="dxa"/>
            <w:tcBorders>
              <w:top w:val="single" w:color="000000" w:sz="4" w:space="0"/>
              <w:left w:val="single" w:color="000000" w:sz="4" w:space="0"/>
              <w:bottom w:val="single" w:color="000000" w:sz="4" w:space="0"/>
              <w:right w:val="single" w:color="000000" w:sz="4" w:space="0"/>
            </w:tcBorders>
            <w:noWrap w:val="0"/>
            <w:vAlign w:val="center"/>
          </w:tcPr>
          <w:p w14:paraId="3B49BDC0">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14:paraId="07935619">
            <w:pPr>
              <w:widowControl/>
              <w:spacing w:line="240" w:lineRule="exact"/>
              <w:jc w:val="left"/>
              <w:textAlignment w:val="center"/>
              <w:rPr>
                <w:rFonts w:ascii="宋体" w:hAnsi="宋体" w:eastAsia="宋体" w:cs="宋体"/>
                <w:color w:val="000000"/>
                <w:kern w:val="0"/>
                <w:sz w:val="24"/>
              </w:rPr>
            </w:pPr>
          </w:p>
        </w:tc>
      </w:tr>
      <w:tr w14:paraId="3EC09E7C">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noWrap w:val="0"/>
            <w:vAlign w:val="center"/>
          </w:tcPr>
          <w:p w14:paraId="3F6FA5AA">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FF4B6A">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1D9774CD">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财务岗位设置</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457D59D1">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2</w:t>
            </w:r>
          </w:p>
        </w:tc>
        <w:tc>
          <w:tcPr>
            <w:tcW w:w="4760" w:type="dxa"/>
            <w:tcBorders>
              <w:top w:val="single" w:color="000000" w:sz="4" w:space="0"/>
              <w:left w:val="single" w:color="000000" w:sz="4" w:space="0"/>
              <w:bottom w:val="single" w:color="000000" w:sz="4" w:space="0"/>
              <w:right w:val="single" w:color="000000" w:sz="4" w:space="0"/>
            </w:tcBorders>
            <w:noWrap w:val="0"/>
            <w:vAlign w:val="center"/>
          </w:tcPr>
          <w:p w14:paraId="3ADE4392">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部门财务岗位设置是否符合相关财务管理制度要求</w:t>
            </w:r>
          </w:p>
        </w:tc>
        <w:tc>
          <w:tcPr>
            <w:tcW w:w="730" w:type="dxa"/>
            <w:tcBorders>
              <w:top w:val="single" w:color="000000" w:sz="4" w:space="0"/>
              <w:left w:val="single" w:color="000000" w:sz="4" w:space="0"/>
              <w:bottom w:val="single" w:color="000000" w:sz="4" w:space="0"/>
              <w:right w:val="single" w:color="000000" w:sz="4" w:space="0"/>
            </w:tcBorders>
            <w:noWrap w:val="0"/>
            <w:vAlign w:val="center"/>
          </w:tcPr>
          <w:p w14:paraId="5983903F">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2</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14:paraId="58D5B8DA">
            <w:pPr>
              <w:widowControl/>
              <w:spacing w:line="240" w:lineRule="exact"/>
              <w:jc w:val="left"/>
              <w:textAlignment w:val="center"/>
              <w:rPr>
                <w:rFonts w:ascii="宋体" w:hAnsi="宋体" w:eastAsia="宋体" w:cs="宋体"/>
                <w:color w:val="000000"/>
                <w:kern w:val="0"/>
                <w:sz w:val="24"/>
              </w:rPr>
            </w:pPr>
          </w:p>
        </w:tc>
      </w:tr>
      <w:tr w14:paraId="39DA320C">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noWrap w:val="0"/>
            <w:vAlign w:val="center"/>
          </w:tcPr>
          <w:p w14:paraId="2D40953B">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0C088D">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37A93126">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资金使用规范</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481FF8D1">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noWrap w:val="0"/>
            <w:vAlign w:val="center"/>
          </w:tcPr>
          <w:p w14:paraId="650875DA">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部门资金使用是否符合相关财务管理制度规定</w:t>
            </w:r>
          </w:p>
        </w:tc>
        <w:tc>
          <w:tcPr>
            <w:tcW w:w="730" w:type="dxa"/>
            <w:tcBorders>
              <w:top w:val="single" w:color="000000" w:sz="4" w:space="0"/>
              <w:left w:val="single" w:color="000000" w:sz="4" w:space="0"/>
              <w:bottom w:val="single" w:color="000000" w:sz="4" w:space="0"/>
              <w:right w:val="single" w:color="000000" w:sz="4" w:space="0"/>
            </w:tcBorders>
            <w:noWrap w:val="0"/>
            <w:vAlign w:val="center"/>
          </w:tcPr>
          <w:p w14:paraId="177DCF79">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14:paraId="107DC289">
            <w:pPr>
              <w:widowControl/>
              <w:spacing w:line="240" w:lineRule="exact"/>
              <w:jc w:val="left"/>
              <w:textAlignment w:val="center"/>
              <w:rPr>
                <w:rFonts w:ascii="宋体" w:hAnsi="宋体" w:eastAsia="宋体" w:cs="宋体"/>
                <w:color w:val="000000"/>
                <w:kern w:val="0"/>
                <w:sz w:val="24"/>
              </w:rPr>
            </w:pPr>
          </w:p>
        </w:tc>
      </w:tr>
      <w:tr w14:paraId="09A13376">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noWrap w:val="0"/>
            <w:vAlign w:val="center"/>
          </w:tcPr>
          <w:p w14:paraId="05274AD4">
            <w:pPr>
              <w:widowControl/>
              <w:spacing w:line="240" w:lineRule="exact"/>
              <w:jc w:val="center"/>
              <w:rPr>
                <w:rFonts w:ascii="宋体" w:hAnsi="宋体" w:eastAsia="宋体" w:cs="宋体"/>
                <w:b/>
                <w:color w:val="000000"/>
                <w:sz w:val="24"/>
              </w:rPr>
            </w:pPr>
          </w:p>
        </w:tc>
        <w:tc>
          <w:tcPr>
            <w:tcW w:w="1201" w:type="dxa"/>
            <w:vMerge w:val="restart"/>
            <w:tcBorders>
              <w:top w:val="single" w:color="000000" w:sz="4" w:space="0"/>
              <w:left w:val="single" w:color="000000" w:sz="4" w:space="0"/>
              <w:bottom w:val="single" w:color="000000" w:sz="4" w:space="0"/>
              <w:right w:val="single" w:color="000000" w:sz="4" w:space="0"/>
            </w:tcBorders>
            <w:noWrap w:val="0"/>
            <w:vAlign w:val="center"/>
          </w:tcPr>
          <w:p w14:paraId="3F35DCDB">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资产管理</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（9分）</w:t>
            </w: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3E3D43ED">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人均资产变化率</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34EB6FCC">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noWrap w:val="0"/>
            <w:vAlign w:val="center"/>
          </w:tcPr>
          <w:p w14:paraId="069E79ED">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部门人均资产变化情况</w:t>
            </w:r>
          </w:p>
        </w:tc>
        <w:tc>
          <w:tcPr>
            <w:tcW w:w="730" w:type="dxa"/>
            <w:tcBorders>
              <w:top w:val="single" w:color="000000" w:sz="4" w:space="0"/>
              <w:left w:val="single" w:color="000000" w:sz="4" w:space="0"/>
              <w:bottom w:val="single" w:color="000000" w:sz="4" w:space="0"/>
              <w:right w:val="single" w:color="000000" w:sz="4" w:space="0"/>
            </w:tcBorders>
            <w:noWrap w:val="0"/>
            <w:vAlign w:val="center"/>
          </w:tcPr>
          <w:p w14:paraId="37B78DAC">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2</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14:paraId="182904A5">
            <w:pPr>
              <w:widowControl/>
              <w:spacing w:line="240" w:lineRule="exact"/>
              <w:jc w:val="left"/>
              <w:textAlignment w:val="center"/>
              <w:rPr>
                <w:rFonts w:ascii="宋体" w:hAnsi="宋体" w:eastAsia="宋体" w:cs="宋体"/>
                <w:color w:val="000000"/>
                <w:kern w:val="0"/>
                <w:sz w:val="24"/>
              </w:rPr>
            </w:pPr>
          </w:p>
        </w:tc>
      </w:tr>
      <w:tr w14:paraId="65B66353">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noWrap w:val="0"/>
            <w:vAlign w:val="center"/>
          </w:tcPr>
          <w:p w14:paraId="4D4EFAD4">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70E6C8">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3FEAFA40">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资产利用率</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2BDC407C">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noWrap w:val="0"/>
            <w:vAlign w:val="center"/>
          </w:tcPr>
          <w:p w14:paraId="1A4B4F1A">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部门资产超最低使用年限情况</w:t>
            </w:r>
          </w:p>
        </w:tc>
        <w:tc>
          <w:tcPr>
            <w:tcW w:w="730" w:type="dxa"/>
            <w:tcBorders>
              <w:top w:val="single" w:color="000000" w:sz="4" w:space="0"/>
              <w:left w:val="single" w:color="000000" w:sz="4" w:space="0"/>
              <w:bottom w:val="single" w:color="000000" w:sz="4" w:space="0"/>
              <w:right w:val="single" w:color="000000" w:sz="4" w:space="0"/>
            </w:tcBorders>
            <w:noWrap w:val="0"/>
            <w:vAlign w:val="center"/>
          </w:tcPr>
          <w:p w14:paraId="4F3C435C">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2</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14:paraId="4291678E">
            <w:pPr>
              <w:widowControl/>
              <w:spacing w:line="240" w:lineRule="exact"/>
              <w:jc w:val="left"/>
              <w:textAlignment w:val="center"/>
              <w:rPr>
                <w:rFonts w:ascii="宋体" w:hAnsi="宋体" w:eastAsia="宋体" w:cs="宋体"/>
                <w:color w:val="000000"/>
                <w:kern w:val="0"/>
                <w:sz w:val="24"/>
              </w:rPr>
            </w:pPr>
          </w:p>
        </w:tc>
      </w:tr>
      <w:tr w14:paraId="31D4F7FF">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noWrap w:val="0"/>
            <w:vAlign w:val="center"/>
          </w:tcPr>
          <w:p w14:paraId="53C5F549">
            <w:pPr>
              <w:widowControl/>
              <w:spacing w:line="240" w:lineRule="exact"/>
              <w:jc w:val="center"/>
              <w:textAlignment w:val="center"/>
              <w:rPr>
                <w:rFonts w:ascii="宋体" w:hAnsi="宋体" w:eastAsia="宋体" w:cs="宋体"/>
                <w:b/>
                <w:color w:val="000000"/>
                <w:sz w:val="24"/>
              </w:rPr>
            </w:pPr>
          </w:p>
        </w:tc>
        <w:tc>
          <w:tcPr>
            <w:tcW w:w="1201" w:type="dxa"/>
            <w:tcBorders>
              <w:top w:val="single" w:color="000000" w:sz="4" w:space="0"/>
              <w:left w:val="single" w:color="000000" w:sz="4" w:space="0"/>
              <w:bottom w:val="single" w:color="000000" w:sz="4" w:space="0"/>
              <w:right w:val="single" w:color="000000" w:sz="4" w:space="0"/>
            </w:tcBorders>
            <w:noWrap w:val="0"/>
            <w:vAlign w:val="center"/>
          </w:tcPr>
          <w:p w14:paraId="695E6A0A">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资产管理</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（9分）</w:t>
            </w: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7C5C9FD4">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资产盘活率</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35E5BCA7">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noWrap w:val="0"/>
            <w:vAlign w:val="center"/>
          </w:tcPr>
          <w:p w14:paraId="6A6B8DCB">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部门闲置一年以上的资产盘活情况</w:t>
            </w:r>
          </w:p>
        </w:tc>
        <w:tc>
          <w:tcPr>
            <w:tcW w:w="730" w:type="dxa"/>
            <w:tcBorders>
              <w:top w:val="single" w:color="000000" w:sz="4" w:space="0"/>
              <w:left w:val="single" w:color="000000" w:sz="4" w:space="0"/>
              <w:bottom w:val="single" w:color="000000" w:sz="4" w:space="0"/>
              <w:right w:val="single" w:color="000000" w:sz="4" w:space="0"/>
            </w:tcBorders>
            <w:noWrap w:val="0"/>
            <w:vAlign w:val="center"/>
          </w:tcPr>
          <w:p w14:paraId="2943B548">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1</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14:paraId="2CAA65B5">
            <w:pPr>
              <w:widowControl/>
              <w:spacing w:line="240" w:lineRule="exact"/>
              <w:jc w:val="left"/>
              <w:textAlignment w:val="center"/>
              <w:rPr>
                <w:rFonts w:ascii="宋体" w:hAnsi="宋体" w:eastAsia="宋体" w:cs="宋体"/>
                <w:color w:val="000000"/>
                <w:kern w:val="0"/>
                <w:sz w:val="24"/>
              </w:rPr>
            </w:pPr>
          </w:p>
        </w:tc>
      </w:tr>
      <w:tr w14:paraId="11769C62">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noWrap w:val="0"/>
            <w:vAlign w:val="center"/>
          </w:tcPr>
          <w:p w14:paraId="316BE1FC">
            <w:pPr>
              <w:widowControl/>
              <w:spacing w:line="240" w:lineRule="exact"/>
              <w:jc w:val="center"/>
              <w:rPr>
                <w:rFonts w:ascii="宋体" w:hAnsi="宋体" w:eastAsia="宋体" w:cs="宋体"/>
                <w:b/>
                <w:color w:val="000000"/>
                <w:sz w:val="24"/>
              </w:rPr>
            </w:pPr>
          </w:p>
        </w:tc>
        <w:tc>
          <w:tcPr>
            <w:tcW w:w="1201" w:type="dxa"/>
            <w:vMerge w:val="restart"/>
            <w:tcBorders>
              <w:top w:val="single" w:color="000000" w:sz="4" w:space="0"/>
              <w:left w:val="single" w:color="000000" w:sz="4" w:space="0"/>
              <w:bottom w:val="single" w:color="000000" w:sz="4" w:space="0"/>
              <w:right w:val="single" w:color="000000" w:sz="4" w:space="0"/>
            </w:tcBorders>
            <w:noWrap w:val="0"/>
            <w:vAlign w:val="center"/>
          </w:tcPr>
          <w:p w14:paraId="72BC4099">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采购管理</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（6分）</w:t>
            </w: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22E01CA2">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支持中小企业发展</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0563E8CD">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noWrap w:val="0"/>
            <w:vAlign w:val="center"/>
          </w:tcPr>
          <w:p w14:paraId="66EA3994">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部门是否严格执行政府采购促进中小企业发展相关管理办法</w:t>
            </w:r>
          </w:p>
        </w:tc>
        <w:tc>
          <w:tcPr>
            <w:tcW w:w="730" w:type="dxa"/>
            <w:tcBorders>
              <w:top w:val="single" w:color="000000" w:sz="4" w:space="0"/>
              <w:left w:val="single" w:color="000000" w:sz="4" w:space="0"/>
              <w:bottom w:val="single" w:color="000000" w:sz="4" w:space="0"/>
              <w:right w:val="single" w:color="000000" w:sz="4" w:space="0"/>
            </w:tcBorders>
            <w:noWrap w:val="0"/>
            <w:vAlign w:val="center"/>
          </w:tcPr>
          <w:p w14:paraId="2E946D89">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14:paraId="1FA977B9">
            <w:pPr>
              <w:widowControl/>
              <w:spacing w:line="240" w:lineRule="exact"/>
              <w:jc w:val="left"/>
              <w:textAlignment w:val="center"/>
              <w:rPr>
                <w:rFonts w:ascii="宋体" w:hAnsi="宋体" w:eastAsia="宋体" w:cs="宋体"/>
                <w:color w:val="000000"/>
                <w:kern w:val="0"/>
                <w:sz w:val="24"/>
              </w:rPr>
            </w:pPr>
          </w:p>
        </w:tc>
      </w:tr>
      <w:tr w14:paraId="03B69C5D">
        <w:tblPrEx>
          <w:tblCellMar>
            <w:top w:w="0" w:type="dxa"/>
            <w:left w:w="108" w:type="dxa"/>
            <w:bottom w:w="0" w:type="dxa"/>
            <w:right w:w="108" w:type="dxa"/>
          </w:tblCellMar>
        </w:tblPrEx>
        <w:trPr>
          <w:trHeight w:val="176" w:hRule="atLeast"/>
          <w:jc w:val="center"/>
        </w:trPr>
        <w:tc>
          <w:tcPr>
            <w:tcW w:w="1097" w:type="dxa"/>
            <w:vMerge w:val="continue"/>
            <w:tcBorders>
              <w:left w:val="single" w:color="000000" w:sz="4" w:space="0"/>
              <w:bottom w:val="single" w:color="000000" w:sz="4" w:space="0"/>
              <w:right w:val="single" w:color="000000" w:sz="4" w:space="0"/>
            </w:tcBorders>
            <w:noWrap w:val="0"/>
            <w:vAlign w:val="center"/>
          </w:tcPr>
          <w:p w14:paraId="56DEB290">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6FD54F">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2A8AF7C3">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采购执行率</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04A90942">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noWrap w:val="0"/>
            <w:vAlign w:val="center"/>
          </w:tcPr>
          <w:p w14:paraId="7CFF936B">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部门政府采购项目资金支付比例情况</w:t>
            </w:r>
          </w:p>
        </w:tc>
        <w:tc>
          <w:tcPr>
            <w:tcW w:w="730" w:type="dxa"/>
            <w:tcBorders>
              <w:top w:val="single" w:color="000000" w:sz="4" w:space="0"/>
              <w:left w:val="single" w:color="000000" w:sz="4" w:space="0"/>
              <w:bottom w:val="single" w:color="000000" w:sz="4" w:space="0"/>
              <w:right w:val="single" w:color="000000" w:sz="4" w:space="0"/>
            </w:tcBorders>
            <w:noWrap w:val="0"/>
            <w:vAlign w:val="center"/>
          </w:tcPr>
          <w:p w14:paraId="7C9A6087">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14:paraId="215FF919">
            <w:pPr>
              <w:widowControl/>
              <w:spacing w:line="240" w:lineRule="exact"/>
              <w:jc w:val="left"/>
              <w:textAlignment w:val="center"/>
              <w:rPr>
                <w:rFonts w:ascii="宋体" w:hAnsi="宋体" w:eastAsia="宋体" w:cs="宋体"/>
                <w:color w:val="000000"/>
                <w:kern w:val="0"/>
                <w:sz w:val="24"/>
              </w:rPr>
            </w:pPr>
          </w:p>
        </w:tc>
      </w:tr>
      <w:tr w14:paraId="6C56B412">
        <w:tblPrEx>
          <w:tblCellMar>
            <w:top w:w="0" w:type="dxa"/>
            <w:left w:w="108" w:type="dxa"/>
            <w:bottom w:w="0" w:type="dxa"/>
            <w:right w:w="108" w:type="dxa"/>
          </w:tblCellMar>
        </w:tblPrEx>
        <w:trPr>
          <w:trHeight w:val="23" w:hRule="atLeast"/>
          <w:jc w:val="center"/>
        </w:trPr>
        <w:tc>
          <w:tcPr>
            <w:tcW w:w="1097" w:type="dxa"/>
            <w:vMerge w:val="restart"/>
            <w:tcBorders>
              <w:top w:val="single" w:color="000000" w:sz="4" w:space="0"/>
              <w:left w:val="single" w:color="000000" w:sz="4" w:space="0"/>
              <w:bottom w:val="single" w:color="000000" w:sz="4" w:space="0"/>
              <w:right w:val="single" w:color="000000" w:sz="4" w:space="0"/>
            </w:tcBorders>
            <w:noWrap w:val="0"/>
            <w:vAlign w:val="center"/>
          </w:tcPr>
          <w:p w14:paraId="74154EBB">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项目绩效（35分）</w:t>
            </w:r>
          </w:p>
        </w:tc>
        <w:tc>
          <w:tcPr>
            <w:tcW w:w="1201" w:type="dxa"/>
            <w:vMerge w:val="restart"/>
            <w:tcBorders>
              <w:top w:val="single" w:color="000000" w:sz="4" w:space="0"/>
              <w:left w:val="single" w:color="000000" w:sz="4" w:space="0"/>
              <w:bottom w:val="nil"/>
              <w:right w:val="single" w:color="000000" w:sz="4" w:space="0"/>
            </w:tcBorders>
            <w:noWrap w:val="0"/>
            <w:vAlign w:val="center"/>
          </w:tcPr>
          <w:p w14:paraId="06006B6D">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项目决策</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（12分）</w:t>
            </w: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4F228D32">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决策程序</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6E044DB8">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noWrap w:val="0"/>
            <w:vAlign w:val="center"/>
          </w:tcPr>
          <w:p w14:paraId="01F23D7E">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部门预算项目设立是否按规定履行评估论证、申报程序</w:t>
            </w:r>
          </w:p>
        </w:tc>
        <w:tc>
          <w:tcPr>
            <w:tcW w:w="730" w:type="dxa"/>
            <w:tcBorders>
              <w:top w:val="single" w:color="000000" w:sz="4" w:space="0"/>
              <w:left w:val="single" w:color="000000" w:sz="4" w:space="0"/>
              <w:bottom w:val="single" w:color="000000" w:sz="4" w:space="0"/>
              <w:right w:val="single" w:color="000000" w:sz="4" w:space="0"/>
            </w:tcBorders>
            <w:noWrap w:val="0"/>
            <w:vAlign w:val="center"/>
          </w:tcPr>
          <w:p w14:paraId="5094DB75">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14:paraId="2F5002F0">
            <w:pPr>
              <w:widowControl/>
              <w:spacing w:line="240" w:lineRule="exact"/>
              <w:jc w:val="left"/>
              <w:textAlignment w:val="center"/>
              <w:rPr>
                <w:rFonts w:ascii="宋体" w:hAnsi="宋体" w:eastAsia="宋体" w:cs="宋体"/>
                <w:color w:val="000000"/>
                <w:kern w:val="0"/>
                <w:sz w:val="24"/>
              </w:rPr>
            </w:pPr>
          </w:p>
        </w:tc>
      </w:tr>
      <w:tr w14:paraId="2B52613D">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2FFF78">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nil"/>
              <w:right w:val="single" w:color="000000" w:sz="4" w:space="0"/>
            </w:tcBorders>
            <w:noWrap w:val="0"/>
            <w:vAlign w:val="center"/>
          </w:tcPr>
          <w:p w14:paraId="3F12B608">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4D9FA745">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目标设置</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6F16000E">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noWrap w:val="0"/>
            <w:vAlign w:val="center"/>
          </w:tcPr>
          <w:p w14:paraId="27ACCC60">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部门预算项目绩效目标与计划期内的任务量、预算安排的资金量匹配情况，绩效目标设置是否科学合理、规范完整、量化细化、预算匹配</w:t>
            </w:r>
          </w:p>
        </w:tc>
        <w:tc>
          <w:tcPr>
            <w:tcW w:w="730" w:type="dxa"/>
            <w:tcBorders>
              <w:top w:val="single" w:color="000000" w:sz="4" w:space="0"/>
              <w:left w:val="single" w:color="000000" w:sz="4" w:space="0"/>
              <w:bottom w:val="single" w:color="000000" w:sz="4" w:space="0"/>
              <w:right w:val="single" w:color="000000" w:sz="4" w:space="0"/>
            </w:tcBorders>
            <w:noWrap w:val="0"/>
            <w:vAlign w:val="center"/>
          </w:tcPr>
          <w:p w14:paraId="7DE655E5">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14:paraId="01D04199">
            <w:pPr>
              <w:widowControl/>
              <w:spacing w:line="240" w:lineRule="exact"/>
              <w:jc w:val="left"/>
              <w:textAlignment w:val="center"/>
              <w:rPr>
                <w:rFonts w:ascii="宋体" w:hAnsi="宋体" w:eastAsia="宋体" w:cs="宋体"/>
                <w:color w:val="000000"/>
                <w:kern w:val="0"/>
                <w:sz w:val="24"/>
              </w:rPr>
            </w:pPr>
          </w:p>
        </w:tc>
      </w:tr>
      <w:tr w14:paraId="0D016570">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6D4280">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nil"/>
              <w:right w:val="single" w:color="000000" w:sz="4" w:space="0"/>
            </w:tcBorders>
            <w:noWrap w:val="0"/>
            <w:vAlign w:val="center"/>
          </w:tcPr>
          <w:p w14:paraId="1A9361E0">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12A9834B">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项目入库</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03C2E9A0">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noWrap w:val="0"/>
            <w:vAlign w:val="center"/>
          </w:tcPr>
          <w:p w14:paraId="7AE877EE">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部门预算项目是否在规定时间完成项目入库</w:t>
            </w:r>
          </w:p>
        </w:tc>
        <w:tc>
          <w:tcPr>
            <w:tcW w:w="730" w:type="dxa"/>
            <w:tcBorders>
              <w:top w:val="single" w:color="000000" w:sz="4" w:space="0"/>
              <w:left w:val="single" w:color="000000" w:sz="4" w:space="0"/>
              <w:bottom w:val="single" w:color="000000" w:sz="4" w:space="0"/>
              <w:right w:val="single" w:color="000000" w:sz="4" w:space="0"/>
            </w:tcBorders>
            <w:noWrap w:val="0"/>
            <w:vAlign w:val="center"/>
          </w:tcPr>
          <w:p w14:paraId="03F2B0C6">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14:paraId="40D567A8">
            <w:pPr>
              <w:widowControl/>
              <w:spacing w:line="240" w:lineRule="exact"/>
              <w:jc w:val="left"/>
              <w:textAlignment w:val="center"/>
              <w:rPr>
                <w:rFonts w:ascii="宋体" w:hAnsi="宋体" w:eastAsia="宋体" w:cs="宋体"/>
                <w:color w:val="000000"/>
                <w:kern w:val="0"/>
                <w:sz w:val="24"/>
              </w:rPr>
            </w:pPr>
          </w:p>
        </w:tc>
      </w:tr>
      <w:tr w14:paraId="3E33C833">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2D2524">
            <w:pPr>
              <w:widowControl/>
              <w:spacing w:line="240" w:lineRule="exact"/>
              <w:jc w:val="center"/>
              <w:rPr>
                <w:rFonts w:ascii="宋体" w:hAnsi="宋体" w:eastAsia="宋体" w:cs="宋体"/>
                <w:b/>
                <w:color w:val="000000"/>
                <w:sz w:val="24"/>
              </w:rPr>
            </w:pPr>
          </w:p>
        </w:tc>
        <w:tc>
          <w:tcPr>
            <w:tcW w:w="1201" w:type="dxa"/>
            <w:vMerge w:val="restart"/>
            <w:tcBorders>
              <w:top w:val="single" w:color="000000" w:sz="4" w:space="0"/>
              <w:left w:val="single" w:color="000000" w:sz="4" w:space="0"/>
              <w:bottom w:val="nil"/>
              <w:right w:val="single" w:color="000000" w:sz="4" w:space="0"/>
            </w:tcBorders>
            <w:noWrap w:val="0"/>
            <w:vAlign w:val="center"/>
          </w:tcPr>
          <w:p w14:paraId="4D1121F1">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项目执行</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（12分）</w:t>
            </w: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112EC683">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执行同向</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0E067173">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noWrap w:val="0"/>
            <w:vAlign w:val="center"/>
          </w:tcPr>
          <w:p w14:paraId="46BF0596">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部门预算项目实际列支内容是否与绩效目标设置方向相符</w:t>
            </w:r>
          </w:p>
        </w:tc>
        <w:tc>
          <w:tcPr>
            <w:tcW w:w="730" w:type="dxa"/>
            <w:tcBorders>
              <w:top w:val="single" w:color="000000" w:sz="4" w:space="0"/>
              <w:left w:val="single" w:color="000000" w:sz="4" w:space="0"/>
              <w:bottom w:val="single" w:color="000000" w:sz="4" w:space="0"/>
              <w:right w:val="single" w:color="000000" w:sz="4" w:space="0"/>
            </w:tcBorders>
            <w:noWrap w:val="0"/>
            <w:vAlign w:val="center"/>
          </w:tcPr>
          <w:p w14:paraId="21152054">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14:paraId="72E5C5BB">
            <w:pPr>
              <w:widowControl/>
              <w:spacing w:line="240" w:lineRule="exact"/>
              <w:jc w:val="left"/>
              <w:textAlignment w:val="center"/>
              <w:rPr>
                <w:rFonts w:ascii="宋体" w:hAnsi="宋体" w:eastAsia="宋体" w:cs="宋体"/>
                <w:color w:val="000000"/>
                <w:kern w:val="0"/>
                <w:sz w:val="24"/>
              </w:rPr>
            </w:pPr>
          </w:p>
        </w:tc>
      </w:tr>
      <w:tr w14:paraId="29FAA796">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A543F8">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nil"/>
              <w:right w:val="single" w:color="000000" w:sz="4" w:space="0"/>
            </w:tcBorders>
            <w:noWrap w:val="0"/>
            <w:vAlign w:val="center"/>
          </w:tcPr>
          <w:p w14:paraId="39B85AF4">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nil"/>
              <w:right w:val="single" w:color="000000" w:sz="4" w:space="0"/>
            </w:tcBorders>
            <w:noWrap w:val="0"/>
            <w:vAlign w:val="center"/>
          </w:tcPr>
          <w:p w14:paraId="16D92403">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项目调整</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44B8F3F2">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noWrap w:val="0"/>
            <w:vAlign w:val="center"/>
          </w:tcPr>
          <w:p w14:paraId="37EC182B">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部门预算项目是否采取对应调整措施</w:t>
            </w:r>
          </w:p>
        </w:tc>
        <w:tc>
          <w:tcPr>
            <w:tcW w:w="730" w:type="dxa"/>
            <w:tcBorders>
              <w:top w:val="single" w:color="000000" w:sz="4" w:space="0"/>
              <w:left w:val="single" w:color="000000" w:sz="4" w:space="0"/>
              <w:bottom w:val="single" w:color="000000" w:sz="4" w:space="0"/>
              <w:right w:val="single" w:color="000000" w:sz="4" w:space="0"/>
            </w:tcBorders>
            <w:noWrap w:val="0"/>
            <w:vAlign w:val="center"/>
          </w:tcPr>
          <w:p w14:paraId="2DEEFD1D">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14:paraId="0CD30495">
            <w:pPr>
              <w:widowControl/>
              <w:spacing w:line="240" w:lineRule="exact"/>
              <w:jc w:val="left"/>
              <w:textAlignment w:val="center"/>
              <w:rPr>
                <w:rFonts w:ascii="宋体" w:hAnsi="宋体" w:eastAsia="宋体" w:cs="宋体"/>
                <w:color w:val="000000"/>
                <w:kern w:val="0"/>
                <w:sz w:val="24"/>
              </w:rPr>
            </w:pPr>
          </w:p>
        </w:tc>
      </w:tr>
      <w:tr w14:paraId="51E3F1FF">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2C2560">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nil"/>
              <w:right w:val="single" w:color="000000" w:sz="4" w:space="0"/>
            </w:tcBorders>
            <w:noWrap w:val="0"/>
            <w:vAlign w:val="center"/>
          </w:tcPr>
          <w:p w14:paraId="4B2DF6AF">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32FBECD7">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执行结果</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17A6D8BE">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noWrap w:val="0"/>
            <w:vAlign w:val="center"/>
          </w:tcPr>
          <w:p w14:paraId="5D1EB9A1">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部门预算项目预算执行情况</w:t>
            </w:r>
          </w:p>
        </w:tc>
        <w:tc>
          <w:tcPr>
            <w:tcW w:w="730" w:type="dxa"/>
            <w:tcBorders>
              <w:top w:val="single" w:color="000000" w:sz="4" w:space="0"/>
              <w:left w:val="single" w:color="000000" w:sz="4" w:space="0"/>
              <w:bottom w:val="single" w:color="000000" w:sz="4" w:space="0"/>
              <w:right w:val="single" w:color="000000" w:sz="4" w:space="0"/>
            </w:tcBorders>
            <w:noWrap w:val="0"/>
            <w:vAlign w:val="center"/>
          </w:tcPr>
          <w:p w14:paraId="6B640EB4">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14:paraId="588E5A09">
            <w:pPr>
              <w:widowControl/>
              <w:spacing w:line="240" w:lineRule="exact"/>
              <w:jc w:val="left"/>
              <w:textAlignment w:val="center"/>
              <w:rPr>
                <w:rFonts w:ascii="宋体" w:hAnsi="宋体" w:eastAsia="宋体" w:cs="宋体"/>
                <w:color w:val="000000"/>
                <w:kern w:val="0"/>
                <w:sz w:val="24"/>
              </w:rPr>
            </w:pPr>
          </w:p>
        </w:tc>
      </w:tr>
      <w:tr w14:paraId="4B3320DD">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4C0CF5">
            <w:pPr>
              <w:widowControl/>
              <w:spacing w:line="240" w:lineRule="exact"/>
              <w:jc w:val="center"/>
              <w:rPr>
                <w:rFonts w:ascii="宋体" w:hAnsi="宋体" w:eastAsia="宋体" w:cs="宋体"/>
                <w:b/>
                <w:color w:val="000000"/>
                <w:sz w:val="24"/>
              </w:rPr>
            </w:pPr>
          </w:p>
        </w:tc>
        <w:tc>
          <w:tcPr>
            <w:tcW w:w="1201" w:type="dxa"/>
            <w:vMerge w:val="restart"/>
            <w:tcBorders>
              <w:top w:val="single" w:color="000000" w:sz="4" w:space="0"/>
              <w:left w:val="single" w:color="000000" w:sz="4" w:space="0"/>
              <w:bottom w:val="single" w:color="000000" w:sz="4" w:space="0"/>
              <w:right w:val="single" w:color="000000" w:sz="4" w:space="0"/>
            </w:tcBorders>
            <w:noWrap w:val="0"/>
            <w:vAlign w:val="center"/>
          </w:tcPr>
          <w:p w14:paraId="6E1DAE13">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目标实现</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（11分）</w:t>
            </w: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2E07C925">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目标完成</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602061D7">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noWrap w:val="0"/>
            <w:vAlign w:val="center"/>
          </w:tcPr>
          <w:p w14:paraId="0EB039D7">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部门预算项目绩效目标数量指标完成情况</w:t>
            </w:r>
          </w:p>
        </w:tc>
        <w:tc>
          <w:tcPr>
            <w:tcW w:w="730" w:type="dxa"/>
            <w:tcBorders>
              <w:top w:val="single" w:color="000000" w:sz="4" w:space="0"/>
              <w:left w:val="single" w:color="000000" w:sz="4" w:space="0"/>
              <w:bottom w:val="single" w:color="000000" w:sz="4" w:space="0"/>
              <w:right w:val="single" w:color="000000" w:sz="4" w:space="0"/>
            </w:tcBorders>
            <w:noWrap w:val="0"/>
            <w:vAlign w:val="center"/>
          </w:tcPr>
          <w:p w14:paraId="28937DE2">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14:paraId="68D55D23">
            <w:pPr>
              <w:widowControl/>
              <w:spacing w:line="240" w:lineRule="exact"/>
              <w:jc w:val="left"/>
              <w:textAlignment w:val="center"/>
              <w:rPr>
                <w:rFonts w:ascii="宋体" w:hAnsi="宋体" w:eastAsia="宋体" w:cs="宋体"/>
                <w:color w:val="000000"/>
                <w:kern w:val="0"/>
                <w:sz w:val="24"/>
              </w:rPr>
            </w:pPr>
          </w:p>
        </w:tc>
      </w:tr>
      <w:tr w14:paraId="445FE708">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BEB5ED">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77444A">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5DB51817">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目标偏离</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2140619F">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noWrap w:val="0"/>
            <w:vAlign w:val="center"/>
          </w:tcPr>
          <w:p w14:paraId="44988A59">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部门预算项目绩效目标数量指标实现程度与预期目标的偏离情况</w:t>
            </w:r>
          </w:p>
        </w:tc>
        <w:tc>
          <w:tcPr>
            <w:tcW w:w="730" w:type="dxa"/>
            <w:tcBorders>
              <w:top w:val="single" w:color="000000" w:sz="4" w:space="0"/>
              <w:left w:val="single" w:color="000000" w:sz="4" w:space="0"/>
              <w:bottom w:val="single" w:color="000000" w:sz="4" w:space="0"/>
              <w:right w:val="single" w:color="000000" w:sz="4" w:space="0"/>
            </w:tcBorders>
            <w:noWrap w:val="0"/>
            <w:vAlign w:val="center"/>
          </w:tcPr>
          <w:p w14:paraId="579599A7">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14:paraId="4DB70EAF">
            <w:pPr>
              <w:widowControl/>
              <w:spacing w:line="240" w:lineRule="exact"/>
              <w:jc w:val="left"/>
              <w:textAlignment w:val="center"/>
              <w:rPr>
                <w:rFonts w:ascii="宋体" w:hAnsi="宋体" w:eastAsia="宋体" w:cs="宋体"/>
                <w:color w:val="000000"/>
                <w:kern w:val="0"/>
                <w:sz w:val="24"/>
              </w:rPr>
            </w:pPr>
          </w:p>
        </w:tc>
      </w:tr>
      <w:tr w14:paraId="51BDEF20">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C2A8FC">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6F268B">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noWrap w:val="0"/>
            <w:vAlign w:val="center"/>
          </w:tcPr>
          <w:p w14:paraId="524D4E31">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实现效果</w:t>
            </w:r>
          </w:p>
        </w:tc>
        <w:tc>
          <w:tcPr>
            <w:tcW w:w="717" w:type="dxa"/>
            <w:tcBorders>
              <w:top w:val="single" w:color="000000" w:sz="4" w:space="0"/>
              <w:left w:val="single" w:color="000000" w:sz="4" w:space="0"/>
              <w:bottom w:val="single" w:color="000000" w:sz="4" w:space="0"/>
              <w:right w:val="single" w:color="000000" w:sz="4" w:space="0"/>
            </w:tcBorders>
            <w:noWrap w:val="0"/>
            <w:vAlign w:val="center"/>
          </w:tcPr>
          <w:p w14:paraId="539462DB">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noWrap w:val="0"/>
            <w:vAlign w:val="center"/>
          </w:tcPr>
          <w:p w14:paraId="4309A744">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部门预算项目绩效目标效益指标实施效果</w:t>
            </w:r>
          </w:p>
        </w:tc>
        <w:tc>
          <w:tcPr>
            <w:tcW w:w="730" w:type="dxa"/>
            <w:tcBorders>
              <w:top w:val="single" w:color="000000" w:sz="4" w:space="0"/>
              <w:left w:val="single" w:color="000000" w:sz="4" w:space="0"/>
              <w:bottom w:val="single" w:color="000000" w:sz="4" w:space="0"/>
              <w:right w:val="single" w:color="000000" w:sz="4" w:space="0"/>
            </w:tcBorders>
            <w:noWrap w:val="0"/>
            <w:vAlign w:val="center"/>
          </w:tcPr>
          <w:p w14:paraId="28727983">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noWrap w:val="0"/>
            <w:vAlign w:val="center"/>
          </w:tcPr>
          <w:p w14:paraId="202933FC">
            <w:pPr>
              <w:widowControl/>
              <w:spacing w:line="240" w:lineRule="exact"/>
              <w:jc w:val="left"/>
              <w:textAlignment w:val="center"/>
              <w:rPr>
                <w:rFonts w:ascii="宋体" w:hAnsi="宋体" w:eastAsia="宋体" w:cs="宋体"/>
                <w:color w:val="000000"/>
                <w:kern w:val="0"/>
                <w:sz w:val="24"/>
              </w:rPr>
            </w:pPr>
          </w:p>
        </w:tc>
      </w:tr>
    </w:tbl>
    <w:p w14:paraId="505B8846">
      <w:pPr>
        <w:spacing w:line="578" w:lineRule="exact"/>
        <w:jc w:val="left"/>
        <w:rPr>
          <w:rFonts w:hint="default" w:ascii="Times New Roman" w:hAnsi="Times New Roman" w:eastAsia="黑体" w:cs="Times New Roman"/>
          <w:sz w:val="32"/>
          <w:lang w:val="en-US" w:eastAsia="zh-CN"/>
        </w:rPr>
      </w:pPr>
      <w:r>
        <w:rPr>
          <w:rFonts w:ascii="Times New Roman" w:hAnsi="Times New Roman" w:eastAsia="黑体" w:cs="Times New Roman"/>
          <w:sz w:val="32"/>
        </w:rPr>
        <w:t>附表</w:t>
      </w:r>
      <w:r>
        <w:rPr>
          <w:rFonts w:hint="eastAsia" w:ascii="Times New Roman" w:hAnsi="Times New Roman" w:eastAsia="黑体" w:cs="Times New Roman"/>
          <w:sz w:val="32"/>
        </w:rPr>
        <w:t>2</w:t>
      </w:r>
    </w:p>
    <w:tbl>
      <w:tblPr>
        <w:tblStyle w:val="4"/>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309"/>
        <w:gridCol w:w="1347"/>
        <w:gridCol w:w="1273"/>
        <w:gridCol w:w="1100"/>
        <w:gridCol w:w="1144"/>
        <w:gridCol w:w="1"/>
        <w:gridCol w:w="1289"/>
        <w:gridCol w:w="1058"/>
        <w:gridCol w:w="926"/>
        <w:gridCol w:w="1113"/>
      </w:tblGrid>
      <w:tr w14:paraId="4AC33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62" w:hRule="exact"/>
          <w:jc w:val="center"/>
        </w:trPr>
        <w:tc>
          <w:tcPr>
            <w:tcW w:w="10560" w:type="dxa"/>
            <w:gridSpan w:val="10"/>
            <w:noWrap w:val="0"/>
            <w:vAlign w:val="center"/>
          </w:tcPr>
          <w:p w14:paraId="1CC4BC94">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default" w:ascii="Times New Roman" w:hAnsi="Times New Roman" w:eastAsia="黑体" w:cs="Times New Roman"/>
                <w:i w:val="0"/>
                <w:color w:val="000000"/>
                <w:sz w:val="28"/>
                <w:szCs w:val="28"/>
                <w:u w:val="none"/>
              </w:rPr>
            </w:pPr>
            <w:r>
              <w:rPr>
                <w:rFonts w:hint="default" w:ascii="Times New Roman" w:hAnsi="Times New Roman" w:eastAsia="方正小标宋简体" w:cs="Times New Roman"/>
                <w:i w:val="0"/>
                <w:color w:val="000000"/>
                <w:kern w:val="0"/>
                <w:sz w:val="44"/>
                <w:szCs w:val="44"/>
                <w:u w:val="none"/>
                <w:lang w:val="en-US" w:eastAsia="zh-CN" w:bidi="ar"/>
              </w:rPr>
              <w:t>部门整体支出绩效目标完成情况自评表</w:t>
            </w:r>
          </w:p>
        </w:tc>
      </w:tr>
      <w:tr w14:paraId="7782A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0560" w:type="dxa"/>
            <w:gridSpan w:val="10"/>
            <w:noWrap w:val="0"/>
            <w:vAlign w:val="center"/>
          </w:tcPr>
          <w:p w14:paraId="3DC27D7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8"/>
                <w:szCs w:val="28"/>
                <w:u w:val="none"/>
              </w:rPr>
            </w:pPr>
            <w:r>
              <w:rPr>
                <w:rFonts w:hint="default" w:ascii="Times New Roman" w:hAnsi="Times New Roman" w:eastAsia="宋体" w:cs="Times New Roman"/>
                <w:i w:val="0"/>
                <w:color w:val="000000"/>
                <w:kern w:val="0"/>
                <w:sz w:val="28"/>
                <w:szCs w:val="28"/>
                <w:u w:val="none"/>
                <w:lang w:val="en-US" w:eastAsia="zh-CN" w:bidi="ar"/>
              </w:rPr>
              <w:t>（</w:t>
            </w:r>
            <w:r>
              <w:rPr>
                <w:rFonts w:hint="eastAsia" w:ascii="Times New Roman" w:hAnsi="Times New Roman" w:cs="Times New Roman"/>
                <w:i w:val="0"/>
                <w:color w:val="000000"/>
                <w:kern w:val="0"/>
                <w:sz w:val="28"/>
                <w:szCs w:val="28"/>
                <w:u w:val="none"/>
                <w:lang w:val="en-US" w:eastAsia="zh-CN" w:bidi="ar"/>
              </w:rPr>
              <w:t>2025</w:t>
            </w:r>
            <w:r>
              <w:rPr>
                <w:rFonts w:hint="default" w:ascii="Times New Roman" w:hAnsi="Times New Roman" w:eastAsia="宋体" w:cs="Times New Roman"/>
                <w:i w:val="0"/>
                <w:color w:val="000000"/>
                <w:kern w:val="0"/>
                <w:sz w:val="28"/>
                <w:szCs w:val="28"/>
                <w:u w:val="none"/>
                <w:lang w:val="en-US" w:eastAsia="zh-CN" w:bidi="ar"/>
              </w:rPr>
              <w:t>年度）</w:t>
            </w:r>
          </w:p>
        </w:tc>
      </w:tr>
      <w:tr w14:paraId="2549C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0560" w:type="dxa"/>
            <w:gridSpan w:val="10"/>
            <w:tcBorders>
              <w:bottom w:val="single" w:color="000000" w:sz="4" w:space="0"/>
            </w:tcBorders>
            <w:noWrap w:val="0"/>
            <w:vAlign w:val="center"/>
          </w:tcPr>
          <w:p w14:paraId="1164B596">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center"/>
              <w:outlineLvl w:val="9"/>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单位：万元</w:t>
            </w:r>
          </w:p>
        </w:tc>
      </w:tr>
      <w:tr w14:paraId="5F269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3929" w:type="dxa"/>
            <w:gridSpan w:val="3"/>
            <w:tcBorders>
              <w:top w:val="single" w:color="000000" w:sz="4" w:space="0"/>
              <w:left w:val="single" w:color="000000" w:sz="4" w:space="0"/>
              <w:bottom w:val="single" w:color="000000" w:sz="4" w:space="0"/>
              <w:right w:val="single" w:color="000000" w:sz="4" w:space="0"/>
            </w:tcBorders>
            <w:noWrap w:val="0"/>
            <w:vAlign w:val="center"/>
          </w:tcPr>
          <w:p w14:paraId="212E4A6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部门名称</w:t>
            </w:r>
          </w:p>
        </w:tc>
        <w:tc>
          <w:tcPr>
            <w:tcW w:w="6631" w:type="dxa"/>
            <w:gridSpan w:val="7"/>
            <w:tcBorders>
              <w:top w:val="single" w:color="000000" w:sz="4" w:space="0"/>
              <w:left w:val="single" w:color="000000" w:sz="4" w:space="0"/>
              <w:bottom w:val="single" w:color="000000" w:sz="4" w:space="0"/>
              <w:right w:val="single" w:color="000000" w:sz="4" w:space="0"/>
            </w:tcBorders>
            <w:noWrap w:val="0"/>
            <w:vAlign w:val="center"/>
          </w:tcPr>
          <w:p w14:paraId="0AA61EF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黑水县政协委员服务中心</w:t>
            </w:r>
          </w:p>
        </w:tc>
      </w:tr>
      <w:tr w14:paraId="02994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bottom w:val="single" w:color="000000" w:sz="4" w:space="0"/>
              <w:right w:val="single" w:color="000000" w:sz="4" w:space="0"/>
            </w:tcBorders>
            <w:noWrap w:val="0"/>
            <w:vAlign w:val="center"/>
          </w:tcPr>
          <w:p w14:paraId="5C9AC67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年度部门整体支出预算</w:t>
            </w:r>
          </w:p>
        </w:tc>
        <w:tc>
          <w:tcPr>
            <w:tcW w:w="2620" w:type="dxa"/>
            <w:gridSpan w:val="2"/>
            <w:tcBorders>
              <w:top w:val="single" w:color="000000" w:sz="4" w:space="0"/>
              <w:left w:val="single" w:color="000000" w:sz="4" w:space="0"/>
              <w:bottom w:val="single" w:color="000000" w:sz="4" w:space="0"/>
              <w:right w:val="single" w:color="000000" w:sz="4" w:space="0"/>
            </w:tcBorders>
            <w:noWrap w:val="0"/>
            <w:vAlign w:val="center"/>
          </w:tcPr>
          <w:p w14:paraId="3F8860A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资金总额</w:t>
            </w:r>
          </w:p>
        </w:tc>
        <w:tc>
          <w:tcPr>
            <w:tcW w:w="2244" w:type="dxa"/>
            <w:gridSpan w:val="2"/>
            <w:tcBorders>
              <w:top w:val="single" w:color="000000" w:sz="4" w:space="0"/>
              <w:left w:val="single" w:color="000000" w:sz="4" w:space="0"/>
              <w:bottom w:val="single" w:color="000000" w:sz="4" w:space="0"/>
              <w:right w:val="single" w:color="000000" w:sz="4" w:space="0"/>
            </w:tcBorders>
            <w:noWrap w:val="0"/>
            <w:vAlign w:val="center"/>
          </w:tcPr>
          <w:p w14:paraId="223B16B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财政拨款</w:t>
            </w:r>
          </w:p>
        </w:tc>
        <w:tc>
          <w:tcPr>
            <w:tcW w:w="4387" w:type="dxa"/>
            <w:gridSpan w:val="5"/>
            <w:tcBorders>
              <w:top w:val="single" w:color="000000" w:sz="4" w:space="0"/>
              <w:left w:val="single" w:color="000000" w:sz="4" w:space="0"/>
              <w:bottom w:val="single" w:color="000000" w:sz="4" w:space="0"/>
              <w:right w:val="single" w:color="000000" w:sz="4" w:space="0"/>
            </w:tcBorders>
            <w:noWrap w:val="0"/>
            <w:vAlign w:val="center"/>
          </w:tcPr>
          <w:p w14:paraId="3C0C910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其他资金</w:t>
            </w:r>
          </w:p>
        </w:tc>
      </w:tr>
      <w:tr w14:paraId="57774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373A61">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2620" w:type="dxa"/>
            <w:gridSpan w:val="2"/>
            <w:tcBorders>
              <w:top w:val="single" w:color="000000" w:sz="4" w:space="0"/>
              <w:left w:val="single" w:color="000000" w:sz="4" w:space="0"/>
              <w:bottom w:val="single" w:color="000000" w:sz="4" w:space="0"/>
              <w:right w:val="single" w:color="000000" w:sz="4" w:space="0"/>
            </w:tcBorders>
            <w:noWrap w:val="0"/>
            <w:vAlign w:val="center"/>
          </w:tcPr>
          <w:p w14:paraId="0DA7648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lang w:val="en-US"/>
              </w:rPr>
            </w:pPr>
            <w:r>
              <w:rPr>
                <w:rFonts w:hint="eastAsia" w:ascii="Times New Roman" w:hAnsi="Times New Roman" w:cs="Times New Roman"/>
                <w:i w:val="0"/>
                <w:color w:val="000000"/>
                <w:kern w:val="0"/>
                <w:sz w:val="24"/>
                <w:szCs w:val="24"/>
                <w:u w:val="none"/>
                <w:lang w:val="en-US" w:eastAsia="zh-CN" w:bidi="ar"/>
              </w:rPr>
              <w:t>62.81</w:t>
            </w:r>
          </w:p>
        </w:tc>
        <w:tc>
          <w:tcPr>
            <w:tcW w:w="2244" w:type="dxa"/>
            <w:gridSpan w:val="2"/>
            <w:tcBorders>
              <w:top w:val="single" w:color="000000" w:sz="4" w:space="0"/>
              <w:left w:val="single" w:color="000000" w:sz="4" w:space="0"/>
              <w:bottom w:val="single" w:color="000000" w:sz="4" w:space="0"/>
              <w:right w:val="single" w:color="000000" w:sz="4" w:space="0"/>
            </w:tcBorders>
            <w:noWrap w:val="0"/>
            <w:vAlign w:val="center"/>
          </w:tcPr>
          <w:p w14:paraId="18B19AF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lang w:val="en-US"/>
              </w:rPr>
            </w:pPr>
            <w:r>
              <w:rPr>
                <w:rFonts w:hint="eastAsia" w:ascii="Times New Roman" w:hAnsi="Times New Roman" w:cs="Times New Roman"/>
                <w:i w:val="0"/>
                <w:color w:val="000000"/>
                <w:kern w:val="0"/>
                <w:sz w:val="24"/>
                <w:szCs w:val="24"/>
                <w:u w:val="none"/>
                <w:lang w:val="en-US" w:eastAsia="zh-CN" w:bidi="ar"/>
              </w:rPr>
              <w:t>62.81</w:t>
            </w:r>
          </w:p>
        </w:tc>
        <w:tc>
          <w:tcPr>
            <w:tcW w:w="4387" w:type="dxa"/>
            <w:gridSpan w:val="5"/>
            <w:tcBorders>
              <w:top w:val="single" w:color="000000" w:sz="4" w:space="0"/>
              <w:left w:val="single" w:color="000000" w:sz="4" w:space="0"/>
              <w:bottom w:val="single" w:color="000000" w:sz="4" w:space="0"/>
              <w:right w:val="single" w:color="000000" w:sz="4" w:space="0"/>
            </w:tcBorders>
            <w:noWrap w:val="0"/>
            <w:vAlign w:val="center"/>
          </w:tcPr>
          <w:p w14:paraId="688BAC2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p>
        </w:tc>
      </w:tr>
      <w:tr w14:paraId="1EFA6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tcBorders>
              <w:top w:val="single" w:color="000000" w:sz="4" w:space="0"/>
              <w:left w:val="single" w:color="000000" w:sz="4" w:space="0"/>
              <w:bottom w:val="single" w:color="000000" w:sz="4" w:space="0"/>
              <w:right w:val="single" w:color="000000" w:sz="4" w:space="0"/>
            </w:tcBorders>
            <w:noWrap w:val="0"/>
            <w:vAlign w:val="center"/>
          </w:tcPr>
          <w:p w14:paraId="1130D33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年度总体</w:t>
            </w:r>
          </w:p>
          <w:p w14:paraId="020716D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目标</w:t>
            </w:r>
          </w:p>
        </w:tc>
        <w:tc>
          <w:tcPr>
            <w:tcW w:w="9251" w:type="dxa"/>
            <w:gridSpan w:val="9"/>
            <w:tcBorders>
              <w:top w:val="single" w:color="000000" w:sz="4" w:space="0"/>
              <w:left w:val="single" w:color="000000" w:sz="4" w:space="0"/>
              <w:bottom w:val="single" w:color="000000" w:sz="4" w:space="0"/>
              <w:right w:val="single" w:color="000000" w:sz="4" w:space="0"/>
            </w:tcBorders>
            <w:noWrap w:val="0"/>
            <w:vAlign w:val="top"/>
          </w:tcPr>
          <w:p w14:paraId="45A7599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color w:val="000000"/>
                <w:kern w:val="0"/>
                <w:sz w:val="24"/>
                <w:szCs w:val="24"/>
                <w:u w:val="none"/>
                <w:lang w:val="en-US" w:eastAsia="zh-CN" w:bidi="ar"/>
              </w:rPr>
              <w:t>严格执行相关财经法规，保障工资、保险及时足额发放、缴纳；严格按照财政预算拨付数执行，切实保障单位日常运转，按照资金使用范围，合理规范进行开支，保障政协会议、委员培训等</w:t>
            </w:r>
            <w:r>
              <w:rPr>
                <w:rFonts w:hint="eastAsia" w:ascii="Times New Roman" w:hAnsi="Times New Roman" w:cs="Times New Roman"/>
                <w:i w:val="0"/>
                <w:color w:val="000000"/>
                <w:kern w:val="0"/>
                <w:sz w:val="24"/>
                <w:szCs w:val="24"/>
                <w:u w:val="none"/>
                <w:lang w:val="en-US" w:eastAsia="zh-CN" w:bidi="ar"/>
              </w:rPr>
              <w:t>产生费用及时</w:t>
            </w:r>
            <w:r>
              <w:rPr>
                <w:rFonts w:hint="eastAsia" w:ascii="Times New Roman" w:hAnsi="Times New Roman" w:eastAsia="宋体" w:cs="Times New Roman"/>
                <w:i w:val="0"/>
                <w:color w:val="000000"/>
                <w:kern w:val="0"/>
                <w:sz w:val="24"/>
                <w:szCs w:val="24"/>
                <w:u w:val="none"/>
                <w:lang w:val="en-US" w:eastAsia="zh-CN" w:bidi="ar"/>
              </w:rPr>
              <w:t>拨付。</w:t>
            </w:r>
          </w:p>
        </w:tc>
      </w:tr>
      <w:tr w14:paraId="365F6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bottom w:val="single" w:color="000000" w:sz="4" w:space="0"/>
              <w:right w:val="single" w:color="000000" w:sz="4" w:space="0"/>
            </w:tcBorders>
            <w:noWrap w:val="0"/>
            <w:vAlign w:val="center"/>
          </w:tcPr>
          <w:p w14:paraId="19151A0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年度主要</w:t>
            </w:r>
          </w:p>
          <w:p w14:paraId="3F508AF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任务</w:t>
            </w:r>
          </w:p>
        </w:tc>
        <w:tc>
          <w:tcPr>
            <w:tcW w:w="2620" w:type="dxa"/>
            <w:gridSpan w:val="2"/>
            <w:tcBorders>
              <w:top w:val="single" w:color="000000" w:sz="4" w:space="0"/>
              <w:left w:val="single" w:color="000000" w:sz="4" w:space="0"/>
              <w:bottom w:val="single" w:color="000000" w:sz="4" w:space="0"/>
              <w:right w:val="single" w:color="000000" w:sz="4" w:space="0"/>
            </w:tcBorders>
            <w:noWrap w:val="0"/>
            <w:vAlign w:val="center"/>
          </w:tcPr>
          <w:p w14:paraId="7792902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任务名称</w:t>
            </w:r>
          </w:p>
        </w:tc>
        <w:tc>
          <w:tcPr>
            <w:tcW w:w="6631" w:type="dxa"/>
            <w:gridSpan w:val="7"/>
            <w:tcBorders>
              <w:top w:val="single" w:color="000000" w:sz="4" w:space="0"/>
              <w:left w:val="single" w:color="000000" w:sz="4" w:space="0"/>
              <w:bottom w:val="single" w:color="000000" w:sz="4" w:space="0"/>
              <w:right w:val="single" w:color="000000" w:sz="4" w:space="0"/>
            </w:tcBorders>
            <w:noWrap w:val="0"/>
            <w:vAlign w:val="center"/>
          </w:tcPr>
          <w:p w14:paraId="62F5EBF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主要内容</w:t>
            </w:r>
          </w:p>
        </w:tc>
      </w:tr>
      <w:tr w14:paraId="64219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5E8655">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2620" w:type="dxa"/>
            <w:gridSpan w:val="2"/>
            <w:tcBorders>
              <w:top w:val="single" w:color="000000" w:sz="4" w:space="0"/>
              <w:left w:val="single" w:color="000000" w:sz="4" w:space="0"/>
              <w:bottom w:val="single" w:color="000000" w:sz="4" w:space="0"/>
              <w:right w:val="single" w:color="000000" w:sz="4" w:space="0"/>
            </w:tcBorders>
            <w:noWrap w:val="0"/>
            <w:vAlign w:val="center"/>
          </w:tcPr>
          <w:p w14:paraId="39D1741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eastAsia" w:ascii="Times New Roman" w:hAnsi="Times New Roman" w:eastAsia="宋体" w:cs="Times New Roman"/>
                <w:i w:val="0"/>
                <w:color w:val="000000"/>
                <w:kern w:val="0"/>
                <w:sz w:val="24"/>
                <w:szCs w:val="24"/>
                <w:u w:val="none"/>
                <w:lang w:val="en-US" w:eastAsia="zh-CN" w:bidi="ar"/>
              </w:rPr>
            </w:pPr>
            <w:r>
              <w:rPr>
                <w:rFonts w:hint="eastAsia" w:ascii="Times New Roman" w:hAnsi="Times New Roman" w:cs="Times New Roman"/>
                <w:i w:val="0"/>
                <w:color w:val="000000"/>
                <w:kern w:val="0"/>
                <w:sz w:val="24"/>
                <w:szCs w:val="24"/>
                <w:u w:val="none"/>
                <w:lang w:val="en-US" w:eastAsia="zh-CN" w:bidi="ar"/>
              </w:rPr>
              <w:t>政协日常工作</w:t>
            </w:r>
          </w:p>
        </w:tc>
        <w:tc>
          <w:tcPr>
            <w:tcW w:w="6631" w:type="dxa"/>
            <w:gridSpan w:val="7"/>
            <w:tcBorders>
              <w:top w:val="single" w:color="000000" w:sz="4" w:space="0"/>
              <w:left w:val="single" w:color="000000" w:sz="4" w:space="0"/>
              <w:bottom w:val="single" w:color="000000" w:sz="4" w:space="0"/>
              <w:right w:val="single" w:color="000000" w:sz="4" w:space="0"/>
            </w:tcBorders>
            <w:noWrap w:val="0"/>
            <w:vAlign w:val="center"/>
          </w:tcPr>
          <w:p w14:paraId="3DFFBD12">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一是坚持党的领导，坚定正确履职方向；二是紧扣使命任务，围绕中心、服务大局，围绕中心多层次开展协商议政、深入调研视察、积极建言献策、参与全县重大项目建设、参与乡村振兴战略实施；三是推进工作创新，践行协商民主新突破，推进“有事来协商”工作，助力基层社会治理、强化社情民意工作、推进提案工作创新、健全民主监督机制；四是持续双向发力，广泛多层凝聚共识，关注民生民利、深化委员真情奉献、深化民族团结进步工作、广泛联络联谊；五是提升素质能力，全面加强自身建设，发挥党组核心作用、发挥好委员主体作用、提升委员履职能力、推进机关作风建设常态化。</w:t>
            </w:r>
          </w:p>
        </w:tc>
      </w:tr>
      <w:tr w14:paraId="45B82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auto" w:sz="4" w:space="0"/>
              <w:right w:val="single" w:color="000000" w:sz="4" w:space="0"/>
            </w:tcBorders>
            <w:noWrap w:val="0"/>
            <w:vAlign w:val="center"/>
          </w:tcPr>
          <w:p w14:paraId="7D79A15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年度绩效</w:t>
            </w:r>
          </w:p>
          <w:p w14:paraId="0A8EAB9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347" w:type="dxa"/>
            <w:tcBorders>
              <w:top w:val="single" w:color="000000" w:sz="4" w:space="0"/>
              <w:left w:val="single" w:color="000000" w:sz="4" w:space="0"/>
              <w:bottom w:val="single" w:color="000000" w:sz="4" w:space="0"/>
              <w:right w:val="single" w:color="000000" w:sz="4" w:space="0"/>
            </w:tcBorders>
            <w:noWrap w:val="0"/>
            <w:vAlign w:val="center"/>
          </w:tcPr>
          <w:p w14:paraId="4539583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一级指标</w:t>
            </w:r>
          </w:p>
        </w:tc>
        <w:tc>
          <w:tcPr>
            <w:tcW w:w="1273" w:type="dxa"/>
            <w:tcBorders>
              <w:top w:val="single" w:color="000000" w:sz="4" w:space="0"/>
              <w:left w:val="single" w:color="000000" w:sz="4" w:space="0"/>
              <w:bottom w:val="single" w:color="000000" w:sz="4" w:space="0"/>
              <w:right w:val="single" w:color="000000" w:sz="4" w:space="0"/>
            </w:tcBorders>
            <w:noWrap w:val="0"/>
            <w:vAlign w:val="center"/>
          </w:tcPr>
          <w:p w14:paraId="2ADEF5E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二级指标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49C491B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三级指标</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14:paraId="4ADE6E8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绩效指标</w:t>
            </w:r>
          </w:p>
          <w:p w14:paraId="35095D3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性质</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625AF7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绩效指标值</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67506CD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绩效度量单位</w:t>
            </w:r>
          </w:p>
        </w:tc>
        <w:tc>
          <w:tcPr>
            <w:tcW w:w="926" w:type="dxa"/>
            <w:tcBorders>
              <w:top w:val="single" w:color="000000" w:sz="4" w:space="0"/>
              <w:left w:val="single" w:color="000000" w:sz="4" w:space="0"/>
              <w:bottom w:val="single" w:color="000000" w:sz="4" w:space="0"/>
            </w:tcBorders>
            <w:noWrap w:val="0"/>
            <w:vAlign w:val="center"/>
          </w:tcPr>
          <w:p w14:paraId="7DBC830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权重</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62D8B50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实际完成</w:t>
            </w:r>
          </w:p>
          <w:p w14:paraId="11307EF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指标值</w:t>
            </w:r>
          </w:p>
        </w:tc>
      </w:tr>
      <w:tr w14:paraId="78B9A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auto" w:sz="4" w:space="0"/>
              <w:right w:val="single" w:color="000000" w:sz="4" w:space="0"/>
            </w:tcBorders>
            <w:noWrap w:val="0"/>
            <w:vAlign w:val="center"/>
          </w:tcPr>
          <w:p w14:paraId="2688E104">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restart"/>
            <w:tcBorders>
              <w:top w:val="single" w:color="000000" w:sz="4" w:space="0"/>
              <w:left w:val="single" w:color="000000" w:sz="4" w:space="0"/>
              <w:right w:val="single" w:color="000000" w:sz="4" w:space="0"/>
            </w:tcBorders>
            <w:noWrap w:val="0"/>
            <w:vAlign w:val="center"/>
          </w:tcPr>
          <w:p w14:paraId="6D7E4AA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产出指标</w:t>
            </w:r>
          </w:p>
        </w:tc>
        <w:tc>
          <w:tcPr>
            <w:tcW w:w="1273" w:type="dxa"/>
            <w:vMerge w:val="restart"/>
            <w:tcBorders>
              <w:top w:val="single" w:color="000000" w:sz="4" w:space="0"/>
              <w:left w:val="single" w:color="000000" w:sz="4" w:space="0"/>
              <w:right w:val="single" w:color="000000" w:sz="4" w:space="0"/>
            </w:tcBorders>
            <w:noWrap w:val="0"/>
            <w:vAlign w:val="center"/>
          </w:tcPr>
          <w:p w14:paraId="749D4F1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数量指标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00A6337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召开</w:t>
            </w:r>
            <w:r>
              <w:rPr>
                <w:rFonts w:hint="eastAsia" w:ascii="Times New Roman" w:hAnsi="Times New Roman" w:eastAsia="宋体" w:cs="Times New Roman"/>
                <w:i w:val="0"/>
                <w:color w:val="000000"/>
                <w:sz w:val="24"/>
                <w:szCs w:val="24"/>
                <w:u w:val="none"/>
                <w:lang w:val="en-US" w:eastAsia="zh-CN"/>
              </w:rPr>
              <w:t>政协</w:t>
            </w:r>
            <w:r>
              <w:rPr>
                <w:rFonts w:hint="eastAsia" w:ascii="Times New Roman" w:hAnsi="Times New Roman" w:cs="Times New Roman"/>
                <w:i w:val="0"/>
                <w:color w:val="000000"/>
                <w:sz w:val="24"/>
                <w:szCs w:val="24"/>
                <w:u w:val="none"/>
                <w:lang w:val="en-US" w:eastAsia="zh-CN"/>
              </w:rPr>
              <w:t>全委会</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14:paraId="3BEBCA3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ascii="宋体" w:hAnsi="宋体" w:eastAsia="宋体" w:cs="宋体"/>
                <w:sz w:val="24"/>
                <w:szCs w:val="24"/>
              </w:rPr>
              <w:t>＝</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4109509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kern w:val="0"/>
                <w:sz w:val="24"/>
                <w:szCs w:val="24"/>
                <w:u w:val="none"/>
                <w:lang w:val="en-US" w:eastAsia="zh-CN" w:bidi="ar"/>
              </w:rPr>
              <w:t>1</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7B5A5EB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eastAsia" w:ascii="Times New Roman" w:hAnsi="Times New Roman" w:eastAsia="宋体" w:cs="Times New Roman"/>
                <w:i w:val="0"/>
                <w:color w:val="000000"/>
                <w:sz w:val="24"/>
                <w:szCs w:val="24"/>
                <w:u w:val="none"/>
                <w:lang w:eastAsia="zh-CN"/>
              </w:rPr>
            </w:pPr>
            <w:r>
              <w:rPr>
                <w:rFonts w:hint="eastAsia" w:ascii="Times New Roman" w:hAnsi="Times New Roman" w:cs="Times New Roman"/>
                <w:i w:val="0"/>
                <w:color w:val="000000"/>
                <w:sz w:val="24"/>
                <w:szCs w:val="24"/>
                <w:u w:val="none"/>
                <w:lang w:eastAsia="zh-CN"/>
              </w:rPr>
              <w:t>场</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6F44BB0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kern w:val="0"/>
                <w:sz w:val="24"/>
                <w:szCs w:val="24"/>
                <w:u w:val="none"/>
                <w:lang w:val="en-US" w:eastAsia="zh-CN" w:bidi="ar"/>
              </w:rPr>
              <w:t>5</w:t>
            </w:r>
            <w:r>
              <w:rPr>
                <w:rFonts w:hint="default" w:ascii="Times New Roman" w:hAnsi="Times New Roman" w:eastAsia="宋体" w:cs="Times New Roman"/>
                <w:i w:val="0"/>
                <w:color w:val="000000"/>
                <w:kern w:val="0"/>
                <w:sz w:val="24"/>
                <w:szCs w:val="24"/>
                <w:u w:val="none"/>
                <w:lang w:val="en-US" w:eastAsia="zh-CN" w:bidi="ar"/>
              </w:rPr>
              <w:t>%</w:t>
            </w:r>
          </w:p>
        </w:tc>
        <w:tc>
          <w:tcPr>
            <w:tcW w:w="1113" w:type="dxa"/>
            <w:tcBorders>
              <w:left w:val="single" w:color="000000" w:sz="4" w:space="0"/>
              <w:bottom w:val="single" w:color="000000" w:sz="4" w:space="0"/>
              <w:right w:val="single" w:color="000000" w:sz="4" w:space="0"/>
            </w:tcBorders>
            <w:noWrap w:val="0"/>
            <w:vAlign w:val="center"/>
          </w:tcPr>
          <w:p w14:paraId="748A640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lang w:val="en-US"/>
              </w:rPr>
            </w:pPr>
            <w:r>
              <w:rPr>
                <w:rFonts w:hint="eastAsia" w:ascii="Times New Roman" w:hAnsi="Times New Roman" w:cs="Times New Roman"/>
                <w:i w:val="0"/>
                <w:color w:val="000000"/>
                <w:kern w:val="0"/>
                <w:sz w:val="24"/>
                <w:szCs w:val="24"/>
                <w:u w:val="none"/>
                <w:lang w:val="en-US" w:eastAsia="zh-CN" w:bidi="ar"/>
              </w:rPr>
              <w:t>已完成</w:t>
            </w:r>
          </w:p>
        </w:tc>
      </w:tr>
      <w:tr w14:paraId="6C2E0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auto" w:sz="4" w:space="0"/>
              <w:right w:val="single" w:color="000000" w:sz="4" w:space="0"/>
            </w:tcBorders>
            <w:noWrap w:val="0"/>
            <w:vAlign w:val="center"/>
          </w:tcPr>
          <w:p w14:paraId="6D94E5EA">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left w:val="single" w:color="000000" w:sz="4" w:space="0"/>
              <w:right w:val="single" w:color="000000" w:sz="4" w:space="0"/>
            </w:tcBorders>
            <w:noWrap w:val="0"/>
            <w:vAlign w:val="center"/>
          </w:tcPr>
          <w:p w14:paraId="1073BD7C">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273" w:type="dxa"/>
            <w:vMerge w:val="continue"/>
            <w:tcBorders>
              <w:left w:val="single" w:color="000000" w:sz="4" w:space="0"/>
              <w:right w:val="single" w:color="000000" w:sz="4" w:space="0"/>
            </w:tcBorders>
            <w:noWrap w:val="0"/>
            <w:vAlign w:val="center"/>
          </w:tcPr>
          <w:p w14:paraId="32305082">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4FC65857">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召开四次政协常委会</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14:paraId="5F51687B">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ascii="宋体" w:hAnsi="宋体" w:eastAsia="宋体" w:cs="宋体"/>
                <w:sz w:val="24"/>
                <w:szCs w:val="24"/>
              </w:rPr>
              <w:t>＝</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2382A1A8">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4</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1A76C064">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场</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7279A2A2">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kern w:val="0"/>
                <w:sz w:val="24"/>
                <w:szCs w:val="24"/>
                <w:u w:val="none"/>
                <w:lang w:val="en-US" w:eastAsia="zh-CN" w:bidi="ar"/>
              </w:rPr>
              <w:t>5</w:t>
            </w:r>
            <w:r>
              <w:rPr>
                <w:rFonts w:hint="default" w:ascii="Times New Roman" w:hAnsi="Times New Roman" w:eastAsia="宋体" w:cs="Times New Roman"/>
                <w:i w:val="0"/>
                <w:color w:val="000000"/>
                <w:kern w:val="0"/>
                <w:sz w:val="24"/>
                <w:szCs w:val="24"/>
                <w:u w:val="none"/>
                <w:lang w:val="en-US" w:eastAsia="zh-CN" w:bidi="ar"/>
              </w:rPr>
              <w:t>%</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64DB41BD">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已完成</w:t>
            </w:r>
          </w:p>
        </w:tc>
      </w:tr>
      <w:tr w14:paraId="3F030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auto" w:sz="4" w:space="0"/>
              <w:right w:val="single" w:color="000000" w:sz="4" w:space="0"/>
            </w:tcBorders>
            <w:noWrap w:val="0"/>
            <w:vAlign w:val="center"/>
          </w:tcPr>
          <w:p w14:paraId="5213B8DF">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left w:val="single" w:color="000000" w:sz="4" w:space="0"/>
              <w:right w:val="single" w:color="000000" w:sz="4" w:space="0"/>
            </w:tcBorders>
            <w:noWrap w:val="0"/>
            <w:vAlign w:val="center"/>
          </w:tcPr>
          <w:p w14:paraId="75A38006">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273" w:type="dxa"/>
            <w:vMerge w:val="continue"/>
            <w:tcBorders>
              <w:left w:val="single" w:color="000000" w:sz="4" w:space="0"/>
              <w:right w:val="single" w:color="000000" w:sz="4" w:space="0"/>
            </w:tcBorders>
            <w:noWrap w:val="0"/>
            <w:vAlign w:val="center"/>
          </w:tcPr>
          <w:p w14:paraId="34DC62A8">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4A763C95">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开展</w:t>
            </w:r>
            <w:r>
              <w:rPr>
                <w:rFonts w:hint="eastAsia" w:ascii="Times New Roman" w:hAnsi="Times New Roman" w:cs="Times New Roman"/>
                <w:i w:val="0"/>
                <w:color w:val="000000"/>
                <w:sz w:val="24"/>
                <w:szCs w:val="24"/>
                <w:u w:val="none"/>
                <w:lang w:val="en-US" w:eastAsia="zh-CN"/>
              </w:rPr>
              <w:t>2025</w:t>
            </w:r>
            <w:r>
              <w:rPr>
                <w:rFonts w:hint="eastAsia" w:ascii="Times New Roman" w:hAnsi="Times New Roman" w:eastAsia="宋体" w:cs="Times New Roman"/>
                <w:i w:val="0"/>
                <w:color w:val="000000"/>
                <w:sz w:val="24"/>
                <w:szCs w:val="24"/>
                <w:u w:val="none"/>
                <w:lang w:val="en-US" w:eastAsia="zh-CN"/>
              </w:rPr>
              <w:t>年度</w:t>
            </w:r>
            <w:r>
              <w:rPr>
                <w:rFonts w:hint="eastAsia" w:ascii="Times New Roman" w:hAnsi="Times New Roman" w:cs="Times New Roman"/>
                <w:i w:val="0"/>
                <w:color w:val="000000"/>
                <w:sz w:val="24"/>
                <w:szCs w:val="24"/>
                <w:u w:val="none"/>
                <w:lang w:val="en-US" w:eastAsia="zh-CN"/>
              </w:rPr>
              <w:t>政协</w:t>
            </w:r>
            <w:r>
              <w:rPr>
                <w:rFonts w:hint="eastAsia" w:ascii="Times New Roman" w:hAnsi="Times New Roman" w:eastAsia="宋体" w:cs="Times New Roman"/>
                <w:i w:val="0"/>
                <w:color w:val="000000"/>
                <w:sz w:val="24"/>
                <w:szCs w:val="24"/>
                <w:u w:val="none"/>
                <w:lang w:val="en-US" w:eastAsia="zh-CN"/>
              </w:rPr>
              <w:t>委员</w:t>
            </w:r>
            <w:r>
              <w:rPr>
                <w:rFonts w:hint="eastAsia" w:ascii="Times New Roman" w:hAnsi="Times New Roman" w:cs="Times New Roman"/>
                <w:i w:val="0"/>
                <w:color w:val="000000"/>
                <w:sz w:val="24"/>
                <w:szCs w:val="24"/>
                <w:u w:val="none"/>
                <w:lang w:val="en-US" w:eastAsia="zh-CN"/>
              </w:rPr>
              <w:t>履职</w:t>
            </w:r>
            <w:r>
              <w:rPr>
                <w:rFonts w:hint="eastAsia" w:ascii="Times New Roman" w:hAnsi="Times New Roman" w:eastAsia="宋体" w:cs="Times New Roman"/>
                <w:i w:val="0"/>
                <w:color w:val="000000"/>
                <w:sz w:val="24"/>
                <w:szCs w:val="24"/>
                <w:u w:val="none"/>
                <w:lang w:val="en-US" w:eastAsia="zh-CN"/>
              </w:rPr>
              <w:t>培训班</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14:paraId="48BA5A71">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宋体" w:hAnsi="宋体" w:eastAsia="宋体" w:cs="宋体"/>
                <w:sz w:val="24"/>
                <w:szCs w:val="24"/>
                <w:lang w:eastAsia="zh-CN"/>
              </w:rPr>
            </w:pPr>
            <w:r>
              <w:rPr>
                <w:rFonts w:ascii="宋体" w:hAnsi="宋体" w:eastAsia="宋体" w:cs="宋体"/>
                <w:sz w:val="24"/>
                <w:szCs w:val="24"/>
              </w:rPr>
              <w:t>＝</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3F162223">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1</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0B136725">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期</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6FBD1F23">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kern w:val="0"/>
                <w:sz w:val="24"/>
                <w:szCs w:val="24"/>
                <w:u w:val="none"/>
                <w:lang w:val="en-US" w:eastAsia="zh-CN" w:bidi="ar"/>
              </w:rPr>
              <w:t>5</w:t>
            </w:r>
            <w:r>
              <w:rPr>
                <w:rFonts w:hint="default" w:ascii="Times New Roman" w:hAnsi="Times New Roman" w:eastAsia="宋体" w:cs="Times New Roman"/>
                <w:i w:val="0"/>
                <w:color w:val="000000"/>
                <w:kern w:val="0"/>
                <w:sz w:val="24"/>
                <w:szCs w:val="24"/>
                <w:u w:val="none"/>
                <w:lang w:val="en-US" w:eastAsia="zh-CN" w:bidi="ar"/>
              </w:rPr>
              <w:t>%</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331F22CC">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已完成</w:t>
            </w:r>
          </w:p>
        </w:tc>
      </w:tr>
      <w:tr w14:paraId="15634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auto" w:sz="4" w:space="0"/>
              <w:right w:val="single" w:color="000000" w:sz="4" w:space="0"/>
            </w:tcBorders>
            <w:noWrap w:val="0"/>
            <w:vAlign w:val="center"/>
          </w:tcPr>
          <w:p w14:paraId="7069CAB7">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left w:val="single" w:color="000000" w:sz="4" w:space="0"/>
              <w:right w:val="single" w:color="000000" w:sz="4" w:space="0"/>
            </w:tcBorders>
            <w:noWrap w:val="0"/>
            <w:vAlign w:val="center"/>
          </w:tcPr>
          <w:p w14:paraId="0188C281">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273" w:type="dxa"/>
            <w:tcBorders>
              <w:top w:val="single" w:color="000000" w:sz="4" w:space="0"/>
              <w:left w:val="single" w:color="000000" w:sz="4" w:space="0"/>
              <w:bottom w:val="single" w:color="000000" w:sz="4" w:space="0"/>
              <w:right w:val="single" w:color="000000" w:sz="4" w:space="0"/>
            </w:tcBorders>
            <w:noWrap w:val="0"/>
            <w:vAlign w:val="center"/>
          </w:tcPr>
          <w:p w14:paraId="7AD769C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质量指标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68845F8D">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政协年度工作完成情况</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14:paraId="4A84C250">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定性</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6C6834C1">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优良差</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4A0D42BF">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sz w:val="24"/>
                <w:szCs w:val="24"/>
                <w:u w:val="none"/>
                <w:lang w:val="en-US" w:eastAsia="zh-CN"/>
              </w:rPr>
              <w:t>优良差</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1615762C">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kern w:val="0"/>
                <w:sz w:val="24"/>
                <w:szCs w:val="24"/>
                <w:u w:val="none"/>
                <w:lang w:val="en-US" w:eastAsia="zh-CN" w:bidi="ar"/>
              </w:rPr>
              <w:t>10</w:t>
            </w:r>
            <w:r>
              <w:rPr>
                <w:rFonts w:hint="default" w:ascii="Times New Roman" w:hAnsi="Times New Roman" w:eastAsia="宋体" w:cs="Times New Roman"/>
                <w:i w:val="0"/>
                <w:color w:val="000000"/>
                <w:kern w:val="0"/>
                <w:sz w:val="24"/>
                <w:szCs w:val="24"/>
                <w:u w:val="none"/>
                <w:lang w:val="en-US" w:eastAsia="zh-CN" w:bidi="ar"/>
              </w:rPr>
              <w:t>%</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436B2C54">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优</w:t>
            </w:r>
          </w:p>
        </w:tc>
      </w:tr>
      <w:tr w14:paraId="758C9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auto" w:sz="4" w:space="0"/>
              <w:right w:val="single" w:color="000000" w:sz="4" w:space="0"/>
            </w:tcBorders>
            <w:noWrap w:val="0"/>
            <w:vAlign w:val="center"/>
          </w:tcPr>
          <w:p w14:paraId="338C6505">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left w:val="single" w:color="000000" w:sz="4" w:space="0"/>
              <w:right w:val="single" w:color="000000" w:sz="4" w:space="0"/>
            </w:tcBorders>
            <w:noWrap w:val="0"/>
            <w:vAlign w:val="center"/>
          </w:tcPr>
          <w:p w14:paraId="43807F44">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273" w:type="dxa"/>
            <w:tcBorders>
              <w:top w:val="single" w:color="000000" w:sz="4" w:space="0"/>
              <w:left w:val="single" w:color="000000" w:sz="4" w:space="0"/>
              <w:bottom w:val="single" w:color="000000" w:sz="4" w:space="0"/>
              <w:right w:val="single" w:color="000000" w:sz="4" w:space="0"/>
            </w:tcBorders>
            <w:noWrap w:val="0"/>
            <w:vAlign w:val="center"/>
          </w:tcPr>
          <w:p w14:paraId="5077D94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时效指标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3331C0D3">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2025年内完成政协会议、委员培训及日常单位运行工作</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14:paraId="4932D54E">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eastAsia="zh-CN"/>
              </w:rPr>
            </w:pPr>
            <w:r>
              <w:rPr>
                <w:rFonts w:hint="eastAsia" w:ascii="宋体" w:hAnsi="宋体" w:eastAsia="宋体" w:cs="宋体"/>
                <w:sz w:val="24"/>
                <w:szCs w:val="24"/>
                <w:lang w:val="en-US" w:eastAsia="zh-CN"/>
              </w:rPr>
              <w:t>定性</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7D45C54A">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2025年12月底完成</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104A148F">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年</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792FFF77">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kern w:val="0"/>
                <w:sz w:val="24"/>
                <w:szCs w:val="24"/>
                <w:u w:val="none"/>
                <w:lang w:val="en-US" w:eastAsia="zh-CN" w:bidi="ar"/>
              </w:rPr>
              <w:t>10</w:t>
            </w:r>
            <w:r>
              <w:rPr>
                <w:rFonts w:hint="default" w:ascii="Times New Roman" w:hAnsi="Times New Roman" w:eastAsia="宋体" w:cs="Times New Roman"/>
                <w:i w:val="0"/>
                <w:color w:val="000000"/>
                <w:kern w:val="0"/>
                <w:sz w:val="24"/>
                <w:szCs w:val="24"/>
                <w:u w:val="none"/>
                <w:lang w:val="en-US" w:eastAsia="zh-CN" w:bidi="ar"/>
              </w:rPr>
              <w:t>%</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02074791">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已完成</w:t>
            </w:r>
          </w:p>
        </w:tc>
      </w:tr>
      <w:tr w14:paraId="47CDD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auto" w:sz="4" w:space="0"/>
              <w:right w:val="single" w:color="000000" w:sz="4" w:space="0"/>
            </w:tcBorders>
            <w:noWrap w:val="0"/>
            <w:vAlign w:val="center"/>
          </w:tcPr>
          <w:p w14:paraId="2F89E5E9">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left w:val="single" w:color="000000" w:sz="4" w:space="0"/>
              <w:right w:val="single" w:color="000000" w:sz="4" w:space="0"/>
            </w:tcBorders>
            <w:noWrap w:val="0"/>
            <w:vAlign w:val="center"/>
          </w:tcPr>
          <w:p w14:paraId="60CE265E">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273" w:type="dxa"/>
            <w:vMerge w:val="restart"/>
            <w:tcBorders>
              <w:top w:val="single" w:color="000000" w:sz="4" w:space="0"/>
              <w:left w:val="single" w:color="000000" w:sz="4" w:space="0"/>
              <w:right w:val="single" w:color="000000" w:sz="4" w:space="0"/>
            </w:tcBorders>
            <w:noWrap w:val="0"/>
            <w:vAlign w:val="center"/>
          </w:tcPr>
          <w:p w14:paraId="772E3F0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kern w:val="0"/>
                <w:sz w:val="24"/>
                <w:szCs w:val="24"/>
                <w:u w:val="none"/>
                <w:lang w:val="en-US" w:eastAsia="zh-CN" w:bidi="ar"/>
              </w:rPr>
              <w:t>成本指标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6E8740D4">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运转类公用项目支出</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14:paraId="0169F426">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hint="default" w:ascii="Times New Roman" w:hAnsi="Times New Roman" w:eastAsia="宋体" w:cs="Times New Roman"/>
                <w:i w:val="0"/>
                <w:color w:val="000000"/>
                <w:sz w:val="24"/>
                <w:szCs w:val="24"/>
                <w:u w:val="none"/>
              </w:rPr>
              <w:t>≤</w:t>
            </w:r>
            <w:r>
              <w:rPr>
                <w:rFonts w:hint="eastAsia" w:ascii="Times New Roman" w:hAnsi="Times New Roman" w:cs="Times New Roman"/>
                <w:i w:val="0"/>
                <w:color w:val="000000"/>
                <w:sz w:val="24"/>
                <w:szCs w:val="24"/>
                <w:u w:val="none"/>
                <w:lang w:val="en-US" w:eastAsia="zh-CN"/>
              </w:rPr>
              <w:t>6.90万元</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36DEA3E5">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6.90</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1392FAB1">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万元</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5C847480">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kern w:val="0"/>
                <w:sz w:val="24"/>
                <w:szCs w:val="24"/>
                <w:u w:val="none"/>
                <w:lang w:val="en-US" w:eastAsia="zh-CN" w:bidi="ar"/>
              </w:rPr>
              <w:t>5</w:t>
            </w:r>
            <w:r>
              <w:rPr>
                <w:rFonts w:hint="default" w:ascii="Times New Roman" w:hAnsi="Times New Roman" w:eastAsia="宋体" w:cs="Times New Roman"/>
                <w:i w:val="0"/>
                <w:color w:val="000000"/>
                <w:kern w:val="0"/>
                <w:sz w:val="24"/>
                <w:szCs w:val="24"/>
                <w:u w:val="none"/>
                <w:lang w:val="en-US" w:eastAsia="zh-CN" w:bidi="ar"/>
              </w:rPr>
              <w:t>%</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0C52B0FF">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sz w:val="24"/>
                <w:szCs w:val="24"/>
                <w:u w:val="none"/>
                <w:lang w:val="en-US" w:eastAsia="zh-CN"/>
              </w:rPr>
              <w:t>已完成</w:t>
            </w:r>
          </w:p>
        </w:tc>
      </w:tr>
      <w:tr w14:paraId="79098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auto" w:sz="4" w:space="0"/>
              <w:right w:val="single" w:color="000000" w:sz="4" w:space="0"/>
            </w:tcBorders>
            <w:noWrap w:val="0"/>
            <w:vAlign w:val="center"/>
          </w:tcPr>
          <w:p w14:paraId="3CBC2C8B">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left w:val="single" w:color="000000" w:sz="4" w:space="0"/>
              <w:right w:val="single" w:color="000000" w:sz="4" w:space="0"/>
            </w:tcBorders>
            <w:noWrap w:val="0"/>
            <w:vAlign w:val="center"/>
          </w:tcPr>
          <w:p w14:paraId="0726B316">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273" w:type="dxa"/>
            <w:vMerge w:val="continue"/>
            <w:tcBorders>
              <w:left w:val="single" w:color="000000" w:sz="4" w:space="0"/>
              <w:right w:val="single" w:color="000000" w:sz="4" w:space="0"/>
            </w:tcBorders>
            <w:noWrap w:val="0"/>
            <w:vAlign w:val="center"/>
          </w:tcPr>
          <w:p w14:paraId="293E84F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1FE9C068">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人员类项目支出</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14:paraId="21A1ACF8">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hint="default" w:ascii="Times New Roman" w:hAnsi="Times New Roman" w:eastAsia="宋体" w:cs="Times New Roman"/>
                <w:i w:val="0"/>
                <w:color w:val="000000"/>
                <w:sz w:val="24"/>
                <w:szCs w:val="24"/>
                <w:u w:val="none"/>
              </w:rPr>
              <w:t>≤</w:t>
            </w:r>
            <w:r>
              <w:rPr>
                <w:rFonts w:hint="eastAsia" w:ascii="Times New Roman" w:hAnsi="Times New Roman" w:cs="Times New Roman"/>
                <w:i w:val="0"/>
                <w:color w:val="000000"/>
                <w:sz w:val="24"/>
                <w:szCs w:val="24"/>
                <w:u w:val="none"/>
                <w:lang w:val="en-US" w:eastAsia="zh-CN"/>
              </w:rPr>
              <w:t>55.91万元</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3BAAC8C3">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55.91</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1ADF58B7">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sz w:val="24"/>
                <w:szCs w:val="24"/>
                <w:u w:val="none"/>
                <w:lang w:val="en-US" w:eastAsia="zh-CN"/>
              </w:rPr>
              <w:t>万元</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4CE9B35F">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kern w:val="0"/>
                <w:sz w:val="24"/>
                <w:szCs w:val="24"/>
                <w:u w:val="none"/>
                <w:lang w:val="en-US" w:eastAsia="zh-CN" w:bidi="ar"/>
              </w:rPr>
              <w:t>5</w:t>
            </w:r>
            <w:r>
              <w:rPr>
                <w:rFonts w:hint="default" w:ascii="Times New Roman" w:hAnsi="Times New Roman" w:eastAsia="宋体" w:cs="Times New Roman"/>
                <w:i w:val="0"/>
                <w:color w:val="000000"/>
                <w:kern w:val="0"/>
                <w:sz w:val="24"/>
                <w:szCs w:val="24"/>
                <w:u w:val="none"/>
                <w:lang w:val="en-US" w:eastAsia="zh-CN" w:bidi="ar"/>
              </w:rPr>
              <w:t>%</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5DFA33BD">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sz w:val="24"/>
                <w:szCs w:val="24"/>
                <w:u w:val="none"/>
                <w:lang w:val="en-US" w:eastAsia="zh-CN"/>
              </w:rPr>
              <w:t>已完成</w:t>
            </w:r>
          </w:p>
        </w:tc>
      </w:tr>
      <w:tr w14:paraId="1664D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auto" w:sz="4" w:space="0"/>
              <w:right w:val="single" w:color="000000" w:sz="4" w:space="0"/>
            </w:tcBorders>
            <w:noWrap w:val="0"/>
            <w:vAlign w:val="center"/>
          </w:tcPr>
          <w:p w14:paraId="30C36781">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restart"/>
            <w:tcBorders>
              <w:top w:val="single" w:color="auto" w:sz="4" w:space="0"/>
              <w:left w:val="single" w:color="000000" w:sz="4" w:space="0"/>
              <w:bottom w:val="single" w:color="000000" w:sz="4" w:space="0"/>
              <w:right w:val="single" w:color="auto" w:sz="4" w:space="0"/>
            </w:tcBorders>
            <w:noWrap w:val="0"/>
            <w:vAlign w:val="center"/>
          </w:tcPr>
          <w:p w14:paraId="1B23664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效益指标</w:t>
            </w:r>
          </w:p>
        </w:tc>
        <w:tc>
          <w:tcPr>
            <w:tcW w:w="1273" w:type="dxa"/>
            <w:vMerge w:val="restart"/>
            <w:tcBorders>
              <w:top w:val="single" w:color="000000" w:sz="4" w:space="0"/>
              <w:left w:val="single" w:color="auto" w:sz="4" w:space="0"/>
              <w:right w:val="single" w:color="000000" w:sz="4" w:space="0"/>
            </w:tcBorders>
            <w:noWrap w:val="0"/>
            <w:vAlign w:val="center"/>
          </w:tcPr>
          <w:p w14:paraId="1C97F37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社会效益</w:t>
            </w:r>
          </w:p>
          <w:p w14:paraId="7D55F39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5EDF2AE1">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做好政协工作安排、按时完成县委工作计划，促进全县基础设施完善</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14:paraId="0A694190">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宋体" w:hAnsi="宋体" w:eastAsia="宋体" w:cs="宋体"/>
                <w:sz w:val="24"/>
                <w:szCs w:val="24"/>
                <w:lang w:val="en-US" w:eastAsia="zh-CN"/>
              </w:rPr>
              <w:t>定性</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247E121F">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sz w:val="24"/>
                <w:szCs w:val="24"/>
                <w:u w:val="none"/>
                <w:lang w:val="en-US" w:eastAsia="zh-CN"/>
              </w:rPr>
              <w:t>优良差</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4C8695BF">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sz w:val="24"/>
                <w:szCs w:val="24"/>
                <w:u w:val="none"/>
                <w:lang w:val="en-US" w:eastAsia="zh-CN"/>
              </w:rPr>
              <w:t>优良差</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656B77BF">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sz w:val="24"/>
                <w:szCs w:val="24"/>
                <w:u w:val="none"/>
                <w:lang w:val="en-US" w:eastAsia="zh-CN"/>
              </w:rPr>
              <w:t>10%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29CCF1DE">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良，不断提高并完善</w:t>
            </w:r>
          </w:p>
        </w:tc>
      </w:tr>
      <w:tr w14:paraId="2158F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auto" w:sz="4" w:space="0"/>
              <w:right w:val="single" w:color="000000" w:sz="4" w:space="0"/>
            </w:tcBorders>
            <w:noWrap w:val="0"/>
            <w:vAlign w:val="center"/>
          </w:tcPr>
          <w:p w14:paraId="435A0800">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top w:val="single" w:color="000000" w:sz="4" w:space="0"/>
              <w:left w:val="single" w:color="000000" w:sz="4" w:space="0"/>
              <w:bottom w:val="single" w:color="000000" w:sz="4" w:space="0"/>
              <w:right w:val="single" w:color="auto" w:sz="4" w:space="0"/>
            </w:tcBorders>
            <w:noWrap w:val="0"/>
            <w:vAlign w:val="center"/>
          </w:tcPr>
          <w:p w14:paraId="091BAB36">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273" w:type="dxa"/>
            <w:vMerge w:val="continue"/>
            <w:tcBorders>
              <w:top w:val="single" w:color="000000" w:sz="4" w:space="0"/>
              <w:left w:val="single" w:color="auto" w:sz="4" w:space="0"/>
              <w:right w:val="single" w:color="000000" w:sz="4" w:space="0"/>
            </w:tcBorders>
            <w:noWrap w:val="0"/>
            <w:vAlign w:val="center"/>
          </w:tcPr>
          <w:p w14:paraId="28906994">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6AA7EE2D">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做好预决算审查监督工作，保障财政资金高效利用</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14:paraId="65D02230">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宋体" w:hAnsi="宋体" w:eastAsia="宋体" w:cs="宋体"/>
                <w:sz w:val="24"/>
                <w:szCs w:val="24"/>
                <w:lang w:val="en-US" w:eastAsia="zh-CN"/>
              </w:rPr>
              <w:t>定性</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70B3B893">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sz w:val="24"/>
                <w:szCs w:val="24"/>
                <w:u w:val="none"/>
                <w:lang w:val="en-US" w:eastAsia="zh-CN"/>
              </w:rPr>
              <w:t>优良差</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50734DBE">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sz w:val="24"/>
                <w:szCs w:val="24"/>
                <w:u w:val="none"/>
                <w:lang w:val="en-US" w:eastAsia="zh-CN"/>
              </w:rPr>
              <w:t>优良差</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23624968">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sz w:val="24"/>
                <w:szCs w:val="24"/>
                <w:u w:val="none"/>
                <w:lang w:val="en-US" w:eastAsia="zh-CN"/>
              </w:rPr>
              <w:t>5%</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5121A4F4">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sz w:val="24"/>
                <w:szCs w:val="24"/>
                <w:u w:val="none"/>
                <w:lang w:val="en-US" w:eastAsia="zh-CN"/>
              </w:rPr>
              <w:t>良，不断提高并完善</w:t>
            </w:r>
          </w:p>
        </w:tc>
      </w:tr>
      <w:tr w14:paraId="7F0EB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auto" w:sz="4" w:space="0"/>
              <w:right w:val="single" w:color="000000" w:sz="4" w:space="0"/>
            </w:tcBorders>
            <w:noWrap w:val="0"/>
            <w:vAlign w:val="center"/>
          </w:tcPr>
          <w:p w14:paraId="5CEB0659">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top w:val="single" w:color="000000" w:sz="4" w:space="0"/>
              <w:left w:val="single" w:color="000000" w:sz="4" w:space="0"/>
              <w:bottom w:val="single" w:color="000000" w:sz="4" w:space="0"/>
              <w:right w:val="single" w:color="auto" w:sz="4" w:space="0"/>
            </w:tcBorders>
            <w:noWrap w:val="0"/>
            <w:vAlign w:val="center"/>
          </w:tcPr>
          <w:p w14:paraId="2316CAD1">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273" w:type="dxa"/>
            <w:tcBorders>
              <w:top w:val="single" w:color="000000" w:sz="4" w:space="0"/>
              <w:left w:val="single" w:color="auto" w:sz="4" w:space="0"/>
              <w:bottom w:val="single" w:color="000000" w:sz="4" w:space="0"/>
              <w:right w:val="single" w:color="000000" w:sz="4" w:space="0"/>
            </w:tcBorders>
            <w:noWrap w:val="0"/>
            <w:vAlign w:val="center"/>
          </w:tcPr>
          <w:p w14:paraId="334F8E9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eastAsia" w:ascii="Times New Roman" w:hAnsi="Times New Roman" w:cs="Times New Roman"/>
                <w:i w:val="0"/>
                <w:color w:val="000000"/>
                <w:kern w:val="0"/>
                <w:sz w:val="24"/>
                <w:szCs w:val="24"/>
                <w:u w:val="none"/>
                <w:lang w:val="en-US" w:eastAsia="zh-CN" w:bidi="ar"/>
              </w:rPr>
            </w:pPr>
            <w:r>
              <w:rPr>
                <w:rFonts w:hint="eastAsia" w:ascii="Times New Roman" w:hAnsi="Times New Roman" w:cs="Times New Roman"/>
                <w:i w:val="0"/>
                <w:color w:val="000000"/>
                <w:kern w:val="0"/>
                <w:sz w:val="24"/>
                <w:szCs w:val="24"/>
                <w:u w:val="none"/>
                <w:lang w:val="en-US" w:eastAsia="zh-CN" w:bidi="ar"/>
              </w:rPr>
              <w:t>经济效益</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43CD3A17">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科学合理推进全县经济发展目标，按时完成县委县政府工作安排</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14:paraId="06CA647F">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宋体" w:hAnsi="宋体" w:eastAsia="宋体" w:cs="宋体"/>
                <w:sz w:val="24"/>
                <w:szCs w:val="24"/>
                <w:lang w:val="en-US" w:eastAsia="zh-CN"/>
              </w:rPr>
              <w:t>定性</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160B9BAD">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sz w:val="24"/>
                <w:szCs w:val="24"/>
                <w:u w:val="none"/>
                <w:lang w:val="en-US" w:eastAsia="zh-CN"/>
              </w:rPr>
              <w:t>优良差</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79AC92DC">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sz w:val="24"/>
                <w:szCs w:val="24"/>
                <w:u w:val="none"/>
                <w:lang w:val="en-US" w:eastAsia="zh-CN"/>
              </w:rPr>
              <w:t>优良差</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33E4F10F">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sz w:val="24"/>
                <w:szCs w:val="24"/>
                <w:u w:val="none"/>
                <w:lang w:val="en-US" w:eastAsia="zh-CN"/>
              </w:rPr>
              <w:t>10%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4404983C">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长效推进</w:t>
            </w:r>
          </w:p>
        </w:tc>
      </w:tr>
      <w:tr w14:paraId="17D25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auto" w:sz="4" w:space="0"/>
              <w:right w:val="single" w:color="000000" w:sz="4" w:space="0"/>
            </w:tcBorders>
            <w:noWrap w:val="0"/>
            <w:vAlign w:val="center"/>
          </w:tcPr>
          <w:p w14:paraId="6656E496">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top w:val="single" w:color="000000" w:sz="4" w:space="0"/>
              <w:left w:val="single" w:color="000000" w:sz="4" w:space="0"/>
              <w:bottom w:val="single" w:color="000000" w:sz="4" w:space="0"/>
              <w:right w:val="single" w:color="auto" w:sz="4" w:space="0"/>
            </w:tcBorders>
            <w:noWrap w:val="0"/>
            <w:vAlign w:val="center"/>
          </w:tcPr>
          <w:p w14:paraId="3D161F6A">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273" w:type="dxa"/>
            <w:tcBorders>
              <w:top w:val="single" w:color="000000" w:sz="4" w:space="0"/>
              <w:left w:val="single" w:color="auto" w:sz="4" w:space="0"/>
              <w:bottom w:val="single" w:color="000000" w:sz="4" w:space="0"/>
              <w:right w:val="single" w:color="000000" w:sz="4" w:space="0"/>
            </w:tcBorders>
            <w:noWrap w:val="0"/>
            <w:vAlign w:val="center"/>
          </w:tcPr>
          <w:p w14:paraId="79B199D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kern w:val="0"/>
                <w:sz w:val="24"/>
                <w:szCs w:val="24"/>
                <w:u w:val="none"/>
                <w:lang w:val="en-US" w:eastAsia="zh-CN" w:bidi="ar"/>
              </w:rPr>
              <w:t>可持续影响</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5688F688">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对政协干部、委员培训，提升相关履职职能，更好为人民服务</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14:paraId="10960B16">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ascii="宋体" w:hAnsi="宋体" w:eastAsia="宋体" w:cs="宋体"/>
                <w:sz w:val="24"/>
                <w:szCs w:val="24"/>
              </w:rPr>
              <w:t>≥</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042E1A09">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90%</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26F7201E">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sz w:val="24"/>
                <w:szCs w:val="24"/>
                <w:u w:val="none"/>
                <w:lang w:val="en-US" w:eastAsia="zh-CN"/>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6ED48915">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kern w:val="0"/>
                <w:sz w:val="24"/>
                <w:szCs w:val="24"/>
                <w:u w:val="none"/>
                <w:lang w:val="en-US" w:eastAsia="zh-CN" w:bidi="ar"/>
              </w:rPr>
              <w:t>5</w:t>
            </w:r>
            <w:r>
              <w:rPr>
                <w:rFonts w:hint="default" w:ascii="Times New Roman" w:hAnsi="Times New Roman" w:eastAsia="宋体" w:cs="Times New Roman"/>
                <w:i w:val="0"/>
                <w:color w:val="000000"/>
                <w:kern w:val="0"/>
                <w:sz w:val="24"/>
                <w:szCs w:val="24"/>
                <w:u w:val="none"/>
                <w:lang w:val="en-US" w:eastAsia="zh-CN" w:bidi="ar"/>
              </w:rPr>
              <w:t>%</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708B5386">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90%</w:t>
            </w:r>
          </w:p>
        </w:tc>
      </w:tr>
      <w:tr w14:paraId="229B1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auto" w:sz="4" w:space="0"/>
              <w:right w:val="single" w:color="000000" w:sz="4" w:space="0"/>
            </w:tcBorders>
            <w:noWrap w:val="0"/>
            <w:vAlign w:val="center"/>
          </w:tcPr>
          <w:p w14:paraId="52F4B76C">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restart"/>
            <w:tcBorders>
              <w:top w:val="single" w:color="000000" w:sz="4" w:space="0"/>
              <w:left w:val="single" w:color="000000" w:sz="4" w:space="0"/>
              <w:right w:val="single" w:color="auto" w:sz="4" w:space="0"/>
            </w:tcBorders>
            <w:noWrap w:val="0"/>
            <w:vAlign w:val="center"/>
          </w:tcPr>
          <w:p w14:paraId="6C95C4B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满意度指标</w:t>
            </w:r>
          </w:p>
        </w:tc>
        <w:tc>
          <w:tcPr>
            <w:tcW w:w="1273" w:type="dxa"/>
            <w:vMerge w:val="restart"/>
            <w:tcBorders>
              <w:top w:val="single" w:color="000000" w:sz="4" w:space="0"/>
              <w:left w:val="single" w:color="auto" w:sz="4" w:space="0"/>
              <w:right w:val="single" w:color="000000" w:sz="4" w:space="0"/>
            </w:tcBorders>
            <w:noWrap w:val="0"/>
            <w:vAlign w:val="center"/>
          </w:tcPr>
          <w:p w14:paraId="3E0BA69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满意度指标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4FF2EF08">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政协委员对培训工作满意度</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14:paraId="5B100E3E">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ascii="宋体" w:hAnsi="宋体" w:eastAsia="宋体" w:cs="宋体"/>
                <w:sz w:val="24"/>
                <w:szCs w:val="24"/>
              </w:rPr>
              <w:t>≥</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0B095599">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90%</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4B0E3BA9">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655EE319">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5%</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4034A306">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92%</w:t>
            </w:r>
          </w:p>
        </w:tc>
      </w:tr>
      <w:tr w14:paraId="1594F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auto" w:sz="4" w:space="0"/>
              <w:right w:val="single" w:color="000000" w:sz="4" w:space="0"/>
            </w:tcBorders>
            <w:noWrap w:val="0"/>
            <w:vAlign w:val="center"/>
          </w:tcPr>
          <w:p w14:paraId="406CBC6B">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left w:val="single" w:color="000000" w:sz="4" w:space="0"/>
              <w:bottom w:val="single" w:color="auto" w:sz="4" w:space="0"/>
              <w:right w:val="single" w:color="auto" w:sz="4" w:space="0"/>
            </w:tcBorders>
            <w:noWrap w:val="0"/>
            <w:vAlign w:val="center"/>
          </w:tcPr>
          <w:p w14:paraId="573F9FC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273" w:type="dxa"/>
            <w:vMerge w:val="continue"/>
            <w:tcBorders>
              <w:left w:val="single" w:color="auto" w:sz="4" w:space="0"/>
              <w:right w:val="single" w:color="000000" w:sz="4" w:space="0"/>
            </w:tcBorders>
            <w:noWrap w:val="0"/>
            <w:vAlign w:val="center"/>
          </w:tcPr>
          <w:p w14:paraId="01822D7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1F5B5B83">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人民群众对政协工作满意度</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14:paraId="035E4D43">
            <w:pPr>
              <w:keepNext w:val="0"/>
              <w:keepLines w:val="0"/>
              <w:pageBreakBefore w:val="0"/>
              <w:widowControl/>
              <w:kinsoku/>
              <w:wordWrap/>
              <w:overflowPunct/>
              <w:topLinePunct w:val="0"/>
              <w:autoSpaceDE/>
              <w:autoSpaceDN/>
              <w:bidi w:val="0"/>
              <w:adjustRightInd/>
              <w:snapToGrid/>
              <w:spacing w:line="300" w:lineRule="exact"/>
              <w:jc w:val="center"/>
              <w:outlineLvl w:val="9"/>
              <w:rPr>
                <w:rFonts w:ascii="宋体" w:hAnsi="宋体" w:eastAsia="宋体" w:cs="宋体"/>
                <w:sz w:val="24"/>
                <w:szCs w:val="24"/>
              </w:rPr>
            </w:pPr>
            <w:r>
              <w:rPr>
                <w:rFonts w:ascii="宋体" w:hAnsi="宋体" w:eastAsia="宋体" w:cs="宋体"/>
                <w:sz w:val="24"/>
                <w:szCs w:val="24"/>
              </w:rPr>
              <w:t>≥</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2C14E3E6">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90%</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53D22F48">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7E80A7FA">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sz w:val="24"/>
                <w:szCs w:val="24"/>
                <w:u w:val="none"/>
                <w:lang w:val="en-US" w:eastAsia="zh-CN"/>
              </w:rPr>
              <w:t>5%</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638A0343">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91 %</w:t>
            </w:r>
          </w:p>
        </w:tc>
      </w:tr>
      <w:tr w14:paraId="1453D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auto" w:sz="4" w:space="0"/>
              <w:bottom w:val="single" w:color="000000" w:sz="4" w:space="0"/>
              <w:right w:val="single" w:color="000000" w:sz="4" w:space="0"/>
            </w:tcBorders>
            <w:noWrap w:val="0"/>
            <w:vAlign w:val="center"/>
          </w:tcPr>
          <w:p w14:paraId="58A3FF05">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top w:val="single" w:color="auto" w:sz="4" w:space="0"/>
              <w:left w:val="single" w:color="000000" w:sz="4" w:space="0"/>
              <w:bottom w:val="single" w:color="000000" w:sz="4" w:space="0"/>
              <w:right w:val="single" w:color="auto" w:sz="4" w:space="0"/>
            </w:tcBorders>
            <w:noWrap w:val="0"/>
            <w:vAlign w:val="center"/>
          </w:tcPr>
          <w:p w14:paraId="2FC2C81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273" w:type="dxa"/>
            <w:vMerge w:val="continue"/>
            <w:tcBorders>
              <w:left w:val="single" w:color="auto" w:sz="4" w:space="0"/>
              <w:bottom w:val="single" w:color="000000" w:sz="4" w:space="0"/>
              <w:right w:val="single" w:color="000000" w:sz="4" w:space="0"/>
            </w:tcBorders>
            <w:noWrap w:val="0"/>
            <w:vAlign w:val="center"/>
          </w:tcPr>
          <w:p w14:paraId="3814793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4E095F90">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县委县政府对本单位完成工作满意度</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14:paraId="04CCB077">
            <w:pPr>
              <w:keepNext w:val="0"/>
              <w:keepLines w:val="0"/>
              <w:pageBreakBefore w:val="0"/>
              <w:widowControl/>
              <w:kinsoku/>
              <w:wordWrap/>
              <w:overflowPunct/>
              <w:topLinePunct w:val="0"/>
              <w:autoSpaceDE/>
              <w:autoSpaceDN/>
              <w:bidi w:val="0"/>
              <w:adjustRightInd/>
              <w:snapToGrid/>
              <w:spacing w:line="300" w:lineRule="exact"/>
              <w:jc w:val="center"/>
              <w:outlineLvl w:val="9"/>
              <w:rPr>
                <w:rFonts w:ascii="宋体" w:hAnsi="宋体" w:eastAsia="宋体" w:cs="宋体"/>
                <w:sz w:val="24"/>
                <w:szCs w:val="24"/>
              </w:rPr>
            </w:pPr>
            <w:r>
              <w:rPr>
                <w:rFonts w:ascii="宋体" w:hAnsi="宋体" w:eastAsia="宋体" w:cs="宋体"/>
                <w:sz w:val="24"/>
                <w:szCs w:val="24"/>
              </w:rPr>
              <w:t>≥</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3D97005B">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90%</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49843FF2">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4DCF4EDC">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sz w:val="24"/>
                <w:szCs w:val="24"/>
                <w:u w:val="none"/>
                <w:lang w:val="en-US" w:eastAsia="zh-CN"/>
              </w:rPr>
              <w:t>5%</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1DB7C2CD">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eastAsia" w:ascii="Times New Roman" w:hAnsi="Times New Roman" w:cs="Times New Roman"/>
                <w:i w:val="0"/>
                <w:color w:val="000000"/>
                <w:sz w:val="24"/>
                <w:szCs w:val="24"/>
                <w:u w:val="none"/>
                <w:lang w:val="en-US" w:eastAsia="zh-CN"/>
              </w:rPr>
            </w:pPr>
            <w:r>
              <w:rPr>
                <w:rFonts w:hint="eastAsia" w:ascii="Times New Roman" w:hAnsi="Times New Roman" w:cs="Times New Roman"/>
                <w:i w:val="0"/>
                <w:color w:val="000000"/>
                <w:sz w:val="24"/>
                <w:szCs w:val="24"/>
                <w:u w:val="none"/>
                <w:lang w:val="en-US" w:eastAsia="zh-CN"/>
              </w:rPr>
              <w:t>90%</w:t>
            </w:r>
          </w:p>
        </w:tc>
      </w:tr>
    </w:tbl>
    <w:p w14:paraId="725117A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panose1 w:val="02000000000000000000"/>
    <w:charset w:val="86"/>
    <w:family w:val="auto"/>
    <w:pitch w:val="default"/>
    <w:sig w:usb0="00000001" w:usb1="08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WPSEMBED1">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F311AD"/>
    <w:rsid w:val="35F311AD"/>
    <w:rsid w:val="42A03080"/>
    <w:rsid w:val="471C58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5708</Words>
  <Characters>5919</Characters>
  <Lines>0</Lines>
  <Paragraphs>0</Paragraphs>
  <TotalTime>1</TotalTime>
  <ScaleCrop>false</ScaleCrop>
  <LinksUpToDate>false</LinksUpToDate>
  <CharactersWithSpaces>5935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2026-08-24T08:14:00Z</dcterms:created>
  <dc:creator>小花瓣</dc:creator>
  <cp:lastModifiedBy>WPS_1604458475</cp:lastModifiedBy>
  <dcterms:modified xsi:type="dcterms:W3CDTF">2026-08-25T03:34:44Z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272D6273B6514FB582D8015A677E2FA4_11</vt:lpwstr>
  </property>
  <property fmtid="{D5CDD505-2E9C-101B-9397-08002B2CF9AE}" pid="4" name="KSOTemplateDocerSaveRecord">
    <vt:lpwstr>eyJoZGlkIjoiYmMxZWViYzY2OTBkMWNmMDZlNjI2NmUwYzQyZTk2ZTMiLCJ1c2VySWQiOiIxMTM5OTQ5NTAyIn0=</vt:lpwstr>
  </property>
</Properties>
</file>