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20" w:lineRule="exact"/>
        <w:rPr>
          <w:rFonts w:hint="eastAsia"/>
          <w:lang w:eastAsia="zh-CN"/>
        </w:rPr>
      </w:pPr>
      <w:r>
        <w:rPr>
          <w:rFonts w:hint="eastAsia" w:eastAsia="宋体"/>
          <w:sz w:val="32"/>
          <w:szCs w:val="32"/>
          <w:lang w:eastAsia="zh-CN"/>
        </w:rPr>
        <w:drawing>
          <wp:anchor distT="0" distB="0" distL="114300" distR="114300" simplePos="0" relativeHeight="251660288" behindDoc="1" locked="0" layoutInCell="1" allowOverlap="1">
            <wp:simplePos x="0" y="0"/>
            <wp:positionH relativeFrom="column">
              <wp:posOffset>84455</wp:posOffset>
            </wp:positionH>
            <wp:positionV relativeFrom="paragraph">
              <wp:posOffset>58420</wp:posOffset>
            </wp:positionV>
            <wp:extent cx="5663565" cy="2113915"/>
            <wp:effectExtent l="0" t="0" r="13335" b="635"/>
            <wp:wrapNone/>
            <wp:docPr id="2" name="图片 2" descr="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01010"/>
                    <pic:cNvPicPr>
                      <a:picLocks noChangeAspect="1"/>
                    </pic:cNvPicPr>
                  </pic:nvPicPr>
                  <pic:blipFill>
                    <a:blip r:embed="rId5"/>
                    <a:stretch>
                      <a:fillRect/>
                    </a:stretch>
                  </pic:blipFill>
                  <pic:spPr>
                    <a:xfrm>
                      <a:off x="0" y="0"/>
                      <a:ext cx="5663565" cy="211391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sz w:val="32"/>
          <w:szCs w:val="32"/>
          <w:lang w:eastAsia="zh-CN"/>
        </w:rPr>
      </w:pPr>
    </w:p>
    <w:p>
      <w:pPr>
        <w:keepNext w:val="0"/>
        <w:keepLines w:val="0"/>
        <w:pageBreakBefore w:val="0"/>
        <w:kinsoku/>
        <w:wordWrap/>
        <w:overflowPunct/>
        <w:topLinePunct w:val="0"/>
        <w:autoSpaceDE/>
        <w:autoSpaceDN/>
        <w:bidi w:val="0"/>
        <w:spacing w:line="520" w:lineRule="exact"/>
        <w:ind w:left="0" w:leftChars="0" w:firstLine="640" w:firstLineChars="20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仿宋_GB2312" w:hAnsi="仿宋" w:eastAsia="仿宋_GB2312"/>
          <w:kern w:val="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rPr>
          <w:rFonts w:hint="eastAsia" w:ascii="Times New Roman" w:hAnsi="Times New Roman" w:eastAsia="方正小标宋简体" w:cs="Times New Roman"/>
          <w:b w:val="0"/>
          <w:bCs/>
          <w:sz w:val="44"/>
          <w:szCs w:val="44"/>
          <w:highlight w:val="none"/>
          <w:shd w:val="clear" w:color="auto" w:fill="FFFFFF"/>
          <w:lang w:val="en-US" w:eastAsia="zh-CN"/>
        </w:rPr>
      </w:pPr>
      <w:r>
        <w:rPr>
          <w:rFonts w:hint="eastAsia" w:ascii="仿宋_GB2312" w:hAnsi="仿宋" w:eastAsia="仿宋_GB2312"/>
          <w:kern w:val="0"/>
          <w:sz w:val="32"/>
          <w:szCs w:val="32"/>
        </w:rPr>
        <w:t>黑青〔202</w:t>
      </w:r>
      <w:r>
        <w:rPr>
          <w:rFonts w:hint="eastAsia" w:ascii="仿宋_GB2312" w:hAnsi="仿宋"/>
          <w:kern w:val="0"/>
          <w:sz w:val="32"/>
          <w:szCs w:val="32"/>
          <w:lang w:val="en-US" w:eastAsia="zh-CN"/>
        </w:rPr>
        <w:t>6</w:t>
      </w:r>
      <w:r>
        <w:rPr>
          <w:rFonts w:hint="eastAsia" w:ascii="仿宋_GB2312" w:hAnsi="仿宋" w:eastAsia="仿宋_GB2312"/>
          <w:kern w:val="0"/>
          <w:sz w:val="32"/>
          <w:szCs w:val="32"/>
        </w:rPr>
        <w:t>〕</w:t>
      </w:r>
      <w:r>
        <w:rPr>
          <w:rFonts w:hint="eastAsia" w:ascii="仿宋_GB2312" w:hAnsi="仿宋"/>
          <w:kern w:val="0"/>
          <w:sz w:val="32"/>
          <w:szCs w:val="32"/>
          <w:lang w:val="en-US" w:eastAsia="zh-CN"/>
        </w:rPr>
        <w:t>4</w:t>
      </w:r>
      <w:r>
        <w:rPr>
          <w:rFonts w:hint="eastAsia" w:ascii="仿宋_GB2312" w:hAnsi="仿宋" w:eastAsia="仿宋_GB2312"/>
          <w:kern w:val="0"/>
          <w:sz w:val="32"/>
          <w:szCs w:val="32"/>
        </w:rPr>
        <w:t xml:space="preserve">号                   </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rPr>
        <w:t>签发人：</w:t>
      </w:r>
      <w:r>
        <w:rPr>
          <w:rFonts w:hint="eastAsia" w:ascii="楷体_GB2312" w:hAnsi="楷体_GB2312" w:eastAsia="楷体_GB2312" w:cs="楷体_GB2312"/>
          <w:b w:val="0"/>
          <w:bCs w:val="0"/>
          <w:kern w:val="0"/>
          <w:sz w:val="32"/>
          <w:szCs w:val="32"/>
          <w:lang w:eastAsia="zh-CN"/>
        </w:rPr>
        <w:t>汪琪旭</w:t>
      </w:r>
      <w:r>
        <w:rPr>
          <w:rFonts w:hint="eastAsia" w:ascii="仿宋" w:hAnsi="仿宋" w:eastAsia="仿宋"/>
          <w:kern w:val="0"/>
          <w:sz w:val="32"/>
          <w:szCs w:val="32"/>
        </w:rPr>
        <w:t xml:space="preserve">    </w:t>
      </w:r>
    </w:p>
    <w:p>
      <w:pPr>
        <w:widowControl/>
        <w:spacing w:line="578" w:lineRule="exact"/>
        <w:contextualSpacing/>
        <w:jc w:val="left"/>
        <w:rPr>
          <w:rFonts w:eastAsia="宋体"/>
          <w:b/>
          <w:sz w:val="44"/>
          <w:szCs w:val="44"/>
          <w:shd w:val="clear" w:color="auto" w:fill="FFFFFF"/>
        </w:rPr>
      </w:pP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共青团黑水县委</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uppressAutoHyphens w:val="0"/>
        <w:kinsoku/>
        <w:wordWrap/>
        <w:overflowPunct/>
        <w:topLinePunct w:val="0"/>
        <w:autoSpaceDE/>
        <w:bidi w:val="0"/>
        <w:spacing w:line="560" w:lineRule="exact"/>
        <w:jc w:val="center"/>
        <w:textAlignment w:val="auto"/>
        <w:rPr>
          <w:rFonts w:hint="eastAsia" w:ascii="Times New Roman" w:hAnsi="Times New Roman" w:eastAsia="方正小标宋_GBK" w:cs="Times New Roman"/>
          <w:sz w:val="44"/>
          <w:szCs w:val="44"/>
          <w:lang w:val="en-US" w:eastAsia="zh-CN" w:bidi="ar-SA"/>
        </w:rPr>
      </w:pPr>
      <w:r>
        <w:rPr>
          <w:rFonts w:hint="eastAsia" w:ascii="Times New Roman" w:hAnsi="Times New Roman" w:eastAsia="方正小标宋_GBK" w:cs="Times New Roman"/>
          <w:sz w:val="44"/>
          <w:szCs w:val="44"/>
          <w:lang w:val="en-US" w:eastAsia="zh-CN" w:bidi="ar-SA"/>
        </w:rPr>
        <w:t>2025年度大学生志愿服务西部计划专项资金预算项目支出绩效自评报告</w:t>
      </w:r>
    </w:p>
    <w:p>
      <w:pPr>
        <w:pStyle w:val="12"/>
        <w:keepNext w:val="0"/>
        <w:keepLines w:val="0"/>
        <w:pageBreakBefore w:val="0"/>
        <w:widowControl w:val="0"/>
        <w:kinsoku/>
        <w:wordWrap/>
        <w:overflowPunct/>
        <w:topLinePunct w:val="0"/>
        <w:autoSpaceDE/>
        <w:autoSpaceDN/>
        <w:bidi w:val="0"/>
        <w:spacing w:line="578" w:lineRule="exact"/>
        <w:jc w:val="both"/>
        <w:textAlignment w:val="auto"/>
        <w:rPr>
          <w:rFonts w:hint="default" w:ascii="Times New Roman" w:hAnsi="Times New Roman" w:cs="Times New Roman"/>
          <w:color w:val="auto"/>
          <w:kern w:val="2"/>
          <w:sz w:val="32"/>
          <w:szCs w:val="32"/>
          <w:highlight w:val="none"/>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zh-CN" w:eastAsia="zh-CN"/>
        </w:rPr>
      </w:pPr>
      <w:r>
        <w:rPr>
          <w:rFonts w:hint="default" w:ascii="黑体" w:hAnsi="黑体" w:eastAsia="黑体" w:cs="黑体"/>
          <w:color w:val="000000"/>
          <w:kern w:val="0"/>
          <w:sz w:val="32"/>
          <w:szCs w:val="32"/>
          <w:lang w:val="en-US" w:eastAsia="zh-CN"/>
        </w:rPr>
        <w:t>一、</w:t>
      </w:r>
      <w:r>
        <w:rPr>
          <w:rFonts w:hint="default" w:ascii="黑体" w:hAnsi="黑体" w:eastAsia="黑体" w:cs="黑体"/>
          <w:color w:val="000000"/>
          <w:kern w:val="0"/>
          <w:sz w:val="32"/>
          <w:szCs w:val="32"/>
          <w:lang w:val="zh-CN" w:eastAsia="zh-CN"/>
        </w:rPr>
        <w:t>项目</w:t>
      </w:r>
      <w:r>
        <w:rPr>
          <w:rFonts w:hint="default" w:ascii="黑体" w:hAnsi="黑体" w:eastAsia="黑体" w:cs="黑体"/>
          <w:snapToGrid/>
          <w:color w:val="000000"/>
          <w:spacing w:val="0"/>
          <w:w w:val="100"/>
          <w:kern w:val="2"/>
          <w:position w:val="0"/>
          <w:sz w:val="32"/>
          <w:szCs w:val="32"/>
          <w:u w:val="none" w:color="auto"/>
          <w:vertAlign w:val="baseline"/>
          <w:lang w:val="zh-CN" w:eastAsia="zh-CN" w:bidi="ar-SA"/>
        </w:rPr>
        <w:t>概况</w:t>
      </w:r>
    </w:p>
    <w:p>
      <w:pPr>
        <w:keepNext w:val="0"/>
        <w:keepLines w:val="0"/>
        <w:pageBreakBefore w:val="0"/>
        <w:widowControl/>
        <w:kinsoku/>
        <w:wordWrap/>
        <w:overflowPunct/>
        <w:topLinePunct w:val="0"/>
        <w:autoSpaceDE/>
        <w:autoSpaceDN/>
        <w:bidi w:val="0"/>
        <w:adjustRightInd/>
        <w:snapToGrid/>
        <w:spacing w:line="560" w:lineRule="exact"/>
        <w:ind w:firstLine="642" w:firstLineChars="200"/>
        <w:jc w:val="left"/>
        <w:textAlignment w:val="auto"/>
        <w:rPr>
          <w:rFonts w:hint="default" w:ascii="楷体_GB2312" w:hAnsi="楷体_GB2312" w:eastAsia="楷体_GB2312" w:cs="楷体_GB2312"/>
          <w:b/>
          <w:bCs/>
          <w:color w:val="000000"/>
          <w:kern w:val="0"/>
          <w:sz w:val="32"/>
          <w:szCs w:val="32"/>
          <w:lang w:val="zh-CN" w:eastAsia="zh-CN"/>
        </w:rPr>
      </w:pPr>
      <w:r>
        <w:rPr>
          <w:rFonts w:hint="default" w:ascii="楷体_GB2312" w:hAnsi="楷体_GB2312" w:eastAsia="楷体_GB2312" w:cs="楷体_GB2312"/>
          <w:b/>
          <w:bCs/>
          <w:color w:val="000000"/>
          <w:kern w:val="0"/>
          <w:sz w:val="32"/>
          <w:szCs w:val="32"/>
          <w:lang w:val="zh-CN" w:eastAsia="zh-CN"/>
        </w:rPr>
        <w:t>（一）设立背景及基本情况。</w:t>
      </w:r>
      <w:bookmarkStart w:id="0" w:name="_GoBack"/>
      <w:bookmarkEnd w:id="0"/>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根据《关于推动四川省大学生志愿服务西部计划乡村振兴战略实施意见》（川青联发〔2021〕28号）、《2023年大学生志愿服务西部计划专项资金的通知》（川财行〔2022〕182号）、《关于做好2025年四川省大学生志愿服务西部计划相关经费保障工作的通知》文件要求，为切实做好大学生志愿服务西部计划工作，保障志愿者基本生活权益，弘扬志愿精神，推动西部计划志愿服务助力县域乡村振兴战略实施，省财政通过一般性转移支付下达专项资金。团县委作为黑水县西部计划项目办，负责专项资金的决算、报账、支付及志愿者日常管理工作，2025年度重点为全县西部计划志愿者发放生活补助及年终一次性奖金。</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firstLine="642" w:firstLineChars="200"/>
        <w:textAlignment w:val="auto"/>
        <w:rPr>
          <w:rFonts w:hint="default" w:ascii="楷体_GB2312" w:hAnsi="楷体_GB2312" w:eastAsia="楷体_GB2312" w:cs="楷体_GB2312"/>
          <w:b/>
          <w:bCs/>
          <w:color w:val="000000"/>
          <w:kern w:val="0"/>
          <w:sz w:val="32"/>
          <w:szCs w:val="32"/>
          <w:lang w:val="en-US" w:eastAsia="zh-CN"/>
        </w:rPr>
      </w:pPr>
      <w:r>
        <w:rPr>
          <w:rFonts w:hint="default" w:ascii="楷体_GB2312" w:hAnsi="楷体_GB2312" w:eastAsia="楷体_GB2312" w:cs="楷体_GB2312"/>
          <w:b/>
          <w:bCs/>
          <w:color w:val="000000"/>
          <w:kern w:val="0"/>
          <w:sz w:val="32"/>
          <w:szCs w:val="32"/>
          <w:lang w:val="en-US" w:eastAsia="zh-CN"/>
        </w:rPr>
        <w:t>实施目的及支持方向。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实施目的为严格按照省级文件要求，足额、按时为西部计划志愿者发放2610元/人/月生活补助及年终一次性奖金，保障志愿者基本生活需求，引导志愿者加强自我管理，提升志愿服务质量，推动县域大学生志愿服务西部计划工作高质量开展。项目资金专项用于志愿者生活补助发放及年终一次性奖金分配，无其他使用方向。</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left="0" w:leftChars="0" w:firstLine="642" w:firstLineChars="200"/>
        <w:textAlignment w:val="auto"/>
        <w:rPr>
          <w:rFonts w:hint="default" w:ascii="楷体_GB2312" w:hAnsi="楷体_GB2312" w:eastAsia="楷体_GB2312" w:cs="楷体_GB2312"/>
          <w:b/>
          <w:bCs/>
          <w:color w:val="000000"/>
          <w:kern w:val="0"/>
          <w:sz w:val="32"/>
          <w:szCs w:val="32"/>
          <w:lang w:val="zh-CN" w:eastAsia="zh-CN"/>
        </w:rPr>
      </w:pPr>
      <w:r>
        <w:rPr>
          <w:rFonts w:hint="default" w:ascii="楷体_GB2312" w:hAnsi="楷体_GB2312" w:eastAsia="楷体_GB2312" w:cs="楷体_GB2312"/>
          <w:b/>
          <w:bCs/>
          <w:color w:val="000000"/>
          <w:kern w:val="0"/>
          <w:sz w:val="32"/>
          <w:szCs w:val="32"/>
          <w:lang w:val="en-US" w:eastAsia="zh-CN"/>
        </w:rPr>
        <w:t>预算安排及分配管理</w:t>
      </w:r>
      <w:r>
        <w:rPr>
          <w:rFonts w:hint="default" w:ascii="楷体_GB2312" w:hAnsi="楷体_GB2312" w:eastAsia="楷体_GB2312" w:cs="楷体_GB2312"/>
          <w:b/>
          <w:bCs/>
          <w:color w:val="000000"/>
          <w:kern w:val="0"/>
          <w:sz w:val="32"/>
          <w:szCs w:val="32"/>
          <w:lang w:val="zh-CN" w:eastAsia="zh-CN"/>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资金来源为财政资金，年初预算数0万元，经调整后预算数60.11万元，实际批复金额与调整后预算一致，符合省级专项资金管理及财政预算管理相关规定。资金分配管理严格遵循按月发放生活补助、年底核算奖金原则：我县西部计划志愿者2025年实施规模为19人，生活补助按2610元/人/月省级标准足额拨付；年终一次性奖金我委制定补贴分配方案，按照1000/人标准发放，分配金额19000元。2025年该项目已按照专项资金使用用途全部实施完成。2025年度实际执行资金58.54万元，预算执行率97.38%，资金结余1.57万元按规定管理，无截留、挪用、超支情况。</w:t>
      </w:r>
    </w:p>
    <w:p>
      <w:pPr>
        <w:keepNext w:val="0"/>
        <w:keepLines w:val="0"/>
        <w:pageBreakBefore w:val="0"/>
        <w:widowControl/>
        <w:numPr>
          <w:ilvl w:val="0"/>
          <w:numId w:val="1"/>
        </w:numPr>
        <w:kinsoku/>
        <w:wordWrap/>
        <w:overflowPunct/>
        <w:topLinePunct w:val="0"/>
        <w:autoSpaceDE/>
        <w:autoSpaceDN/>
        <w:bidi w:val="0"/>
        <w:adjustRightInd/>
        <w:snapToGrid/>
        <w:spacing w:line="560" w:lineRule="exact"/>
        <w:ind w:left="0" w:leftChars="0" w:firstLine="642" w:firstLineChars="200"/>
        <w:textAlignment w:val="auto"/>
        <w:rPr>
          <w:rFonts w:hint="default" w:ascii="楷体_GB2312" w:hAnsi="楷体_GB2312" w:eastAsia="楷体_GB2312" w:cs="楷体_GB2312"/>
          <w:b/>
          <w:bCs/>
          <w:color w:val="000000"/>
          <w:kern w:val="0"/>
          <w:sz w:val="32"/>
          <w:szCs w:val="32"/>
          <w:lang w:val="zh-CN" w:eastAsia="zh-CN"/>
        </w:rPr>
      </w:pPr>
      <w:r>
        <w:rPr>
          <w:rFonts w:hint="default" w:ascii="楷体_GB2312" w:hAnsi="楷体_GB2312" w:eastAsia="楷体_GB2312" w:cs="楷体_GB2312"/>
          <w:b/>
          <w:bCs/>
          <w:color w:val="000000"/>
          <w:kern w:val="0"/>
          <w:sz w:val="32"/>
          <w:szCs w:val="32"/>
          <w:lang w:val="zh-CN" w:eastAsia="zh-CN"/>
        </w:rPr>
        <w:t>项目绩效目标设置。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根据项目实际，共设置三大类指标，分别为</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t>产出指标、效益指标、满意度指标。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1. 产出指标：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数量指标（2025年西部计划志愿者数量=19名、生活补助标准=2610元/月）。</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时效指标（按月拨付志愿者工资≤12月）</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2. 效益指标：社会效益指标（弘扬志愿精神，不断提高服务质量，引导志愿者加强自我管理，定性为其他）</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3. 满意度指标：满意度指标（西部计划志愿者满意度≥98%）</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en-US" w:eastAsia="zh-CN"/>
        </w:rPr>
      </w:pPr>
      <w:r>
        <w:rPr>
          <w:rFonts w:hint="default" w:ascii="黑体" w:hAnsi="黑体" w:eastAsia="黑体" w:cs="黑体"/>
          <w:color w:val="000000"/>
          <w:kern w:val="0"/>
          <w:sz w:val="32"/>
          <w:szCs w:val="32"/>
          <w:lang w:val="en-US" w:eastAsia="zh-CN"/>
        </w:rPr>
        <w:t>二、评价实施</w:t>
      </w:r>
    </w:p>
    <w:p>
      <w:pPr>
        <w:keepNext w:val="0"/>
        <w:keepLines w:val="0"/>
        <w:pageBreakBefore w:val="0"/>
        <w:widowControl/>
        <w:kinsoku/>
        <w:wordWrap/>
        <w:overflowPunct/>
        <w:topLinePunct w:val="0"/>
        <w:autoSpaceDE/>
        <w:autoSpaceDN/>
        <w:bidi w:val="0"/>
        <w:adjustRightInd/>
        <w:snapToGrid/>
        <w:spacing w:line="560" w:lineRule="exact"/>
        <w:ind w:firstLine="642" w:firstLineChars="200"/>
        <w:textAlignment w:val="auto"/>
        <w:rPr>
          <w:rFonts w:hint="default" w:ascii="楷体_GB2312" w:hAnsi="楷体_GB2312" w:eastAsia="楷体_GB2312" w:cs="楷体_GB2312"/>
          <w:b/>
          <w:bCs/>
          <w:color w:val="000000"/>
          <w:kern w:val="0"/>
          <w:sz w:val="32"/>
          <w:szCs w:val="32"/>
          <w:lang w:val="zh-CN" w:eastAsia="zh-CN"/>
        </w:rPr>
      </w:pPr>
      <w:r>
        <w:rPr>
          <w:rFonts w:hint="default" w:ascii="楷体_GB2312" w:hAnsi="楷体_GB2312" w:eastAsia="楷体_GB2312" w:cs="楷体_GB2312"/>
          <w:b/>
          <w:bCs/>
          <w:color w:val="000000"/>
          <w:kern w:val="0"/>
          <w:sz w:val="32"/>
          <w:szCs w:val="32"/>
          <w:lang w:val="zh-CN" w:eastAsia="zh-CN"/>
        </w:rPr>
        <w:t>（一）评价目的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通过本次绩效自评，全面核查省级西部计划专项资金使用、拨付及实施效果，检验志愿者生活补助和年终奖金保障工作落实成效，及时发现专项资金管理中的问题与不足，优化资金管理流程，提升专项资金使用效益，切实做好志愿者关心关爱工作，推动西部计划志愿服务工作持续发展。</w:t>
      </w:r>
    </w:p>
    <w:p>
      <w:pPr>
        <w:keepNext w:val="0"/>
        <w:keepLines w:val="0"/>
        <w:pageBreakBefore w:val="0"/>
        <w:widowControl/>
        <w:numPr>
          <w:ilvl w:val="0"/>
          <w:numId w:val="2"/>
        </w:numPr>
        <w:kinsoku/>
        <w:wordWrap/>
        <w:overflowPunct/>
        <w:topLinePunct w:val="0"/>
        <w:autoSpaceDE/>
        <w:autoSpaceDN/>
        <w:bidi w:val="0"/>
        <w:adjustRightInd/>
        <w:snapToGrid/>
        <w:spacing w:line="560" w:lineRule="exact"/>
        <w:ind w:firstLine="642" w:firstLineChars="200"/>
        <w:textAlignment w:val="auto"/>
        <w:rPr>
          <w:rFonts w:hint="default" w:ascii="楷体_GB2312" w:hAnsi="楷体_GB2312" w:eastAsia="楷体_GB2312" w:cs="楷体_GB2312"/>
          <w:b/>
          <w:bCs/>
          <w:color w:val="000000"/>
          <w:kern w:val="0"/>
          <w:sz w:val="32"/>
          <w:szCs w:val="32"/>
          <w:lang w:val="zh-CN" w:eastAsia="zh-CN"/>
        </w:rPr>
      </w:pPr>
      <w:r>
        <w:rPr>
          <w:rFonts w:hint="default" w:ascii="楷体_GB2312" w:hAnsi="楷体_GB2312" w:eastAsia="楷体_GB2312" w:cs="楷体_GB2312"/>
          <w:b/>
          <w:bCs/>
          <w:color w:val="000000"/>
          <w:kern w:val="0"/>
          <w:sz w:val="32"/>
          <w:szCs w:val="32"/>
          <w:lang w:val="zh-CN" w:eastAsia="zh-CN"/>
        </w:rPr>
        <w:t>预设问题及评价重点。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预设问题主要包括：专项资金是否按省级标准足额发放、是否按月拨付生活补助、年终奖金分配是否科学合理、预算执行是否规范、志愿者对保障工作是否满意。评价重点为专项资金管理情况（预算执行、资金使用合规性、分配合理性）和项目实施效果（绩效指标完成情况、志愿服务质量提升实效）。</w:t>
      </w:r>
    </w:p>
    <w:p>
      <w:pPr>
        <w:keepNext w:val="0"/>
        <w:keepLines w:val="0"/>
        <w:pageBreakBefore w:val="0"/>
        <w:widowControl/>
        <w:numPr>
          <w:ilvl w:val="0"/>
          <w:numId w:val="2"/>
        </w:numPr>
        <w:kinsoku/>
        <w:wordWrap/>
        <w:overflowPunct/>
        <w:topLinePunct w:val="0"/>
        <w:autoSpaceDE/>
        <w:autoSpaceDN/>
        <w:bidi w:val="0"/>
        <w:adjustRightInd/>
        <w:snapToGrid/>
        <w:spacing w:line="560" w:lineRule="exact"/>
        <w:ind w:left="0" w:leftChars="0" w:firstLine="642" w:firstLineChars="200"/>
        <w:textAlignment w:val="auto"/>
        <w:rPr>
          <w:rFonts w:hint="default" w:ascii="楷体_GB2312" w:hAnsi="楷体_GB2312" w:eastAsia="楷体_GB2312" w:cs="楷体_GB2312"/>
          <w:b/>
          <w:bCs/>
          <w:color w:val="000000"/>
          <w:kern w:val="0"/>
          <w:sz w:val="32"/>
          <w:szCs w:val="32"/>
          <w:lang w:val="zh-CN" w:eastAsia="zh-CN" w:bidi="ar-SA"/>
        </w:rPr>
      </w:pPr>
      <w:r>
        <w:rPr>
          <w:rFonts w:hint="default" w:ascii="楷体_GB2312" w:hAnsi="楷体_GB2312" w:eastAsia="楷体_GB2312" w:cs="楷体_GB2312"/>
          <w:b/>
          <w:bCs/>
          <w:color w:val="000000"/>
          <w:kern w:val="0"/>
          <w:sz w:val="32"/>
          <w:szCs w:val="32"/>
          <w:lang w:val="zh-CN" w:eastAsia="zh-CN" w:bidi="ar-SA"/>
        </w:rPr>
        <w:t>评价选点。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本次绩效自评选取黑水县芦花镇、黑水县卡龙镇为实地踏勘点位，均为县域西部计划志愿者主要服务乡镇，可实地核查补助、奖金发放到位情况，了解志愿者志愿服务开展情况及实际需求。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2"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楷体_GB2312" w:hAnsi="楷体_GB2312" w:eastAsia="楷体_GB2312" w:cs="楷体_GB2312"/>
          <w:b/>
          <w:bCs/>
          <w:color w:val="000000"/>
          <w:kern w:val="0"/>
          <w:sz w:val="32"/>
          <w:szCs w:val="32"/>
          <w:lang w:val="zh-CN" w:eastAsia="zh-CN" w:bidi="ar-SA"/>
        </w:rPr>
        <w:t>（四）评价方法。</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根据项目情况和评价重点，采用单位自评法进行评价。</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2"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楷体_GB2312" w:hAnsi="楷体_GB2312" w:eastAsia="楷体_GB2312" w:cs="楷体_GB2312"/>
          <w:b/>
          <w:bCs/>
          <w:color w:val="000000"/>
          <w:kern w:val="0"/>
          <w:sz w:val="32"/>
          <w:szCs w:val="32"/>
          <w:lang w:val="zh-CN" w:eastAsia="zh-CN" w:bidi="ar-SA"/>
        </w:rPr>
        <w:t>（五）评价组织。</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评价组人员由团县委项目办工作人员及财务组成，财务分管领导牵头。以资料分析整理、会议研究讨论等形式，对项目绩效进行评价、总结。</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zh-CN" w:eastAsia="zh-CN"/>
        </w:rPr>
      </w:pPr>
      <w:r>
        <w:rPr>
          <w:rFonts w:hint="default" w:ascii="黑体" w:hAnsi="黑体" w:eastAsia="黑体" w:cs="黑体"/>
          <w:color w:val="000000"/>
          <w:kern w:val="0"/>
          <w:sz w:val="32"/>
          <w:szCs w:val="32"/>
          <w:lang w:val="en-US" w:eastAsia="zh-CN"/>
        </w:rPr>
        <w:t>三、绩效分析</w:t>
      </w:r>
      <w:r>
        <w:rPr>
          <w:rFonts w:hint="default" w:ascii="黑体" w:hAnsi="黑体" w:eastAsia="黑体" w:cs="黑体"/>
          <w:color w:val="000000"/>
          <w:kern w:val="0"/>
          <w:sz w:val="32"/>
          <w:szCs w:val="32"/>
          <w:lang w:val="zh-CN" w:eastAsia="zh-CN"/>
        </w:rPr>
        <w:tab/>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t>根据项目预算绩效评价指标体系“通用指标”“专用指标”“个性指标”涉及二、三级指标进行逐项绩效分析并评分</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2" w:firstLineChars="200"/>
        <w:jc w:val="both"/>
        <w:textAlignment w:val="auto"/>
        <w:rPr>
          <w:rFonts w:hint="eastAsia" w:ascii="楷体_GB2312" w:hAnsi="楷体_GB2312" w:eastAsia="楷体_GB2312" w:cs="楷体_GB2312"/>
          <w:b/>
          <w:bCs/>
          <w:color w:val="000000"/>
          <w:kern w:val="0"/>
          <w:sz w:val="32"/>
          <w:szCs w:val="32"/>
          <w:lang w:val="en-US" w:eastAsia="zh-CN" w:bidi="ar-SA"/>
        </w:rPr>
      </w:pPr>
      <w:r>
        <w:rPr>
          <w:rFonts w:hint="eastAsia" w:ascii="楷体_GB2312" w:hAnsi="楷体_GB2312" w:eastAsia="楷体_GB2312" w:cs="楷体_GB2312"/>
          <w:b/>
          <w:bCs/>
          <w:color w:val="000000"/>
          <w:kern w:val="0"/>
          <w:sz w:val="32"/>
          <w:szCs w:val="32"/>
          <w:lang w:val="zh-CN" w:eastAsia="zh-CN" w:bidi="ar-SA"/>
        </w:rPr>
        <w:t>（一）</w:t>
      </w:r>
      <w:r>
        <w:rPr>
          <w:rFonts w:hint="eastAsia" w:ascii="楷体_GB2312" w:hAnsi="楷体_GB2312" w:eastAsia="楷体_GB2312" w:cs="楷体_GB2312"/>
          <w:b/>
          <w:bCs/>
          <w:color w:val="000000"/>
          <w:kern w:val="0"/>
          <w:sz w:val="32"/>
          <w:szCs w:val="32"/>
          <w:lang w:val="en-US" w:eastAsia="zh-CN" w:bidi="ar-SA"/>
        </w:rPr>
        <w:t>通用指标</w:t>
      </w:r>
      <w:r>
        <w:rPr>
          <w:rFonts w:hint="default" w:ascii="楷体_GB2312" w:hAnsi="楷体_GB2312" w:eastAsia="楷体_GB2312" w:cs="楷体_GB2312"/>
          <w:b/>
          <w:bCs/>
          <w:color w:val="000000"/>
          <w:kern w:val="0"/>
          <w:sz w:val="32"/>
          <w:szCs w:val="32"/>
          <w:lang w:val="zh-CN" w:eastAsia="zh-CN" w:bidi="ar-SA"/>
        </w:rPr>
        <w:t>绩效分析。</w:t>
      </w:r>
      <w:r>
        <w:rPr>
          <w:rFonts w:hint="eastAsia" w:ascii="楷体_GB2312" w:hAnsi="楷体_GB2312" w:eastAsia="楷体_GB2312" w:cs="楷体_GB2312"/>
          <w:b/>
          <w:bCs/>
          <w:color w:val="000000"/>
          <w:kern w:val="0"/>
          <w:sz w:val="32"/>
          <w:szCs w:val="32"/>
          <w:lang w:val="zh-CN" w:eastAsia="zh-CN" w:bidi="ar-SA"/>
        </w:rPr>
        <w:t>（满分5</w:t>
      </w:r>
      <w:r>
        <w:rPr>
          <w:rFonts w:hint="eastAsia" w:ascii="楷体_GB2312" w:hAnsi="楷体_GB2312" w:eastAsia="楷体_GB2312" w:cs="楷体_GB2312"/>
          <w:b/>
          <w:bCs/>
          <w:color w:val="000000"/>
          <w:kern w:val="0"/>
          <w:sz w:val="32"/>
          <w:szCs w:val="32"/>
          <w:lang w:val="en-US" w:eastAsia="zh-CN" w:bidi="ar-SA"/>
        </w:rPr>
        <w:t>4</w:t>
      </w:r>
      <w:r>
        <w:rPr>
          <w:rFonts w:hint="eastAsia" w:ascii="楷体_GB2312" w:hAnsi="楷体_GB2312" w:eastAsia="楷体_GB2312" w:cs="楷体_GB2312"/>
          <w:b/>
          <w:bCs/>
          <w:color w:val="000000"/>
          <w:kern w:val="0"/>
          <w:sz w:val="32"/>
          <w:szCs w:val="32"/>
          <w:lang w:val="zh-CN" w:eastAsia="zh-CN" w:bidi="ar-SA"/>
        </w:rPr>
        <w:t>分，</w:t>
      </w:r>
      <w:r>
        <w:rPr>
          <w:rFonts w:hint="eastAsia" w:ascii="楷体_GB2312" w:hAnsi="楷体_GB2312" w:eastAsia="楷体_GB2312" w:cs="楷体_GB2312"/>
          <w:b/>
          <w:bCs/>
          <w:color w:val="000000"/>
          <w:kern w:val="0"/>
          <w:sz w:val="32"/>
          <w:szCs w:val="32"/>
          <w:lang w:val="en-US" w:eastAsia="zh-CN" w:bidi="ar-SA"/>
        </w:rPr>
        <w:t>自评</w:t>
      </w:r>
      <w:r>
        <w:rPr>
          <w:rFonts w:hint="eastAsia" w:ascii="楷体_GB2312" w:hAnsi="楷体_GB2312" w:eastAsia="楷体_GB2312" w:cs="楷体_GB2312"/>
          <w:b/>
          <w:bCs/>
          <w:color w:val="000000"/>
          <w:kern w:val="0"/>
          <w:sz w:val="32"/>
          <w:szCs w:val="32"/>
          <w:lang w:val="zh-CN" w:eastAsia="zh-CN" w:bidi="ar-SA"/>
        </w:rPr>
        <w:t>得分</w:t>
      </w:r>
      <w:r>
        <w:rPr>
          <w:rFonts w:hint="eastAsia" w:ascii="楷体_GB2312" w:hAnsi="楷体_GB2312" w:eastAsia="楷体_GB2312" w:cs="楷体_GB2312"/>
          <w:b/>
          <w:bCs/>
          <w:color w:val="000000"/>
          <w:kern w:val="0"/>
          <w:sz w:val="32"/>
          <w:szCs w:val="32"/>
          <w:lang w:val="en-US" w:eastAsia="zh-CN" w:bidi="ar-SA"/>
        </w:rPr>
        <w:t>51</w:t>
      </w:r>
      <w:r>
        <w:rPr>
          <w:rFonts w:hint="eastAsia" w:ascii="楷体_GB2312" w:hAnsi="楷体_GB2312" w:eastAsia="楷体_GB2312" w:cs="楷体_GB2312"/>
          <w:b/>
          <w:bCs/>
          <w:color w:val="000000"/>
          <w:kern w:val="0"/>
          <w:sz w:val="32"/>
          <w:szCs w:val="32"/>
          <w:lang w:val="zh-CN" w:eastAsia="zh-CN" w:bidi="ar-SA"/>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eastAsia="楷体_GB2312" w:cs="Times New Roman"/>
          <w:color w:val="auto"/>
          <w:szCs w:val="32"/>
          <w:lang w:val="en-US" w:eastAsia="zh-CN"/>
        </w:rPr>
      </w:pPr>
      <w:r>
        <w:rPr>
          <w:rFonts w:hint="eastAsia" w:ascii="Times New Roman" w:hAnsi="Times New Roman" w:eastAsia="楷体_GB2312" w:cs="Times New Roman"/>
          <w:color w:val="auto"/>
          <w:szCs w:val="32"/>
          <w:lang w:val="en-US" w:eastAsia="zh-CN"/>
        </w:rPr>
        <w:t>1.项目决策</w:t>
      </w:r>
      <w:r>
        <w:rPr>
          <w:rFonts w:hint="eastAsia" w:ascii="Times New Roman" w:hAnsi="Times New Roman" w:eastAsia="楷体_GB2312" w:cs="Times New Roman"/>
          <w:color w:val="auto"/>
          <w:szCs w:val="32"/>
          <w:lang w:val="zh-CN" w:eastAsia="zh-CN"/>
        </w:rPr>
        <w:t>（满分</w:t>
      </w:r>
      <w:r>
        <w:rPr>
          <w:rFonts w:hint="eastAsia" w:ascii="Times New Roman" w:hAnsi="Times New Roman" w:eastAsia="楷体_GB2312" w:cs="Times New Roman"/>
          <w:color w:val="auto"/>
          <w:szCs w:val="32"/>
          <w:lang w:val="en-US" w:eastAsia="zh-CN"/>
        </w:rPr>
        <w:t>18</w:t>
      </w:r>
      <w:r>
        <w:rPr>
          <w:rFonts w:hint="eastAsia" w:ascii="Times New Roman" w:hAnsi="Times New Roman" w:eastAsia="楷体_GB2312" w:cs="Times New Roman"/>
          <w:color w:val="auto"/>
          <w:szCs w:val="32"/>
          <w:lang w:val="zh-CN" w:eastAsia="zh-CN"/>
        </w:rPr>
        <w:t>分，</w:t>
      </w:r>
      <w:r>
        <w:rPr>
          <w:rFonts w:hint="eastAsia" w:ascii="Times New Roman" w:hAnsi="Times New Roman" w:eastAsia="楷体_GB2312" w:cs="Times New Roman"/>
          <w:color w:val="auto"/>
          <w:szCs w:val="32"/>
          <w:lang w:val="en-US" w:eastAsia="zh-CN"/>
        </w:rPr>
        <w:t>自评</w:t>
      </w:r>
      <w:r>
        <w:rPr>
          <w:rFonts w:hint="eastAsia" w:ascii="Times New Roman" w:hAnsi="Times New Roman" w:eastAsia="楷体_GB2312" w:cs="Times New Roman"/>
          <w:color w:val="auto"/>
          <w:szCs w:val="32"/>
          <w:lang w:val="zh-CN" w:eastAsia="zh-CN"/>
        </w:rPr>
        <w:t>得分</w:t>
      </w:r>
      <w:r>
        <w:rPr>
          <w:rFonts w:hint="eastAsia" w:ascii="Times New Roman" w:hAnsi="Times New Roman" w:eastAsia="楷体_GB2312" w:cs="Times New Roman"/>
          <w:color w:val="auto"/>
          <w:szCs w:val="32"/>
          <w:lang w:val="en-US" w:eastAsia="zh-CN"/>
        </w:rPr>
        <w:t>18</w:t>
      </w:r>
      <w:r>
        <w:rPr>
          <w:rFonts w:hint="eastAsia" w:ascii="Times New Roman" w:hAnsi="Times New Roman" w:eastAsia="楷体_GB2312" w:cs="Times New Roman"/>
          <w:color w:val="auto"/>
          <w:szCs w:val="32"/>
          <w:lang w:val="zh-CN" w:eastAsia="zh-CN"/>
        </w:rPr>
        <w:t>分）</w:t>
      </w:r>
      <w:r>
        <w:rPr>
          <w:rFonts w:hint="eastAsia" w:ascii="Times New Roman" w:hAnsi="Times New Roman" w:eastAsia="楷体_GB2312" w:cs="Times New Roman"/>
          <w:color w:val="auto"/>
          <w:szCs w:val="32"/>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（1）决策程序。（满分6分，自评得分6分）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一是项目设立上，根据项目下达任务指标以及我县志愿者实际情况，科学编制项目实施方案，并对项目实施方案进行专门研究，科学分析，根据《关于做好2025年四川省大学生志愿服务西部计划相关经费保障工作的通知》文件要求开展项目实施。二是项目实施上严格按照资金用途使用，符合资金管理基本规范和决策程序要求。</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（2）规划论证。（满分6分，自评得分6分）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一是项目实施前期，按照相关程序</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进行</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项目规划论证</w:t>
      </w:r>
      <w:r>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符合省县要求。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二是项目绩效目标设置方面，共设置一级指标3项：产出指标、效益指标和满意度指标；二级指标6项：数量指标、质量指标、时效指标、成本指标、可持续影响指标、服务对象满意度指标；三级指标6项：志愿者人数、每月发放生活补助经费标准、资金支付完成率（%）、持续发挥社会效益（是/否）、志愿者满意度（%），该项目绩效目标设置科学合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（3）资金投向。（满分6分，自评得分6分）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严格按照西部计划管理办法</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t>文件</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要求</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zh-CN" w:eastAsia="zh-CN" w:bidi="ar-SA"/>
        </w:rPr>
        <w:t>，</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在把握资金投向、明确项目任务基础上，科学分配资金，严格管理，坚持专项使用。</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eastAsia="楷体_GB2312" w:cs="Times New Roman"/>
          <w:color w:val="auto"/>
          <w:szCs w:val="32"/>
          <w:lang w:val="en-US" w:eastAsia="zh-CN"/>
        </w:rPr>
      </w:pPr>
      <w:r>
        <w:rPr>
          <w:rFonts w:hint="eastAsia" w:ascii="Times New Roman" w:hAnsi="Times New Roman" w:eastAsia="楷体_GB2312" w:cs="Times New Roman"/>
          <w:color w:val="auto"/>
          <w:szCs w:val="32"/>
          <w:lang w:val="en-US" w:eastAsia="zh-CN"/>
        </w:rPr>
        <w:t>2. 项目管理（满分18分，自评得分17分）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（1）制度办法（满分2分，自评得分2分）。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严格按照省、州、县级专项资金管理办法开展工作。</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（2）分配管理（满分10分，自评得分10分）。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生活补助按省级标准足额核算，年终奖金按1000/人分配，分配因素选取合理，拨付审批流程符合财政资金管理要求，得10分。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（3）绩效监管（满分6分，自评得分5分）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按要求开展专项资金绩效全流程管理，及时完成省、州级绩效评价、监督检查工作，各项监管要求有效落实，得</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5</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3.项目实施。</w:t>
      </w:r>
      <w:r>
        <w:rPr>
          <w:rFonts w:hint="eastAsia" w:ascii="Times New Roman" w:hAnsi="Times New Roman" w:eastAsia="楷体_GB2312" w:cs="Times New Roman"/>
          <w:color w:val="auto"/>
          <w:szCs w:val="32"/>
          <w:lang w:val="en-US" w:eastAsia="zh-CN"/>
        </w:rPr>
        <w:t>（满分9分，自评得分8分）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cs="仿宋_GB2312"/>
          <w:b/>
          <w:bCs/>
          <w:sz w:val="32"/>
          <w:szCs w:val="32"/>
          <w:highlight w:val="none"/>
          <w:lang w:val="en-US" w:eastAsia="zh-CN"/>
        </w:rPr>
        <w:t>（1）预算执行（满分6分，自评得分6分）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项目调整后预算60.11万元，实际执行58.54万元，预算执行率97.38%，财政资金拨付及时，结余资金按规定管理，得6分。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（2）资金使用（满分3分，自评得分2分）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资金使用合规，无违规支出，但部分乡镇志愿者补助发放后的需求收集不及时，扣1分，得2分。</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Times New Roman" w:hAnsi="Times New Roman" w:eastAsia="楷体_GB2312" w:cs="Times New Roman"/>
          <w:color w:val="auto"/>
          <w:szCs w:val="32"/>
          <w:lang w:val="en-US" w:eastAsia="zh-CN"/>
        </w:rPr>
      </w:pPr>
      <w:r>
        <w:rPr>
          <w:rFonts w:hint="default" w:ascii="Times New Roman" w:hAnsi="Times New Roman" w:eastAsia="楷体_GB2312" w:cs="Times New Roman"/>
          <w:color w:val="auto"/>
          <w:szCs w:val="32"/>
          <w:lang w:val="en-US" w:eastAsia="zh-CN"/>
        </w:rPr>
        <w:t>4.项目结果。</w:t>
      </w:r>
      <w:r>
        <w:rPr>
          <w:rFonts w:hint="eastAsia" w:ascii="Times New Roman" w:hAnsi="Times New Roman" w:eastAsia="楷体_GB2312" w:cs="Times New Roman"/>
          <w:color w:val="auto"/>
          <w:szCs w:val="32"/>
          <w:lang w:val="en-US" w:eastAsia="zh-CN"/>
        </w:rPr>
        <w:t>（满分9分，自评得分9分）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cs="仿宋_GB2312"/>
          <w:b/>
          <w:bCs/>
          <w:sz w:val="32"/>
          <w:szCs w:val="32"/>
          <w:highlight w:val="none"/>
          <w:lang w:val="en-US" w:eastAsia="zh-CN"/>
        </w:rPr>
        <w:t>（1）目标完成（满分6分，自评得分6分）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项目圆满完成年度实施目标，足额、按月发放生活补助，科学合理分配年终一次性奖金，实施结果与绩效目标高度匹配，得6分。</w:t>
      </w:r>
    </w:p>
    <w:p>
      <w:pPr>
        <w:keepNext w:val="0"/>
        <w:keepLines w:val="0"/>
        <w:pageBreakBefore w:val="0"/>
        <w:widowControl w:val="0"/>
        <w:kinsoku/>
        <w:wordWrap/>
        <w:overflowPunct/>
        <w:topLinePunct w:val="0"/>
        <w:autoSpaceDE/>
        <w:autoSpaceDN/>
        <w:bidi w:val="0"/>
        <w:adjustRightInd/>
        <w:snapToGrid/>
        <w:spacing w:line="520" w:lineRule="exact"/>
        <w:ind w:firstLine="642" w:firstLineChars="200"/>
        <w:textAlignment w:val="auto"/>
        <w:rPr>
          <w:rFonts w:hint="eastAsia" w:ascii="仿宋_GB2312" w:hAnsi="仿宋_GB2312" w:cs="仿宋_GB2312"/>
          <w:b/>
          <w:bCs/>
          <w:sz w:val="32"/>
          <w:szCs w:val="32"/>
          <w:highlight w:val="none"/>
          <w:lang w:val="en-US" w:eastAsia="zh-CN"/>
        </w:rPr>
      </w:pPr>
      <w:r>
        <w:rPr>
          <w:rFonts w:hint="eastAsia" w:ascii="仿宋_GB2312" w:hAnsi="仿宋_GB2312" w:cs="仿宋_GB2312"/>
          <w:b/>
          <w:bCs/>
          <w:sz w:val="32"/>
          <w:szCs w:val="32"/>
          <w:highlight w:val="none"/>
          <w:lang w:val="en-US" w:eastAsia="zh-CN"/>
        </w:rPr>
        <w:t>（2）完成时效（满分3分，自评得分3分）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生活补助在12月前按月全部拨付完成，年终奖金在年底前发放到位，实际完成时间符合计划要求，得3分。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2"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default" w:ascii="楷体_GB2312" w:hAnsi="楷体_GB2312" w:eastAsia="楷体_GB2312" w:cs="楷体_GB2312"/>
          <w:b/>
          <w:bCs/>
          <w:color w:val="000000"/>
          <w:kern w:val="0"/>
          <w:sz w:val="32"/>
          <w:szCs w:val="32"/>
          <w:lang w:val="zh-CN" w:eastAsia="zh-CN" w:bidi="ar-SA"/>
        </w:rPr>
        <w:t>（二）</w:t>
      </w:r>
      <w:r>
        <w:rPr>
          <w:rFonts w:hint="default" w:ascii="楷体_GB2312" w:hAnsi="楷体_GB2312" w:eastAsia="楷体_GB2312" w:cs="楷体_GB2312"/>
          <w:b/>
          <w:bCs/>
          <w:color w:val="000000"/>
          <w:kern w:val="0"/>
          <w:sz w:val="32"/>
          <w:szCs w:val="32"/>
          <w:lang w:val="en-US" w:eastAsia="zh-CN" w:bidi="ar-SA"/>
        </w:rPr>
        <w:t>专用指标</w:t>
      </w:r>
      <w:r>
        <w:rPr>
          <w:rFonts w:hint="default" w:ascii="楷体_GB2312" w:hAnsi="楷体_GB2312" w:eastAsia="楷体_GB2312" w:cs="楷体_GB2312"/>
          <w:b/>
          <w:bCs/>
          <w:color w:val="000000"/>
          <w:kern w:val="0"/>
          <w:sz w:val="32"/>
          <w:szCs w:val="32"/>
          <w:lang w:val="zh-CN" w:eastAsia="zh-CN" w:bidi="ar-SA"/>
        </w:rPr>
        <w:t>绩效分析。</w:t>
      </w:r>
      <w:r>
        <w:rPr>
          <w:rFonts w:hint="eastAsia" w:ascii="楷体_GB2312" w:hAnsi="楷体_GB2312" w:eastAsia="楷体_GB2312" w:cs="楷体_GB2312"/>
          <w:b/>
          <w:bCs/>
          <w:color w:val="000000"/>
          <w:kern w:val="0"/>
          <w:sz w:val="32"/>
          <w:szCs w:val="32"/>
          <w:lang w:val="en-US" w:eastAsia="zh-CN" w:bidi="ar-SA"/>
        </w:rPr>
        <w:t>（满分30分，自评得分28分）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本项目属于民生保障类项目，围绕区域均衡性、对象精准性、标准合理性、群众满意度开展分析：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Times New Roman" w:hAnsi="Times New Roman" w:eastAsia="楷体_GB2312" w:cs="Times New Roman"/>
          <w:color w:val="auto"/>
          <w:szCs w:val="32"/>
          <w:lang w:val="en-US" w:eastAsia="zh-CN"/>
        </w:rPr>
        <w:t>1. 区域均衡性（满分10分，自评得分9分）：</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专项资金覆盖全县所有在岗西部计划志愿者，无乡镇、服务岗位差异，均衡保障所有志愿者生活需求，得</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9</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Times New Roman" w:hAnsi="Times New Roman" w:eastAsia="楷体_GB2312" w:cs="Times New Roman"/>
          <w:color w:val="auto"/>
          <w:szCs w:val="32"/>
          <w:lang w:val="en-US" w:eastAsia="zh-CN"/>
        </w:rPr>
        <w:t>2. 对象精准性（满分10分，自评得分10分）</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：资金支持对象为黑水县2025年度在岗西部计划志愿者，完全符合省级专项资金支持对象范围，无错发、漏发情况，得10分。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Times New Roman" w:hAnsi="Times New Roman" w:eastAsia="楷体_GB2312" w:cs="Times New Roman"/>
          <w:color w:val="auto"/>
          <w:szCs w:val="32"/>
          <w:lang w:val="en-US" w:eastAsia="zh-CN"/>
        </w:rPr>
        <w:t>3. 标准合理性（满分5分，自评得分5分）</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：生活补助按2610元/人/月省级标准足额发放，年终奖金分配标准科学合理，补助、奖金均及时兑现，得5分。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Times New Roman" w:hAnsi="Times New Roman" w:eastAsia="楷体_GB2312" w:cs="Times New Roman"/>
          <w:color w:val="auto"/>
          <w:szCs w:val="32"/>
          <w:lang w:val="en-US" w:eastAsia="zh-CN"/>
        </w:rPr>
        <w:t>4. 群众满意度（满分5分，自评得分4分）</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：经调查，志愿者对专项资金发放工作高度认可，满意度达到≥98%的指标要求，得</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4</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2" w:firstLineChars="200"/>
        <w:jc w:val="both"/>
        <w:textAlignment w:val="auto"/>
        <w:rPr>
          <w:rFonts w:hint="default" w:ascii="楷体_GB2312" w:hAnsi="楷体_GB2312" w:eastAsia="楷体_GB2312" w:cs="楷体_GB2312"/>
          <w:b/>
          <w:bCs/>
          <w:color w:val="000000"/>
          <w:kern w:val="0"/>
          <w:sz w:val="32"/>
          <w:szCs w:val="32"/>
          <w:lang w:val="zh-CN" w:eastAsia="zh-CN" w:bidi="ar-SA"/>
        </w:rPr>
      </w:pPr>
      <w:r>
        <w:rPr>
          <w:rFonts w:hint="default" w:ascii="楷体_GB2312" w:hAnsi="楷体_GB2312" w:eastAsia="楷体_GB2312" w:cs="楷体_GB2312"/>
          <w:b/>
          <w:bCs/>
          <w:color w:val="000000"/>
          <w:kern w:val="0"/>
          <w:sz w:val="32"/>
          <w:szCs w:val="32"/>
          <w:lang w:val="zh-CN" w:eastAsia="zh-CN" w:bidi="ar-SA"/>
        </w:rPr>
        <w:t>（三）</w:t>
      </w:r>
      <w:r>
        <w:rPr>
          <w:rFonts w:hint="default" w:ascii="楷体_GB2312" w:hAnsi="楷体_GB2312" w:eastAsia="楷体_GB2312" w:cs="楷体_GB2312"/>
          <w:b/>
          <w:bCs/>
          <w:color w:val="000000"/>
          <w:kern w:val="0"/>
          <w:sz w:val="32"/>
          <w:szCs w:val="32"/>
          <w:lang w:val="en-US" w:eastAsia="zh-CN" w:bidi="ar-SA"/>
        </w:rPr>
        <w:t>个性指标</w:t>
      </w:r>
      <w:r>
        <w:rPr>
          <w:rFonts w:hint="default" w:ascii="楷体_GB2312" w:hAnsi="楷体_GB2312" w:eastAsia="楷体_GB2312" w:cs="楷体_GB2312"/>
          <w:b/>
          <w:bCs/>
          <w:color w:val="000000"/>
          <w:kern w:val="0"/>
          <w:sz w:val="32"/>
          <w:szCs w:val="32"/>
          <w:lang w:val="zh-CN" w:eastAsia="zh-CN" w:bidi="ar-SA"/>
        </w:rPr>
        <w:t>绩效分析。</w:t>
      </w:r>
      <w:r>
        <w:rPr>
          <w:rFonts w:hint="eastAsia" w:ascii="楷体_GB2312" w:hAnsi="楷体_GB2312" w:eastAsia="楷体_GB2312" w:cs="楷体_GB2312"/>
          <w:b/>
          <w:bCs/>
          <w:color w:val="000000"/>
          <w:kern w:val="0"/>
          <w:sz w:val="32"/>
          <w:szCs w:val="32"/>
          <w:lang w:val="en-US" w:eastAsia="zh-CN" w:bidi="ar-SA"/>
        </w:rPr>
        <w:t>（满分16分，自评得分15分）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设置个性指标志愿服务质量提升率（权重1</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5</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pP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2025年度县域西部计划志愿者志愿服务任务完成率、服务质量较上年显著提升，有效推动了县域志愿服务工作开展，完成指标要求，得1</w:t>
      </w:r>
      <w:r>
        <w:rPr>
          <w:rFonts w:hint="eastAsia" w:ascii="仿宋_GB2312" w:hAnsi="仿宋_GB2312" w:cs="仿宋_GB2312"/>
          <w:snapToGrid/>
          <w:color w:val="000000"/>
          <w:spacing w:val="0"/>
          <w:w w:val="100"/>
          <w:kern w:val="2"/>
          <w:position w:val="0"/>
          <w:sz w:val="32"/>
          <w:szCs w:val="32"/>
          <w:u w:val="none" w:color="auto"/>
          <w:vertAlign w:val="baseline"/>
          <w:lang w:val="en-US" w:eastAsia="zh-CN" w:bidi="ar-SA"/>
        </w:rPr>
        <w:t>5</w:t>
      </w:r>
      <w:r>
        <w:rPr>
          <w:rFonts w:hint="eastAsia" w:ascii="仿宋_GB2312" w:hAnsi="仿宋_GB2312" w:eastAsia="仿宋_GB2312" w:cs="仿宋_GB2312"/>
          <w:snapToGrid/>
          <w:color w:val="000000"/>
          <w:spacing w:val="0"/>
          <w:w w:val="100"/>
          <w:kern w:val="2"/>
          <w:position w:val="0"/>
          <w:sz w:val="32"/>
          <w:szCs w:val="32"/>
          <w:u w:val="none" w:color="auto"/>
          <w:vertAlign w:val="baseline"/>
          <w:lang w:val="en-US" w:eastAsia="zh-CN" w:bidi="ar-SA"/>
        </w:rPr>
        <w:t>分。</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en-US" w:eastAsia="zh-CN"/>
        </w:rPr>
      </w:pPr>
      <w:r>
        <w:rPr>
          <w:rFonts w:hint="default" w:ascii="黑体" w:hAnsi="黑体" w:eastAsia="黑体" w:cs="黑体"/>
          <w:color w:val="000000"/>
          <w:kern w:val="0"/>
          <w:sz w:val="32"/>
          <w:szCs w:val="32"/>
          <w:lang w:val="en-US" w:eastAsia="zh-CN"/>
        </w:rPr>
        <w:t>四、评价结论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本项目2025年度绩效自评总分为9</w:t>
      </w:r>
      <w:r>
        <w:rPr>
          <w:rFonts w:hint="eastAsia" w:ascii="仿宋_GB2312" w:hAnsi="仿宋_GB2312" w:cs="仿宋_GB2312"/>
          <w:b w:val="0"/>
          <w:bCs/>
          <w:color w:val="auto"/>
          <w:kern w:val="2"/>
          <w:sz w:val="32"/>
          <w:szCs w:val="32"/>
          <w:u w:val="none"/>
          <w:lang w:val="en-US" w:eastAsia="zh-CN" w:bidi="ar-SA"/>
        </w:rPr>
        <w:t>5</w:t>
      </w:r>
      <w:r>
        <w:rPr>
          <w:rFonts w:hint="eastAsia" w:ascii="仿宋_GB2312" w:hAnsi="仿宋_GB2312" w:eastAsia="仿宋_GB2312" w:cs="仿宋_GB2312"/>
          <w:b w:val="0"/>
          <w:bCs/>
          <w:color w:val="auto"/>
          <w:kern w:val="2"/>
          <w:sz w:val="32"/>
          <w:szCs w:val="32"/>
          <w:u w:val="none"/>
          <w:lang w:val="en-US" w:eastAsia="zh-CN" w:bidi="ar-SA"/>
        </w:rPr>
        <w:t>分，评价结果为优秀。项目整体实施规范，省级专项资金专款专用、拨付及时、分配合理，预算执行率97.38%，有效完成了西部计划志愿者生活补助足额按月发放和年终一次性奖金科学分配工作，切实保障了志愿者基本生活需求，弘扬了志愿精神，提升了县域志愿服务质量，各项绩效指标均完成预期目标。</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en-US" w:eastAsia="zh-CN"/>
        </w:rPr>
      </w:pPr>
      <w:r>
        <w:rPr>
          <w:rFonts w:hint="default" w:ascii="黑体" w:hAnsi="黑体" w:eastAsia="黑体" w:cs="黑体"/>
          <w:color w:val="000000"/>
          <w:kern w:val="0"/>
          <w:sz w:val="32"/>
          <w:szCs w:val="32"/>
          <w:lang w:val="en-US" w:eastAsia="zh-CN"/>
        </w:rPr>
        <w:t>五、存在主要问题</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经全面自查和绩效评价，项目实施过程中未发现实质性问题，专项资金管理、流程执行、效果达成均符合省级文件及财政管理相关规定。</w:t>
      </w:r>
    </w:p>
    <w:p>
      <w:pPr>
        <w:keepNext w:val="0"/>
        <w:keepLines w:val="0"/>
        <w:pageBreakBefore w:val="0"/>
        <w:widowControl/>
        <w:numPr>
          <w:ilvl w:val="0"/>
          <w:numId w:val="3"/>
        </w:numPr>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kern w:val="0"/>
          <w:sz w:val="32"/>
          <w:szCs w:val="32"/>
          <w:lang w:val="zh-CN" w:eastAsia="zh-CN"/>
        </w:rPr>
      </w:pPr>
      <w:r>
        <w:rPr>
          <w:rFonts w:hint="default" w:ascii="黑体" w:hAnsi="黑体" w:eastAsia="黑体" w:cs="黑体"/>
          <w:color w:val="000000"/>
          <w:kern w:val="0"/>
          <w:sz w:val="32"/>
          <w:szCs w:val="32"/>
          <w:lang w:val="zh-CN" w:eastAsia="zh-CN"/>
        </w:rPr>
        <w:t>改进建议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1.精准测算资金需求，结合历年志愿者人数、补助标准、奖金需求等数据，科学编制项目预算，提升预算编制的精准性和合理性，进一步提高预算执行率。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2.建立志愿者回访长效机制，安排专人对各乡镇志愿者补助、奖金发放情况进行定期回访，及时收集志愿者生活需求和工作建议，持续优化志愿者服务管理水平。</w:t>
      </w:r>
    </w:p>
    <w:p>
      <w:pPr>
        <w:rPr>
          <w:rFonts w:hint="default"/>
          <w:lang w:val="zh-CN"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bCs/>
          <w:color w:val="auto"/>
          <w:kern w:val="2"/>
          <w:sz w:val="32"/>
          <w:szCs w:val="32"/>
          <w:u w:val="none"/>
          <w:lang w:val="en-US" w:eastAsia="zh-CN" w:bidi="ar-SA"/>
        </w:rPr>
      </w:pPr>
      <w:r>
        <w:rPr>
          <w:rFonts w:hint="default" w:ascii="仿宋_GB2312" w:hAnsi="仿宋_GB2312" w:eastAsia="仿宋_GB2312" w:cs="仿宋_GB2312"/>
          <w:b w:val="0"/>
          <w:bCs/>
          <w:color w:val="auto"/>
          <w:kern w:val="2"/>
          <w:sz w:val="32"/>
          <w:szCs w:val="32"/>
          <w:u w:val="none"/>
          <w:lang w:val="en-US" w:eastAsia="zh-CN" w:bidi="ar-SA"/>
        </w:rPr>
        <w:t>附表：1.</w:t>
      </w:r>
      <w:r>
        <w:rPr>
          <w:rFonts w:hint="eastAsia" w:ascii="仿宋_GB2312" w:hAnsi="仿宋_GB2312" w:eastAsia="仿宋_GB2312" w:cs="仿宋_GB2312"/>
          <w:b w:val="0"/>
          <w:bCs/>
          <w:color w:val="auto"/>
          <w:kern w:val="2"/>
          <w:sz w:val="32"/>
          <w:szCs w:val="32"/>
          <w:u w:val="none"/>
          <w:lang w:val="en-US" w:eastAsia="zh-CN" w:bidi="ar-SA"/>
        </w:rPr>
        <w:t>专项</w:t>
      </w:r>
      <w:r>
        <w:rPr>
          <w:rFonts w:hint="default" w:ascii="仿宋_GB2312" w:hAnsi="仿宋_GB2312" w:eastAsia="仿宋_GB2312" w:cs="仿宋_GB2312"/>
          <w:b w:val="0"/>
          <w:bCs/>
          <w:color w:val="auto"/>
          <w:kern w:val="2"/>
          <w:sz w:val="32"/>
          <w:szCs w:val="32"/>
          <w:u w:val="none"/>
          <w:lang w:val="en-US" w:eastAsia="zh-CN" w:bidi="ar-SA"/>
        </w:rPr>
        <w:t>预算绩效自评打分表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both"/>
        <w:textAlignment w:val="auto"/>
        <w:rPr>
          <w:rFonts w:hint="default" w:ascii="仿宋_GB2312" w:hAnsi="仿宋_GB2312" w:eastAsia="仿宋_GB2312" w:cs="仿宋_GB2312"/>
          <w:b w:val="0"/>
          <w:bCs/>
          <w:color w:val="auto"/>
          <w:kern w:val="2"/>
          <w:sz w:val="32"/>
          <w:szCs w:val="32"/>
          <w:u w:val="none"/>
          <w:lang w:val="en-US" w:eastAsia="zh-CN" w:bidi="ar-SA"/>
        </w:rPr>
      </w:pPr>
      <w:r>
        <w:rPr>
          <w:rFonts w:hint="default" w:ascii="仿宋_GB2312" w:hAnsi="仿宋_GB2312" w:eastAsia="仿宋_GB2312" w:cs="仿宋_GB2312"/>
          <w:b w:val="0"/>
          <w:bCs/>
          <w:color w:val="auto"/>
          <w:kern w:val="2"/>
          <w:sz w:val="32"/>
          <w:szCs w:val="32"/>
          <w:u w:val="none"/>
          <w:lang w:val="en-US" w:eastAsia="zh-CN" w:bidi="ar-SA"/>
        </w:rPr>
        <w:t>2.专项预算绩效自评实地踏勘点位清单表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both"/>
        <w:textAlignment w:val="auto"/>
        <w:rPr>
          <w:rFonts w:hint="default" w:ascii="仿宋_GB2312" w:hAnsi="仿宋_GB2312" w:eastAsia="仿宋_GB2312" w:cs="仿宋_GB2312"/>
          <w:b w:val="0"/>
          <w:bCs/>
          <w:color w:val="auto"/>
          <w:kern w:val="2"/>
          <w:sz w:val="32"/>
          <w:szCs w:val="32"/>
          <w:u w:val="none"/>
          <w:lang w:val="en-US" w:eastAsia="zh-CN" w:bidi="ar-SA"/>
        </w:rPr>
      </w:pPr>
      <w:r>
        <w:rPr>
          <w:rFonts w:hint="eastAsia" w:ascii="仿宋_GB2312" w:hAnsi="仿宋_GB2312" w:eastAsia="仿宋_GB2312" w:cs="仿宋_GB2312"/>
          <w:b w:val="0"/>
          <w:bCs/>
          <w:color w:val="auto"/>
          <w:kern w:val="2"/>
          <w:sz w:val="32"/>
          <w:szCs w:val="32"/>
          <w:u w:val="none"/>
          <w:lang w:val="en-US" w:eastAsia="zh-CN" w:bidi="ar-SA"/>
        </w:rPr>
        <w:t>3.</w:t>
      </w:r>
      <w:r>
        <w:rPr>
          <w:rFonts w:hint="default" w:ascii="仿宋_GB2312" w:hAnsi="仿宋_GB2312" w:eastAsia="仿宋_GB2312" w:cs="仿宋_GB2312"/>
          <w:b w:val="0"/>
          <w:bCs/>
          <w:color w:val="auto"/>
          <w:kern w:val="2"/>
          <w:sz w:val="32"/>
          <w:szCs w:val="32"/>
          <w:u w:val="none"/>
          <w:lang w:val="en-US" w:eastAsia="zh-CN" w:bidi="ar-SA"/>
        </w:rPr>
        <w:t>专项预算项目绩效目标完成情况自评表</w:t>
      </w:r>
    </w:p>
    <w:p>
      <w:pPr>
        <w:pStyle w:val="2"/>
        <w:rPr>
          <w:rFonts w:hint="default" w:ascii="仿宋_GB2312" w:hAnsi="仿宋_GB2312" w:eastAsia="仿宋_GB2312" w:cs="仿宋_GB2312"/>
          <w:b w:val="0"/>
          <w:bCs/>
          <w:color w:val="auto"/>
          <w:kern w:val="2"/>
          <w:sz w:val="32"/>
          <w:szCs w:val="32"/>
          <w:u w:val="none"/>
          <w:lang w:val="en-US" w:eastAsia="zh-CN" w:bidi="ar-SA"/>
        </w:rPr>
      </w:pPr>
    </w:p>
    <w:p>
      <w:pPr>
        <w:rPr>
          <w:rFonts w:hint="default"/>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right"/>
        <w:textAlignment w:val="auto"/>
        <w:rPr>
          <w:rFonts w:hint="eastAsia" w:ascii="仿宋_GB2312" w:hAnsi="仿宋_GB2312" w:eastAsia="仿宋_GB2312" w:cs="仿宋_GB2312"/>
          <w:b w:val="0"/>
          <w:bCs/>
          <w:color w:val="auto"/>
          <w:kern w:val="2"/>
          <w:sz w:val="32"/>
          <w:szCs w:val="32"/>
          <w:u w:val="none"/>
          <w:lang w:val="en-US" w:eastAsia="zh-CN" w:bidi="ar-SA"/>
        </w:rPr>
      </w:pPr>
      <w:r>
        <w:rPr>
          <w:rFonts w:hint="eastAsia"/>
          <w:lang w:val="en-US" w:eastAsia="zh-CN"/>
        </w:rPr>
        <w:t xml:space="preserve">共青团黑水县委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right"/>
        <w:textAlignment w:val="auto"/>
        <w:rPr>
          <w:rFonts w:hint="default"/>
          <w:lang w:val="en-US" w:eastAsia="zh-CN"/>
        </w:rPr>
      </w:pPr>
      <w:r>
        <w:rPr>
          <w:rFonts w:hint="eastAsia" w:ascii="仿宋_GB2312" w:hAnsi="仿宋_GB2312" w:eastAsia="仿宋_GB2312" w:cs="仿宋_GB2312"/>
          <w:b w:val="0"/>
          <w:bCs/>
          <w:color w:val="auto"/>
          <w:kern w:val="2"/>
          <w:sz w:val="32"/>
          <w:szCs w:val="32"/>
          <w:u w:val="none"/>
          <w:lang w:val="en-US" w:eastAsia="zh-CN" w:bidi="ar-SA"/>
        </w:rPr>
        <w:t>2026年3月30日</w:t>
      </w:r>
      <w:r>
        <w:rPr>
          <w:rFonts w:hint="eastAsia"/>
          <w:lang w:val="en-US" w:eastAsia="zh-CN"/>
        </w:rPr>
        <w:t xml:space="preserve"> </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9"/>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项目规划论证是否符合中央、省委要求，项目绩效目标设置是否科学合理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310" w:type="dxa"/>
            <w:gridSpan w:val="3"/>
            <w:vMerge w:val="restart"/>
            <w:tcBorders>
              <w:top w:val="single" w:color="000000" w:sz="4" w:space="0"/>
              <w:left w:val="single" w:color="000000" w:sz="4" w:space="0"/>
              <w:bottom w:val="single" w:color="000000"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个性指标</w:t>
            </w:r>
          </w:p>
        </w:tc>
        <w:tc>
          <w:tcPr>
            <w:tcW w:w="6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16</w:t>
            </w:r>
          </w:p>
        </w:tc>
        <w:tc>
          <w:tcPr>
            <w:tcW w:w="5340" w:type="dxa"/>
            <w:vMerge w:val="restart"/>
            <w:tcBorders>
              <w:top w:val="single" w:color="000000" w:sz="4" w:space="0"/>
              <w:left w:val="single" w:color="auto"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志愿服务质量提升率</w:t>
            </w:r>
          </w:p>
        </w:tc>
        <w:tc>
          <w:tcPr>
            <w:tcW w:w="732"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696"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0"/>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4319"/>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cs="Times New Roman"/>
                <w:color w:val="auto"/>
                <w:sz w:val="24"/>
                <w:szCs w:val="24"/>
                <w:highlight w:val="none"/>
                <w:u w:val="none"/>
                <w:vertAlign w:val="baseline"/>
                <w:lang w:val="en" w:eastAsia="zh-CN"/>
              </w:rPr>
            </w:pPr>
          </w:p>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黑水县芦花镇</w:t>
            </w: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核查志愿者生活补助/奖金发放情况，了解志愿服务开展时效。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eastAsia" w:cs="Times New Roman"/>
                <w:color w:val="auto"/>
                <w:sz w:val="24"/>
                <w:szCs w:val="24"/>
                <w:highlight w:val="none"/>
                <w:u w:val="none"/>
                <w:vertAlign w:val="baseline"/>
                <w:lang w:val="en" w:eastAsia="zh-CN"/>
              </w:rPr>
            </w:pPr>
          </w:p>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黑水县西尔镇</w:t>
            </w: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覆盖乡镇志愿服务点，收集志愿者保障需求反馈。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4319"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2542"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9"/>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2025年度大学生志愿服务西部计划专项资金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中国共产主义青年团黑水县委员会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民生保障类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《关于推动四川省大学生志愿服务西部计划乡村振兴战略实施意见》（川青联发〔2021〕28号）、《2023年大学生志愿服务西部计划专项资金的通知》（川财行〔2022〕182号）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四川省大学生志愿服务西部计划专项资金管理办法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r>
              <w:rPr>
                <w:rFonts w:hint="default" w:ascii="Arial" w:hAnsi="Arial" w:eastAsia="宋体" w:cs="Arial"/>
                <w:i w:val="0"/>
                <w:color w:val="000000"/>
                <w:kern w:val="0"/>
                <w:sz w:val="24"/>
                <w:szCs w:val="24"/>
                <w:u w:val="none"/>
                <w:lang w:val="en-US" w:eastAsia="zh-CN" w:bidi="ar"/>
              </w:rPr>
              <w:t>√</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eastAsia="zh-CN"/>
              </w:rPr>
              <w:t>《关于推动四川省大学生志愿服务西部计划乡村振兴战略实施意见》（川青联发〔2021〕28号）、《2023年大学生志愿服务西部计划专项资金的通知》（川财行〔2022〕182号）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使用范围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黑水县</w:t>
            </w:r>
            <w:r>
              <w:rPr>
                <w:rFonts w:hint="eastAsia" w:eastAsia="宋体" w:cs="Times New Roman"/>
                <w:i w:val="0"/>
                <w:color w:val="000000"/>
                <w:sz w:val="24"/>
                <w:szCs w:val="24"/>
                <w:u w:val="none"/>
                <w:lang w:val="en-US" w:eastAsia="zh-CN"/>
              </w:rPr>
              <w:t>2025年度在岗西部计划志愿者生活补助发放、年终一次性奖金发放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eastAsia="zh-CN"/>
              </w:rPr>
              <w:t>黑水县</w:t>
            </w:r>
            <w:r>
              <w:rPr>
                <w:rFonts w:hint="eastAsia" w:eastAsia="宋体" w:cs="Times New Roman"/>
                <w:i w:val="0"/>
                <w:color w:val="000000"/>
                <w:sz w:val="24"/>
                <w:szCs w:val="24"/>
                <w:u w:val="none"/>
                <w:lang w:val="en-US" w:eastAsia="zh-CN"/>
              </w:rPr>
              <w:t>2025年度在岗西部计划志愿者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2025年度（经常性项目）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60.11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60.11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按时拨付全国项目西部计划志愿者2610/月生活补助，年底按1000/人标准发放年终一次性奖金。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数量指标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发放志愿者人数</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19</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名</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每名志愿者发放金额</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2610</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元/人/月</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2610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质量指标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时效指标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&lt;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12</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月</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提升志愿者生活水平</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定性</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良</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eastAsia="zh-CN"/>
              </w:rPr>
              <w:t>其他</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2"/>
                <w:sz w:val="24"/>
                <w:szCs w:val="24"/>
                <w:u w:val="none"/>
                <w:lang w:val="en-US" w:eastAsia="zh-CN" w:bidi="ar-SA"/>
              </w:rPr>
              <w:t>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rPr>
              <w:t>志愿者满意率</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ascii="宋体" w:hAnsi="宋体" w:eastAsia="宋体" w:cs="宋体"/>
                <w:i w:val="0"/>
                <w:iCs w:val="0"/>
                <w:color w:val="000000"/>
                <w:kern w:val="0"/>
                <w:sz w:val="18"/>
                <w:szCs w:val="18"/>
                <w:u w:val="none"/>
                <w:lang w:val="en-US" w:eastAsia="zh-CN" w:bidi="ar"/>
              </w:rPr>
              <w:t>≥</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98</w:t>
            </w: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kern w:val="2"/>
                <w:sz w:val="24"/>
                <w:szCs w:val="24"/>
                <w:u w:val="none"/>
                <w:lang w:val="en-US" w:eastAsia="zh-CN" w:bidi="ar-SA"/>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0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9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c>
          <w:tcPr>
            <w:tcW w:w="1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kern w:val="2"/>
                <w:sz w:val="24"/>
                <w:szCs w:val="24"/>
                <w:u w:val="none"/>
                <w:lang w:val="en-US" w:eastAsia="zh-CN" w:bidi="ar-SA"/>
              </w:rPr>
            </w:pPr>
          </w:p>
        </w:tc>
      </w:tr>
    </w:tbl>
    <w:p/>
    <w:sectPr>
      <w:footerReference r:id="rId3" w:type="default"/>
      <w:pgSz w:w="11906" w:h="16838"/>
      <w:pgMar w:top="2098" w:right="1519" w:bottom="1984" w:left="1587"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
    <w:altName w:val="AR PL UKai CN"/>
    <w:panose1 w:val="00000000000000000000"/>
    <w:charset w:val="00"/>
    <w:family w:val="roman"/>
    <w:pitch w:val="default"/>
    <w:sig w:usb0="00000000" w:usb1="00000000" w:usb2="00000000" w:usb3="00000000" w:csb0="00040001" w:csb1="00000000"/>
  </w:font>
  <w:font w:name="AR PL UKai CN">
    <w:panose1 w:val="02000503000000000000"/>
    <w:charset w:val="86"/>
    <w:family w:val="auto"/>
    <w:pitch w:val="default"/>
    <w:sig w:usb0="A00002FF" w:usb1="3ACFFDFF" w:usb2="00000036" w:usb3="00000000" w:csb0="2016009F" w:csb1="DFD7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9dBt2NwIAAG8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dLSuPlT9BUyhZWGrd5bHNFEqb1fHAGk7xaNAvSroVNxgDrueDW8mDvqf&#10;+y7q8T+x/A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BQAAAAIAIdO4kCKFGY80QAAAJQBAAAL&#10;AAAAAAAAAAEAIAAAALwDAABfcmVscy8ucmVsc1BLAQIUAAoAAAAAAIdO4kAAAAAAAAAAAAAAAAAG&#10;AAAAAAAAAAAAEAAAAJgDAABfcmVscy9QSwECFAAKAAAAAACHTuJAAAAAAAAAAAAAAAAABAAAAAAA&#10;AAAAABAAAAAWAAAAZHJzL1BLAQIUABQAAAAIAIdO4kC9dBt2NwIAAG8EAAAOAAAAAAAAAAEAIAAA&#10;ADUBAABkcnMvZTJvRG9jLnhtbFBLAQIUABQAAAAIAIdO4kCzSVju0AAAAAUBAAAPAAAAAAAAAAEA&#10;IAAAADgAAABkcnMvZG93bnJldi54bWxQSwUGAAAAAAYABgBZAQAA3gUAAAAA&#10;">
              <v:fill on="f" focussize="0,0"/>
              <v:stroke on="f" weight="0.5pt"/>
              <v:imagedata o:title=""/>
              <o:lock v:ext="edit" aspectratio="f"/>
              <v:textbox inset="0mm,0mm,0mm,0mm" style="mso-fit-shape-to-text:t;">
                <w:txbxContent>
                  <w:p>
                    <w:pPr>
                      <w:pStyle w:val="6"/>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06AF5"/>
    <w:multiLevelType w:val="singleLevel"/>
    <w:tmpl w:val="90C06AF5"/>
    <w:lvl w:ilvl="0" w:tentative="0">
      <w:start w:val="2"/>
      <w:numFmt w:val="chineseCounting"/>
      <w:suff w:val="nothing"/>
      <w:lvlText w:val="（%1）"/>
      <w:lvlJc w:val="left"/>
      <w:rPr>
        <w:rFonts w:hint="eastAsia"/>
      </w:rPr>
    </w:lvl>
  </w:abstractNum>
  <w:abstractNum w:abstractNumId="1">
    <w:nsid w:val="AEA21FB9"/>
    <w:multiLevelType w:val="singleLevel"/>
    <w:tmpl w:val="AEA21FB9"/>
    <w:lvl w:ilvl="0" w:tentative="0">
      <w:start w:val="2"/>
      <w:numFmt w:val="chineseCounting"/>
      <w:suff w:val="nothing"/>
      <w:lvlText w:val="（%1）"/>
      <w:lvlJc w:val="left"/>
      <w:rPr>
        <w:rFonts w:hint="eastAsia"/>
      </w:rPr>
    </w:lvl>
  </w:abstractNum>
  <w:abstractNum w:abstractNumId="2">
    <w:nsid w:val="CDD51BE9"/>
    <w:multiLevelType w:val="singleLevel"/>
    <w:tmpl w:val="CDD51BE9"/>
    <w:lvl w:ilvl="0" w:tentative="0">
      <w:start w:val="6"/>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B72562"/>
    <w:rsid w:val="0070174C"/>
    <w:rsid w:val="01CC1456"/>
    <w:rsid w:val="139B0F39"/>
    <w:rsid w:val="1BDD4B1E"/>
    <w:rsid w:val="206C021E"/>
    <w:rsid w:val="2A1D6D65"/>
    <w:rsid w:val="2D414612"/>
    <w:rsid w:val="2EB72562"/>
    <w:rsid w:val="2FDE4179"/>
    <w:rsid w:val="338D4BBB"/>
    <w:rsid w:val="436B0EBA"/>
    <w:rsid w:val="43853221"/>
    <w:rsid w:val="43E31666"/>
    <w:rsid w:val="46B6639D"/>
    <w:rsid w:val="489E604A"/>
    <w:rsid w:val="4B1D20BB"/>
    <w:rsid w:val="525C548E"/>
    <w:rsid w:val="56C37E91"/>
    <w:rsid w:val="5AFF096E"/>
    <w:rsid w:val="5B3B2ADA"/>
    <w:rsid w:val="5B772E0F"/>
    <w:rsid w:val="5E653F23"/>
    <w:rsid w:val="65887228"/>
    <w:rsid w:val="6EC61474"/>
    <w:rsid w:val="6F1C3039"/>
    <w:rsid w:val="72DA6836"/>
    <w:rsid w:val="7BBD0870"/>
    <w:rsid w:val="7BC736D0"/>
    <w:rsid w:val="7CDB7433"/>
    <w:rsid w:val="7E1150D6"/>
    <w:rsid w:val="B27138CC"/>
    <w:rsid w:val="C567395B"/>
    <w:rsid w:val="FBDBD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table of figures1"/>
    <w:basedOn w:val="1"/>
    <w:next w:val="1"/>
    <w:qFormat/>
    <w:uiPriority w:val="0"/>
    <w:pPr>
      <w:ind w:left="200" w:leftChars="200" w:hanging="200" w:hangingChars="200"/>
    </w:pPr>
  </w:style>
  <w:style w:type="paragraph" w:styleId="3">
    <w:name w:val="Normal Indent"/>
    <w:basedOn w:val="1"/>
    <w:qFormat/>
    <w:uiPriority w:val="0"/>
    <w:pPr>
      <w:ind w:firstLine="200" w:firstLineChars="200"/>
    </w:pPr>
    <w:rPr>
      <w:rFonts w:ascii="Times New Roman" w:hAnsi="Times New Roman" w:cs="Times New Roman"/>
      <w:lang w:bidi="ar-SA"/>
    </w:rPr>
  </w:style>
  <w:style w:type="paragraph" w:styleId="4">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5">
    <w:name w:val="Body Text Indent"/>
    <w:basedOn w:val="1"/>
    <w:qFormat/>
    <w:uiPriority w:val="0"/>
    <w:pPr>
      <w:spacing w:after="120"/>
      <w:ind w:leftChars="200"/>
    </w:pPr>
    <w:rPr>
      <w:rFonts w:ascii="仿宋_GB2312"/>
      <w:szCs w:val="32"/>
    </w:rPr>
  </w:style>
  <w:style w:type="paragraph" w:styleId="6">
    <w:name w:val="footer"/>
    <w:basedOn w:val="1"/>
    <w:unhideWhenUsed/>
    <w:qFormat/>
    <w:uiPriority w:val="99"/>
    <w:pPr>
      <w:tabs>
        <w:tab w:val="center" w:pos="4153"/>
        <w:tab w:val="right" w:pos="8306"/>
      </w:tabs>
      <w:snapToGrid w:val="0"/>
      <w:jc w:val="left"/>
    </w:pPr>
    <w:rPr>
      <w:sz w:val="18"/>
      <w:szCs w:val="18"/>
      <w:lang w:val="zh-CN" w:eastAsia="zh-CN"/>
    </w:rPr>
  </w:style>
  <w:style w:type="paragraph" w:styleId="7">
    <w:name w:val="Body Text First Indent"/>
    <w:basedOn w:val="4"/>
    <w:qFormat/>
    <w:uiPriority w:val="0"/>
    <w:pPr>
      <w:ind w:firstLine="420" w:firstLineChars="100"/>
    </w:pPr>
    <w:rPr>
      <w:rFonts w:ascii="Calibri" w:hAnsi="Calibri" w:eastAsia="宋体"/>
      <w:sz w:val="21"/>
    </w:rPr>
  </w:style>
  <w:style w:type="paragraph" w:styleId="8">
    <w:name w:val="Body Text First Indent 2"/>
    <w:basedOn w:val="5"/>
    <w:unhideWhenUsed/>
    <w:qFormat/>
    <w:uiPriority w:val="99"/>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3">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customStyle="1" w:styleId="14">
    <w:name w:val="HTML Preformatted"/>
    <w:basedOn w:val="1"/>
    <w:qFormat/>
    <w:uiPriority w:val="0"/>
    <w:pPr>
      <w:jc w:val="left"/>
    </w:pPr>
    <w:rPr>
      <w:rFonts w:hint="eastAsia" w:ascii="宋体" w:hAnsi="宋体" w:eastAsia="宋体" w:cs="宋体"/>
      <w:kern w:val="0"/>
      <w:sz w:val="24"/>
      <w:szCs w:val="24"/>
      <w:lang w:val="en-US" w:eastAsia="zh-CN"/>
    </w:rPr>
  </w:style>
  <w:style w:type="paragraph" w:customStyle="1" w:styleId="15">
    <w:name w:val="table of figures"/>
    <w:basedOn w:val="1"/>
    <w:next w:val="1"/>
    <w:qFormat/>
    <w:uiPriority w:val="0"/>
    <w:pPr>
      <w:ind w:left="200" w:leftChars="200" w:hanging="200" w:hanging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5045</Words>
  <Characters>5322</Characters>
  <Lines>0</Lines>
  <Paragraphs>0</Paragraphs>
  <TotalTime>19</TotalTime>
  <ScaleCrop>false</ScaleCrop>
  <LinksUpToDate>false</LinksUpToDate>
  <CharactersWithSpaces>5406</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2026-03-28T01:22:00Z</dcterms:created>
  <dc:creator>木心</dc:creator>
  <cp:lastModifiedBy>user</cp:lastModifiedBy>
  <cp:lastPrinted>2026-04-09T18:11:00Z</cp:lastPrinted>
  <dcterms:modified xsi:type="dcterms:W3CDTF">2026-09-24T09:46:21Z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17ACA23DD06DF4FEED80B46AEBD59D52</vt:lpwstr>
  </property>
  <property fmtid="{D5CDD505-2E9C-101B-9397-08002B2CF9AE}" pid="4" name="KSOTemplateDocerSaveRecord">
    <vt:lpwstr>eyJoZGlkIjoiNzBjMGQzZGNlZWU1YWI5YTM2MDQzYjFhMzQzZTA2YzciLCJ1c2VySWQiOiIzMDgzODU2MjYifQ==</vt:lpwstr>
  </property>
</Properties>
</file>