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20" w:lineRule="exact"/>
        <w:rPr>
          <w:rFonts w:hint="eastAsia"/>
          <w:lang w:eastAsia="zh-CN"/>
        </w:rPr>
      </w:pPr>
      <w:r>
        <w:rPr>
          <w:rFonts w:hint="eastAsia" w:eastAsia="宋体"/>
          <w:sz w:val="32"/>
          <w:szCs w:val="32"/>
          <w:lang w:eastAsia="zh-CN"/>
        </w:rPr>
        <w:drawing>
          <wp:anchor distT="0" distB="0" distL="114300" distR="114300" simplePos="0" relativeHeight="251660288" behindDoc="1" locked="0" layoutInCell="1" allowOverlap="1">
            <wp:simplePos x="0" y="0"/>
            <wp:positionH relativeFrom="column">
              <wp:posOffset>84455</wp:posOffset>
            </wp:positionH>
            <wp:positionV relativeFrom="paragraph">
              <wp:posOffset>58420</wp:posOffset>
            </wp:positionV>
            <wp:extent cx="5663565" cy="2113915"/>
            <wp:effectExtent l="0" t="0" r="13335" b="635"/>
            <wp:wrapNone/>
            <wp:docPr id="2" name="图片 2" descr="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01010"/>
                    <pic:cNvPicPr>
                      <a:picLocks noChangeAspect="1"/>
                    </pic:cNvPicPr>
                  </pic:nvPicPr>
                  <pic:blipFill>
                    <a:blip r:embed="rId5"/>
                    <a:stretch>
                      <a:fillRect/>
                    </a:stretch>
                  </pic:blipFill>
                  <pic:spPr>
                    <a:xfrm>
                      <a:off x="0" y="0"/>
                      <a:ext cx="5663565" cy="211391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sz w:val="32"/>
          <w:szCs w:val="32"/>
          <w:lang w:eastAsia="zh-CN"/>
        </w:rPr>
      </w:pPr>
    </w:p>
    <w:p>
      <w:pPr>
        <w:keepNext w:val="0"/>
        <w:keepLines w:val="0"/>
        <w:pageBreakBefore w:val="0"/>
        <w:kinsoku/>
        <w:wordWrap/>
        <w:overflowPunct/>
        <w:topLinePunct w:val="0"/>
        <w:autoSpaceDE/>
        <w:autoSpaceDN/>
        <w:bidi w:val="0"/>
        <w:spacing w:line="520" w:lineRule="exact"/>
        <w:ind w:left="0" w:leftChars="0" w:firstLine="640" w:firstLineChars="20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Times New Roman" w:hAnsi="Times New Roman" w:eastAsia="方正小标宋简体" w:cs="Times New Roman"/>
          <w:b w:val="0"/>
          <w:bCs/>
          <w:sz w:val="44"/>
          <w:szCs w:val="44"/>
          <w:highlight w:val="none"/>
          <w:shd w:val="clear" w:color="auto" w:fill="FFFFFF"/>
          <w:lang w:val="en-US" w:eastAsia="zh-CN"/>
        </w:rPr>
      </w:pPr>
      <w:r>
        <w:rPr>
          <w:rFonts w:hint="eastAsia" w:ascii="仿宋_GB2312" w:hAnsi="仿宋" w:eastAsia="仿宋_GB2312"/>
          <w:kern w:val="0"/>
          <w:sz w:val="32"/>
          <w:szCs w:val="32"/>
        </w:rPr>
        <w:t>黑青〔202</w:t>
      </w:r>
      <w:r>
        <w:rPr>
          <w:rFonts w:hint="eastAsia" w:ascii="仿宋_GB2312" w:hAnsi="仿宋"/>
          <w:kern w:val="0"/>
          <w:sz w:val="32"/>
          <w:szCs w:val="32"/>
          <w:lang w:val="en-US" w:eastAsia="zh-CN"/>
        </w:rPr>
        <w:t>6</w:t>
      </w:r>
      <w:r>
        <w:rPr>
          <w:rFonts w:hint="eastAsia" w:ascii="仿宋_GB2312" w:hAnsi="仿宋" w:eastAsia="仿宋_GB2312"/>
          <w:kern w:val="0"/>
          <w:sz w:val="32"/>
          <w:szCs w:val="32"/>
        </w:rPr>
        <w:t>〕</w:t>
      </w:r>
      <w:r>
        <w:rPr>
          <w:rFonts w:hint="eastAsia" w:ascii="仿宋_GB2312" w:hAnsi="仿宋"/>
          <w:kern w:val="0"/>
          <w:sz w:val="32"/>
          <w:szCs w:val="32"/>
          <w:lang w:val="en-US" w:eastAsia="zh-CN"/>
        </w:rPr>
        <w:t>5</w:t>
      </w:r>
      <w:r>
        <w:rPr>
          <w:rFonts w:hint="eastAsia" w:ascii="仿宋_GB2312" w:hAnsi="仿宋" w:eastAsia="仿宋_GB2312"/>
          <w:kern w:val="0"/>
          <w:sz w:val="32"/>
          <w:szCs w:val="32"/>
        </w:rPr>
        <w:t xml:space="preserve">号                   </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rPr>
        <w:t>签发人：</w:t>
      </w:r>
      <w:r>
        <w:rPr>
          <w:rFonts w:hint="eastAsia" w:ascii="楷体_GB2312" w:hAnsi="楷体_GB2312" w:eastAsia="楷体_GB2312" w:cs="楷体_GB2312"/>
          <w:b w:val="0"/>
          <w:bCs w:val="0"/>
          <w:kern w:val="0"/>
          <w:sz w:val="32"/>
          <w:szCs w:val="32"/>
          <w:lang w:eastAsia="zh-CN"/>
        </w:rPr>
        <w:t>汪琪旭</w:t>
      </w:r>
      <w:r>
        <w:rPr>
          <w:rFonts w:hint="eastAsia" w:ascii="仿宋" w:hAnsi="仿宋" w:eastAsia="仿宋"/>
          <w:kern w:val="0"/>
          <w:sz w:val="32"/>
          <w:szCs w:val="32"/>
        </w:rPr>
        <w:t xml:space="preserve">    </w:t>
      </w:r>
    </w:p>
    <w:p>
      <w:pPr>
        <w:widowControl/>
        <w:spacing w:line="578" w:lineRule="exact"/>
        <w:contextualSpacing/>
        <w:jc w:val="left"/>
        <w:rPr>
          <w:rFonts w:eastAsia="宋体"/>
          <w:b/>
          <w:sz w:val="44"/>
          <w:szCs w:val="44"/>
          <w:shd w:val="clear" w:color="auto" w:fill="FFFFFF"/>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default"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共青团黑水</w:t>
      </w:r>
      <w:r>
        <w:rPr>
          <w:rFonts w:hint="eastAsia" w:eastAsia="方正小标宋_GBK" w:cs="Times New Roman"/>
          <w:sz w:val="44"/>
          <w:szCs w:val="44"/>
          <w:lang w:val="en-US" w:eastAsia="zh-CN" w:bidi="ar-SA"/>
        </w:rPr>
        <w:t>县委</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2025年度地方项目办志愿者经费专项资金预算项目支出绩效自评报告</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highlight w:val="none"/>
          <w:lang w:val="zh-CN"/>
        </w:rPr>
      </w:pPr>
      <w:r>
        <w:rPr>
          <w:rFonts w:hint="default" w:ascii="Times New Roman" w:hAnsi="Times New Roman" w:eastAsia="黑体" w:cs="Times New Roman"/>
          <w:highlight w:val="none"/>
        </w:rPr>
        <w:t>一、</w:t>
      </w:r>
      <w:r>
        <w:rPr>
          <w:rFonts w:hint="default" w:ascii="Times New Roman" w:hAnsi="Times New Roman" w:eastAsia="黑体" w:cs="Times New Roman"/>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为保障地方项目办西部计划志愿者的基本生活与服务保障需求，更好地服务青年群体、助力乡村振兴战略实施，中国共产主义青年团黑水县委员会（以下简称 “团县委”）作为实施单位，负责地方项目办志愿者经费的统筹管理与使用。2025年度，该经费主要用于地方项目办志愿者生活补助、社保缴纳、岗位补贴发放，以及年终一次性生活补贴、体检费、培训经费和重大节假日慰问经费报销等工作，切实做好志愿者关心关爱与日常保障，推动西部计划志愿服务工作有序开展。</w:t>
      </w:r>
    </w:p>
    <w:p>
      <w:pPr>
        <w:keepNext w:val="0"/>
        <w:keepLines w:val="0"/>
        <w:pageBreakBefore w:val="0"/>
        <w:numPr>
          <w:ilvl w:val="0"/>
          <w:numId w:val="1"/>
        </w:numPr>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项目实施目的为足额保障地方项目办志愿者各项待遇落实，解决志愿者服务期间的生活、保障等实际问题，提升志愿者服务积极性与稳定性，进一步提高志愿服务效率，更好地发挥西部计划志愿者在地方发展中的服务作用。项目资金专项用于地方项目办志愿者社保费用缴纳、生活补助发放、年终一次性生活补贴兑现，以及志愿者体检、培训、重大节假日慰问等相关经费支出，定向支持志愿者服务保障工作，无其他使用方向。</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项目资金来源为财政资金，年初预算数30.58万元，经调整后预算数28.54万元，实际批复金额与调整后预算一致，符合财政资金预算管理及地方项目办志愿者保障相关规定。资金分配管理严格遵循按人核算、按月拨付、按时缴纳原则：根据生活补助标准精准核算6名地方项目办志愿者补助金额；根据社保缴纳标准核算志愿者五险费用、按要求发放年终一次性生活补助、按要求开展重大节假日志愿者慰问。2025年度实际执行资金28.54万元，预算执行率100%，资金拨付、缴纳流程规范，无截留、挪用、超支情况。</w:t>
      </w:r>
    </w:p>
    <w:p>
      <w:pPr>
        <w:numPr>
          <w:ilvl w:val="0"/>
          <w:numId w:val="1"/>
        </w:numPr>
        <w:ind w:left="0" w:leftChars="0" w:firstLine="642" w:firstLineChars="200"/>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根据项目实施内容，设置产出指标、效益指标、满意度指标三大类绩效指标，具体如下：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1.</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产出指标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数量指标（地方项目办人数=6人）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时效指标（按时足额发放率=100%）</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2. 效益指标：社会效益指标（提高服务效率，定性为优良）</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3. 满意度指标：服务对象满意度指标（西部计划志愿者满意度=95%）</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highlight w:val="none"/>
          <w:lang w:eastAsia="zh-CN"/>
        </w:rPr>
      </w:pPr>
      <w:r>
        <w:rPr>
          <w:rFonts w:hint="default" w:ascii="Times New Roman" w:hAnsi="Times New Roman" w:eastAsia="黑体" w:cs="Times New Roman"/>
          <w:highlight w:val="none"/>
        </w:rPr>
        <w:t>二、</w:t>
      </w:r>
      <w:r>
        <w:rPr>
          <w:rFonts w:hint="default" w:ascii="Times New Roman" w:hAnsi="Times New Roman" w:eastAsia="黑体" w:cs="Times New Roman"/>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通过本次绩效自评，全面核查地方项目办志愿者生活补助发放、社保</w:t>
      </w:r>
      <w:bookmarkStart w:id="0" w:name="_GoBack"/>
      <w:bookmarkEnd w:id="0"/>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缴纳、年终一次性生活补贴、报销志愿者体检费、培训经费及重大节假日志愿者慰问工作落实情况，检验项目资金使用效益和志愿者保障效果，优化项目资金管理流程，进一步完善地方项目办志愿者保障体系，提升志愿者服务管理水平，推动县域地方项目办西部计划志愿服务工作高质量开展。</w:t>
      </w:r>
    </w:p>
    <w:p>
      <w:pPr>
        <w:keepNext w:val="0"/>
        <w:keepLines w:val="0"/>
        <w:pageBreakBefore w:val="0"/>
        <w:widowControl w:val="0"/>
        <w:numPr>
          <w:ilvl w:val="0"/>
          <w:numId w:val="2"/>
        </w:numPr>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预设问题及评价重点。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次评价围绕资金支出使用全过程及项目实施效果开展综合评价，预设问题主要包括：是否严格按照资金管理办法使用经费、是否按进度足额拨付各项补贴费用、是否切实达到志愿者保障的目标效果。评价重点为资金管理规范性和项目实施效果，核查资金使用与预算的匹配性、各项保障措施的落实情况及志愿者的实际反馈。</w:t>
      </w:r>
    </w:p>
    <w:p>
      <w:pPr>
        <w:keepNext w:val="0"/>
        <w:keepLines w:val="0"/>
        <w:pageBreakBefore w:val="0"/>
        <w:widowControl w:val="0"/>
        <w:numPr>
          <w:ilvl w:val="0"/>
          <w:numId w:val="2"/>
        </w:numPr>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评价选点。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本次项目绩效自评选取黑水县本级作为实地踏勘点位，聚焦地方项目办志愿者经费的实际使用、各项补贴发放及志愿者保障工作落地情况，开展现场核查与资料核验</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w:t>
      </w:r>
    </w:p>
    <w:p>
      <w:pPr>
        <w:keepNext w:val="0"/>
        <w:keepLines w:val="0"/>
        <w:pageBreakBefore w:val="0"/>
        <w:widowControl w:val="0"/>
        <w:numPr>
          <w:ilvl w:val="0"/>
          <w:numId w:val="2"/>
        </w:numPr>
        <w:kinsoku/>
        <w:wordWrap/>
        <w:overflowPunct/>
        <w:topLinePunct w:val="0"/>
        <w:autoSpaceDE/>
        <w:autoSpaceDN/>
        <w:bidi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评价方法。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bCs/>
          <w:color w:val="auto"/>
          <w:sz w:val="32"/>
          <w:szCs w:val="32"/>
          <w:u w:val="none"/>
          <w:lang w:val="en-US" w:eastAsia="zh-CN"/>
        </w:rPr>
      </w:pPr>
      <w:r>
        <w:rPr>
          <w:rFonts w:hint="eastAsia" w:ascii="仿宋_GB2312" w:hAnsi="仿宋_GB2312" w:eastAsia="仿宋_GB2312" w:cs="仿宋_GB2312"/>
          <w:b w:val="0"/>
          <w:bCs/>
          <w:color w:val="auto"/>
          <w:sz w:val="32"/>
          <w:szCs w:val="32"/>
          <w:u w:val="none"/>
          <w:lang w:val="en-US" w:eastAsia="zh-CN"/>
        </w:rPr>
        <w:t>据项目特点及评价重点，本次绩效评价采用单位自评法，结合资料分析整理、实地核查等方式，对项目绩效进行全面、客观的评价与打分。</w:t>
      </w:r>
    </w:p>
    <w:p>
      <w:pPr>
        <w:keepNext w:val="0"/>
        <w:keepLines w:val="0"/>
        <w:pageBreakBefore w:val="0"/>
        <w:widowControl w:val="0"/>
        <w:numPr>
          <w:ilvl w:val="0"/>
          <w:numId w:val="2"/>
        </w:numPr>
        <w:kinsoku/>
        <w:wordWrap/>
        <w:overflowPunct/>
        <w:topLinePunct w:val="0"/>
        <w:autoSpaceDE/>
        <w:autoSpaceDN/>
        <w:bidi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评价组织。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bCs/>
          <w:color w:val="auto"/>
          <w:sz w:val="32"/>
          <w:szCs w:val="32"/>
          <w:u w:val="none"/>
          <w:lang w:val="en-US" w:eastAsia="zh-CN"/>
        </w:rPr>
      </w:pPr>
      <w:r>
        <w:rPr>
          <w:rFonts w:hint="default" w:ascii="仿宋_GB2312" w:hAnsi="仿宋_GB2312" w:eastAsia="仿宋_GB2312" w:cs="仿宋_GB2312"/>
          <w:b w:val="0"/>
          <w:bCs/>
          <w:color w:val="auto"/>
          <w:sz w:val="32"/>
          <w:szCs w:val="32"/>
          <w:u w:val="none"/>
          <w:lang w:val="en-US" w:eastAsia="zh-CN"/>
        </w:rPr>
        <w:t>本次评价工作由团县委牵头组织，成立由项目办工作人员、财务工作人员组成的评价组，财务分管领导担任组长。评价组通过收集项目预算、执行、资金支付等相关资料，开展实地踏勘核查，组织内部座谈讨论，对项目各项绩效指标完成情况进行逐项分析、评分，形成自评结论。</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bCs/>
          <w:color w:val="auto"/>
          <w:sz w:val="32"/>
          <w:szCs w:val="32"/>
          <w:u w:val="none"/>
          <w:lang w:val="en-US" w:eastAsia="zh-CN"/>
        </w:rPr>
      </w:pPr>
      <w:r>
        <w:rPr>
          <w:rFonts w:hint="default" w:ascii="仿宋_GB2312" w:hAnsi="仿宋_GB2312" w:eastAsia="仿宋_GB2312" w:cs="仿宋_GB2312"/>
          <w:b w:val="0"/>
          <w:bCs/>
          <w:color w:val="auto"/>
          <w:sz w:val="32"/>
          <w:szCs w:val="32"/>
          <w:u w:val="none"/>
          <w:lang w:val="en-US" w:eastAsia="zh-CN"/>
        </w:rPr>
        <w:t>本次绩效评价依据专项预算项目绩效评价指标体系，从通用指标、专用指标两大维度开展逐项分析并评分，项目无个性指标设置，最终自评总得分为 9</w:t>
      </w:r>
      <w:r>
        <w:rPr>
          <w:rFonts w:hint="eastAsia" w:ascii="仿宋_GB2312" w:hAnsi="仿宋_GB2312" w:cs="仿宋_GB2312"/>
          <w:b w:val="0"/>
          <w:bCs/>
          <w:color w:val="auto"/>
          <w:sz w:val="32"/>
          <w:szCs w:val="32"/>
          <w:u w:val="none"/>
          <w:lang w:val="en-US" w:eastAsia="zh-CN"/>
        </w:rPr>
        <w:t>4</w:t>
      </w:r>
      <w:r>
        <w:rPr>
          <w:rFonts w:hint="default" w:ascii="仿宋_GB2312" w:hAnsi="仿宋_GB2312" w:eastAsia="仿宋_GB2312" w:cs="仿宋_GB2312"/>
          <w:b w:val="0"/>
          <w:bCs/>
          <w:color w:val="auto"/>
          <w:sz w:val="32"/>
          <w:szCs w:val="32"/>
          <w:u w:val="none"/>
          <w:lang w:val="en-US" w:eastAsia="zh-CN"/>
        </w:rPr>
        <w:t xml:space="preserve"> 分，评价结果为优秀。</w:t>
      </w:r>
    </w:p>
    <w:p>
      <w:pPr>
        <w:keepNext w:val="0"/>
        <w:keepLines w:val="0"/>
        <w:pageBreakBefore w:val="0"/>
        <w:widowControl w:val="0"/>
        <w:suppressAutoHyphens/>
        <w:kinsoku/>
        <w:wordWrap/>
        <w:overflowPunct/>
        <w:topLinePunct w:val="0"/>
        <w:autoSpaceDE/>
        <w:autoSpaceDN/>
        <w:bidi w:val="0"/>
        <w:adjustRightInd/>
        <w:snapToGrid/>
        <w:spacing w:line="570" w:lineRule="exact"/>
        <w:ind w:firstLine="642" w:firstLineChars="200"/>
        <w:textAlignment w:val="auto"/>
        <w:outlineLvl w:val="9"/>
        <w:rPr>
          <w:rFonts w:hint="default" w:ascii="楷体_GB2312" w:hAnsi="宋体" w:eastAsia="楷体_GB2312" w:cs="Times New Roman"/>
          <w:b/>
          <w:color w:val="auto"/>
          <w:sz w:val="32"/>
          <w:szCs w:val="32"/>
          <w:highlight w:val="none"/>
          <w:u w:val="none"/>
          <w:lang w:val="en-US" w:eastAsia="zh-CN"/>
        </w:rPr>
      </w:pPr>
      <w:r>
        <w:rPr>
          <w:rFonts w:hint="default" w:ascii="楷体_GB2312" w:hAnsi="宋体" w:eastAsia="楷体_GB2312" w:cs="Times New Roman"/>
          <w:b/>
          <w:color w:val="auto"/>
          <w:sz w:val="32"/>
          <w:szCs w:val="32"/>
          <w:highlight w:val="none"/>
          <w:u w:val="none"/>
          <w:lang w:val="en-US" w:eastAsia="zh-CN"/>
        </w:rPr>
        <w:t>（一）通用指标绩效分析（满分 54 分，自评得分 52 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eastAsia="仿宋_GB2312" w:cs="Times New Roman"/>
          <w:szCs w:val="32"/>
          <w:lang w:val="en-US" w:eastAsia="zh-CN"/>
        </w:rPr>
      </w:pPr>
      <w:r>
        <w:rPr>
          <w:rFonts w:hint="eastAsia" w:ascii="Times New Roman" w:hAnsi="Times New Roman" w:eastAsia="楷体_GB2312" w:cs="Times New Roman"/>
          <w:color w:val="auto"/>
          <w:szCs w:val="32"/>
          <w:lang w:val="en-US" w:eastAsia="zh-CN"/>
        </w:rPr>
        <w:t>1.</w:t>
      </w:r>
      <w:r>
        <w:rPr>
          <w:rFonts w:hint="default" w:ascii="Times New Roman" w:hAnsi="Times New Roman" w:eastAsia="楷体_GB2312" w:cs="Times New Roman"/>
          <w:color w:val="auto"/>
          <w:szCs w:val="32"/>
          <w:lang w:val="en-US" w:eastAsia="zh-CN"/>
        </w:rPr>
        <w:t>项目决策（满分 18 分，自评得分 18 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（1）</w:t>
      </w:r>
      <w:r>
        <w:rPr>
          <w:rFonts w:hint="default" w:ascii="仿宋_GB2312" w:hAnsi="仿宋_GB2312" w:cs="仿宋_GB2312"/>
          <w:b/>
          <w:bCs/>
          <w:sz w:val="32"/>
          <w:szCs w:val="32"/>
          <w:highlight w:val="none"/>
          <w:lang w:val="en-US" w:eastAsia="zh-CN"/>
        </w:rPr>
        <w:t>决策程序（6 分，得 6 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bCs/>
          <w:color w:val="auto"/>
          <w:sz w:val="32"/>
          <w:szCs w:val="32"/>
          <w:u w:val="none"/>
          <w:lang w:val="en-US" w:eastAsia="zh-CN"/>
        </w:rPr>
      </w:pPr>
      <w:r>
        <w:rPr>
          <w:rFonts w:hint="default" w:ascii="仿宋_GB2312" w:hAnsi="仿宋_GB2312" w:eastAsia="仿宋_GB2312" w:cs="仿宋_GB2312"/>
          <w:b w:val="0"/>
          <w:bCs/>
          <w:color w:val="auto"/>
          <w:sz w:val="32"/>
          <w:szCs w:val="32"/>
          <w:u w:val="none"/>
          <w:lang w:val="en-US" w:eastAsia="zh-CN"/>
        </w:rPr>
        <w:t>项目设立紧扣地方项目办志愿者保障实际需求，严格按照上级相关规定及资金管理要求，科学制定项目实施方案并开展专题研究，项目实施全程严格遵循资金专款专用原则，决策程序严密、合规。</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w:t>
      </w:r>
      <w:r>
        <w:rPr>
          <w:rFonts w:hint="default" w:ascii="仿宋_GB2312" w:hAnsi="仿宋_GB2312" w:cs="仿宋_GB2312"/>
          <w:b/>
          <w:bCs/>
          <w:sz w:val="32"/>
          <w:szCs w:val="32"/>
          <w:highlight w:val="none"/>
          <w:lang w:val="en-US" w:eastAsia="zh-CN"/>
        </w:rPr>
        <w:t>规划论证（6 分，得 6 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bCs/>
          <w:color w:val="auto"/>
          <w:sz w:val="32"/>
          <w:szCs w:val="32"/>
          <w:u w:val="none"/>
          <w:lang w:val="en-US" w:eastAsia="zh-CN"/>
        </w:rPr>
      </w:pPr>
      <w:r>
        <w:rPr>
          <w:rFonts w:hint="default" w:ascii="仿宋_GB2312" w:hAnsi="仿宋_GB2312" w:eastAsia="仿宋_GB2312" w:cs="仿宋_GB2312"/>
          <w:b w:val="0"/>
          <w:bCs/>
          <w:color w:val="auto"/>
          <w:sz w:val="32"/>
          <w:szCs w:val="32"/>
          <w:u w:val="none"/>
          <w:lang w:val="en-US" w:eastAsia="zh-CN"/>
        </w:rPr>
        <w:t>项目实施前期按规定完成规划论证，符合省、州、县关于西部计划志愿者经费管理的相关要求；绩效目标设置涵盖产出、效益、满意度三大类，指标清晰、量化明确，与项目工作任务高度契合，绩效目标设置科学合理。</w:t>
      </w:r>
    </w:p>
    <w:p>
      <w:pPr>
        <w:keepNext w:val="0"/>
        <w:keepLines w:val="0"/>
        <w:pageBreakBefore w:val="0"/>
        <w:widowControl w:val="0"/>
        <w:numPr>
          <w:ilvl w:val="0"/>
          <w:numId w:val="3"/>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default" w:ascii="仿宋_GB2312" w:hAnsi="仿宋_GB2312" w:cs="仿宋_GB2312"/>
          <w:b/>
          <w:bCs/>
          <w:sz w:val="32"/>
          <w:szCs w:val="32"/>
          <w:highlight w:val="none"/>
          <w:lang w:val="en-US" w:eastAsia="zh-CN"/>
        </w:rPr>
        <w:t>资金投向（6 分，得 6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项目资金严格按照西部计划志愿者服务管理相关办法使用，聚焦志愿者社保、生活补助、培训慰问等核心保障环节，资金投向与项目总体规划高度匹配，专项专用、管理规范。</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eastAsia="楷体_GB2312" w:cs="Times New Roman"/>
          <w:color w:val="auto"/>
          <w:szCs w:val="32"/>
          <w:lang w:val="en-US" w:eastAsia="zh-CN"/>
        </w:rPr>
      </w:pPr>
      <w:r>
        <w:rPr>
          <w:rFonts w:hint="eastAsia" w:ascii="Times New Roman" w:hAnsi="Times New Roman" w:eastAsia="楷体_GB2312" w:cs="Times New Roman"/>
          <w:color w:val="auto"/>
          <w:szCs w:val="32"/>
          <w:lang w:val="en-US" w:eastAsia="zh-CN"/>
        </w:rPr>
        <w:t>2.</w:t>
      </w:r>
      <w:r>
        <w:rPr>
          <w:rFonts w:hint="default" w:ascii="Times New Roman" w:hAnsi="Times New Roman" w:eastAsia="楷体_GB2312" w:cs="Times New Roman"/>
          <w:color w:val="auto"/>
          <w:szCs w:val="32"/>
          <w:lang w:val="en-US" w:eastAsia="zh-CN"/>
        </w:rPr>
        <w:t xml:space="preserve">项目管理（满分 18 分，自评得分 </w:t>
      </w:r>
      <w:r>
        <w:rPr>
          <w:rFonts w:hint="eastAsia" w:eastAsia="楷体_GB2312" w:cs="Times New Roman"/>
          <w:color w:val="auto"/>
          <w:szCs w:val="32"/>
          <w:lang w:val="en-US" w:eastAsia="zh-CN"/>
        </w:rPr>
        <w:t>16</w:t>
      </w:r>
      <w:r>
        <w:rPr>
          <w:rFonts w:hint="default" w:ascii="Times New Roman" w:hAnsi="Times New Roman" w:eastAsia="楷体_GB2312" w:cs="Times New Roman"/>
          <w:color w:val="auto"/>
          <w:szCs w:val="32"/>
          <w:lang w:val="en-US" w:eastAsia="zh-CN"/>
        </w:rPr>
        <w:t xml:space="preserve"> 分）</w:t>
      </w:r>
    </w:p>
    <w:p>
      <w:pPr>
        <w:keepNext w:val="0"/>
        <w:keepLines w:val="0"/>
        <w:pageBreakBefore w:val="0"/>
        <w:widowControl w:val="0"/>
        <w:numPr>
          <w:ilvl w:val="0"/>
          <w:numId w:val="0"/>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（1）</w:t>
      </w:r>
      <w:r>
        <w:rPr>
          <w:rFonts w:hint="default" w:ascii="仿宋_GB2312" w:hAnsi="仿宋_GB2312" w:cs="仿宋_GB2312"/>
          <w:b/>
          <w:bCs/>
          <w:sz w:val="32"/>
          <w:szCs w:val="32"/>
          <w:highlight w:val="none"/>
          <w:lang w:val="en-US" w:eastAsia="zh-CN"/>
        </w:rPr>
        <w:t xml:space="preserve">制度办法（2 分，得 </w:t>
      </w:r>
      <w:r>
        <w:rPr>
          <w:rFonts w:hint="eastAsia" w:ascii="仿宋_GB2312" w:hAnsi="仿宋_GB2312" w:cs="仿宋_GB2312"/>
          <w:b/>
          <w:bCs/>
          <w:sz w:val="32"/>
          <w:szCs w:val="32"/>
          <w:highlight w:val="none"/>
          <w:lang w:val="en-US" w:eastAsia="zh-CN"/>
        </w:rPr>
        <w:t>1</w:t>
      </w:r>
      <w:r>
        <w:rPr>
          <w:rFonts w:hint="default" w:ascii="仿宋_GB2312" w:hAnsi="仿宋_GB2312" w:cs="仿宋_GB2312"/>
          <w:b/>
          <w:bCs/>
          <w:sz w:val="32"/>
          <w:szCs w:val="32"/>
          <w:highlight w:val="none"/>
          <w:lang w:val="en-US" w:eastAsia="zh-CN"/>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建立健全项目资金管理制度和志愿者经费发放流程，制度体系健全、要素完备，为资金规范使用提供制度保障。</w:t>
      </w:r>
    </w:p>
    <w:p>
      <w:pPr>
        <w:keepNext w:val="0"/>
        <w:keepLines w:val="0"/>
        <w:pageBreakBefore w:val="0"/>
        <w:widowControl w:val="0"/>
        <w:numPr>
          <w:ilvl w:val="0"/>
          <w:numId w:val="0"/>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w:t>
      </w:r>
      <w:r>
        <w:rPr>
          <w:rFonts w:hint="default" w:ascii="仿宋_GB2312" w:hAnsi="仿宋_GB2312" w:cs="仿宋_GB2312"/>
          <w:b/>
          <w:bCs/>
          <w:sz w:val="32"/>
          <w:szCs w:val="32"/>
          <w:highlight w:val="none"/>
          <w:lang w:val="en-US" w:eastAsia="zh-CN"/>
        </w:rPr>
        <w:t>分配管理（10 分，得 10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资金分配根据志愿者人数、保障标准等实际因素确定，权重设置合理，资金审批、拨付、使用全流程符合管理要求，无违规分配情况。</w:t>
      </w:r>
    </w:p>
    <w:p>
      <w:pPr>
        <w:keepNext w:val="0"/>
        <w:keepLines w:val="0"/>
        <w:pageBreakBefore w:val="0"/>
        <w:widowControl w:val="0"/>
        <w:numPr>
          <w:ilvl w:val="0"/>
          <w:numId w:val="0"/>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（3）</w:t>
      </w:r>
      <w:r>
        <w:rPr>
          <w:rFonts w:hint="default" w:ascii="仿宋_GB2312" w:hAnsi="仿宋_GB2312" w:cs="仿宋_GB2312"/>
          <w:b/>
          <w:bCs/>
          <w:sz w:val="32"/>
          <w:szCs w:val="32"/>
          <w:highlight w:val="none"/>
          <w:lang w:val="en-US" w:eastAsia="zh-CN"/>
        </w:rPr>
        <w:t xml:space="preserve">绩效监管（6 分，得 </w:t>
      </w:r>
      <w:r>
        <w:rPr>
          <w:rFonts w:hint="eastAsia" w:ascii="仿宋_GB2312" w:hAnsi="仿宋_GB2312" w:cs="仿宋_GB2312"/>
          <w:b/>
          <w:bCs/>
          <w:sz w:val="32"/>
          <w:szCs w:val="32"/>
          <w:highlight w:val="none"/>
          <w:lang w:val="en-US" w:eastAsia="zh-CN"/>
        </w:rPr>
        <w:t>5</w:t>
      </w:r>
      <w:r>
        <w:rPr>
          <w:rFonts w:hint="default" w:ascii="仿宋_GB2312" w:hAnsi="仿宋_GB2312" w:cs="仿宋_GB2312"/>
          <w:b/>
          <w:bCs/>
          <w:sz w:val="32"/>
          <w:szCs w:val="32"/>
          <w:highlight w:val="none"/>
          <w:lang w:val="en-US" w:eastAsia="zh-CN"/>
        </w:rPr>
        <w:t xml:space="preserve">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将绩效监管融入资金管理和项目实施全过程，定期核查经费发放、使用情况，对项目实施效果进行跟踪反馈，对下指导、内部监管有力有效。</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eastAsia="楷体_GB2312" w:cs="Times New Roman"/>
          <w:color w:val="auto"/>
          <w:szCs w:val="32"/>
          <w:lang w:val="en-US" w:eastAsia="zh-CN"/>
        </w:rPr>
      </w:pPr>
      <w:r>
        <w:rPr>
          <w:rFonts w:hint="eastAsia" w:ascii="Times New Roman" w:hAnsi="Times New Roman" w:eastAsia="楷体_GB2312" w:cs="Times New Roman"/>
          <w:color w:val="auto"/>
          <w:szCs w:val="32"/>
          <w:lang w:val="en-US" w:eastAsia="zh-CN"/>
        </w:rPr>
        <w:t>3.</w:t>
      </w:r>
      <w:r>
        <w:rPr>
          <w:rFonts w:hint="default" w:ascii="Times New Roman" w:hAnsi="Times New Roman" w:eastAsia="楷体_GB2312" w:cs="Times New Roman"/>
          <w:color w:val="auto"/>
          <w:szCs w:val="32"/>
          <w:lang w:val="en-US" w:eastAsia="zh-CN"/>
        </w:rPr>
        <w:t>项目实施（满分 9 分，自评得分 9 分）</w:t>
      </w:r>
    </w:p>
    <w:p>
      <w:pPr>
        <w:keepNext w:val="0"/>
        <w:keepLines w:val="0"/>
        <w:pageBreakBefore w:val="0"/>
        <w:widowControl w:val="0"/>
        <w:numPr>
          <w:ilvl w:val="0"/>
          <w:numId w:val="0"/>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（1）</w:t>
      </w:r>
      <w:r>
        <w:rPr>
          <w:rFonts w:hint="default" w:ascii="仿宋_GB2312" w:hAnsi="仿宋_GB2312" w:cs="仿宋_GB2312"/>
          <w:b/>
          <w:bCs/>
          <w:sz w:val="32"/>
          <w:szCs w:val="32"/>
          <w:highlight w:val="none"/>
          <w:lang w:val="en-US" w:eastAsia="zh-CN"/>
        </w:rPr>
        <w:t>预算执行（6 分，得 6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项目年初预算 30.58 万元，调整后预算 28.54 万元，财政资金足额拨付，单位预算执行率 100%，无资金截留、挪用情况。</w:t>
      </w:r>
    </w:p>
    <w:p>
      <w:pPr>
        <w:keepNext w:val="0"/>
        <w:keepLines w:val="0"/>
        <w:pageBreakBefore w:val="0"/>
        <w:widowControl w:val="0"/>
        <w:numPr>
          <w:ilvl w:val="0"/>
          <w:numId w:val="0"/>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w:t>
      </w:r>
      <w:r>
        <w:rPr>
          <w:rFonts w:hint="default" w:ascii="仿宋_GB2312" w:hAnsi="仿宋_GB2312" w:cs="仿宋_GB2312"/>
          <w:b/>
          <w:bCs/>
          <w:sz w:val="32"/>
          <w:szCs w:val="32"/>
          <w:highlight w:val="none"/>
          <w:lang w:val="en-US" w:eastAsia="zh-CN"/>
        </w:rPr>
        <w:t>资金使用（3 分，得 3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资金拨付及时、使用规范，各项费用支出均符合财政资金管理及项目实施相关规定，票据齐全、账务清晰。</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eastAsia="楷体_GB2312" w:cs="Times New Roman"/>
          <w:color w:val="auto"/>
          <w:szCs w:val="32"/>
          <w:lang w:val="en-US" w:eastAsia="zh-CN"/>
        </w:rPr>
      </w:pPr>
      <w:r>
        <w:rPr>
          <w:rFonts w:hint="eastAsia" w:eastAsia="楷体_GB2312" w:cs="Times New Roman"/>
          <w:color w:val="auto"/>
          <w:szCs w:val="32"/>
          <w:lang w:val="en-US" w:eastAsia="zh-CN"/>
        </w:rPr>
        <w:t>4</w:t>
      </w:r>
      <w:r>
        <w:rPr>
          <w:rFonts w:hint="eastAsia" w:ascii="Times New Roman" w:hAnsi="Times New Roman" w:eastAsia="楷体_GB2312" w:cs="Times New Roman"/>
          <w:color w:val="auto"/>
          <w:szCs w:val="32"/>
          <w:lang w:val="en-US" w:eastAsia="zh-CN"/>
        </w:rPr>
        <w:t>.</w:t>
      </w:r>
      <w:r>
        <w:rPr>
          <w:rFonts w:hint="default" w:ascii="Times New Roman" w:hAnsi="Times New Roman" w:eastAsia="楷体_GB2312" w:cs="Times New Roman"/>
          <w:color w:val="auto"/>
          <w:szCs w:val="32"/>
          <w:lang w:val="en-US" w:eastAsia="zh-CN"/>
        </w:rPr>
        <w:t>项目结果（满分 9 分，自评得分 7 分）</w:t>
      </w:r>
    </w:p>
    <w:p>
      <w:pPr>
        <w:keepNext w:val="0"/>
        <w:keepLines w:val="0"/>
        <w:pageBreakBefore w:val="0"/>
        <w:widowControl w:val="0"/>
        <w:numPr>
          <w:ilvl w:val="0"/>
          <w:numId w:val="0"/>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（1）</w:t>
      </w:r>
      <w:r>
        <w:rPr>
          <w:rFonts w:hint="default" w:ascii="仿宋_GB2312" w:hAnsi="仿宋_GB2312" w:cs="仿宋_GB2312"/>
          <w:b/>
          <w:bCs/>
          <w:sz w:val="32"/>
          <w:szCs w:val="32"/>
          <w:highlight w:val="none"/>
          <w:lang w:val="en-US" w:eastAsia="zh-CN"/>
        </w:rPr>
        <w:t>目标完成（6 分，得 6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项目全面完成预期目标，地方项目办 6 名志愿者的各项补贴、社保、培训慰问等保障措施均落实到位，实施结果与绩效目标高度匹配。</w:t>
      </w:r>
    </w:p>
    <w:p>
      <w:pPr>
        <w:keepNext w:val="0"/>
        <w:keepLines w:val="0"/>
        <w:pageBreakBefore w:val="0"/>
        <w:widowControl w:val="0"/>
        <w:numPr>
          <w:ilvl w:val="0"/>
          <w:numId w:val="0"/>
        </w:numPr>
        <w:kinsoku/>
        <w:wordWrap/>
        <w:overflowPunct/>
        <w:topLinePunct w:val="0"/>
        <w:autoSpaceDE/>
        <w:autoSpaceDN/>
        <w:bidi w:val="0"/>
        <w:spacing w:line="578" w:lineRule="exact"/>
        <w:ind w:firstLine="642" w:firstLineChars="200"/>
        <w:textAlignment w:val="auto"/>
        <w:outlineLvl w:val="9"/>
        <w:rPr>
          <w:rFonts w:hint="default"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w:t>
      </w:r>
      <w:r>
        <w:rPr>
          <w:rFonts w:hint="default" w:ascii="仿宋_GB2312" w:hAnsi="仿宋_GB2312" w:cs="仿宋_GB2312"/>
          <w:b/>
          <w:bCs/>
          <w:sz w:val="32"/>
          <w:szCs w:val="32"/>
          <w:highlight w:val="none"/>
          <w:lang w:val="en-US" w:eastAsia="zh-CN"/>
        </w:rPr>
        <w:t>完成时效（3 分，得 1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项目整体完成时效符合要求，因个别节假日慰问经费拨付需对接财政流程，略有延后，扣 2 分。</w:t>
      </w:r>
    </w:p>
    <w:p>
      <w:pPr>
        <w:keepNext w:val="0"/>
        <w:keepLines w:val="0"/>
        <w:pageBreakBefore w:val="0"/>
        <w:widowControl w:val="0"/>
        <w:numPr>
          <w:ilvl w:val="0"/>
          <w:numId w:val="4"/>
        </w:numPr>
        <w:kinsoku/>
        <w:wordWrap/>
        <w:overflowPunct/>
        <w:topLinePunct w:val="0"/>
        <w:autoSpaceDE/>
        <w:autoSpaceDN/>
        <w:bidi w:val="0"/>
        <w:adjustRightInd/>
        <w:snapToGrid/>
        <w:spacing w:line="578" w:lineRule="exact"/>
        <w:ind w:firstLine="642" w:firstLineChars="200"/>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本项目属于民生保障类项目，围绕区域均衡性、对象精准性、标准合理性、群众满意度四项指标开展分析：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1.</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区域均衡性（</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满分</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10 分，得 10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资金分配仅针对黑水县地方项目办在册志愿者，结合志愿者实际服务情况统一保障标准，资金分配体现均衡、公平原则。</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2.</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对象精准性（</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满分</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10 分，得 10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资金实际支持对象为黑水县地方项目办 6 名西部计划志愿者，完全符合项目支持对象范围及管理要求，无错配、漏配情况。</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3.</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标准合理性（</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满分</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5 分，得 5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各项补贴、社保、慰问等经费的兑现标准，均符合上级相关规定及本地实际情况，标准合理且全部及时兑现。</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4.</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群众满意度（</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满分</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 xml:space="preserve">5 分，得 </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4</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 xml:space="preserve"> 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通过志愿者座谈、满意度调研等方式，核查得知地方项目办志愿者对各项保障工作的满意度达到 9</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6</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%，符合绩效目标要求。</w:t>
      </w:r>
    </w:p>
    <w:p>
      <w:pPr>
        <w:keepNext w:val="0"/>
        <w:keepLines w:val="0"/>
        <w:pageBreakBefore w:val="0"/>
        <w:widowControl w:val="0"/>
        <w:suppressAutoHyphens/>
        <w:kinsoku/>
        <w:wordWrap/>
        <w:overflowPunct/>
        <w:topLinePunct w:val="0"/>
        <w:autoSpaceDE/>
        <w:autoSpaceDN/>
        <w:bidi w:val="0"/>
        <w:adjustRightInd/>
        <w:snapToGrid/>
        <w:spacing w:line="570" w:lineRule="exact"/>
        <w:ind w:firstLine="642" w:firstLineChars="200"/>
        <w:textAlignment w:val="auto"/>
        <w:outlineLvl w:val="9"/>
        <w:rPr>
          <w:rFonts w:hint="default" w:ascii="楷体_GB2312" w:hAnsi="楷体_GB2312" w:eastAsia="楷体_GB2312" w:cs="楷体_GB2312"/>
          <w:b/>
          <w:bCs/>
          <w:color w:val="000000"/>
          <w:kern w:val="0"/>
          <w:sz w:val="32"/>
          <w:szCs w:val="32"/>
          <w:lang w:val="zh-CN" w:eastAsia="zh-CN" w:bidi="ar-SA"/>
        </w:rPr>
      </w:pPr>
      <w:r>
        <w:rPr>
          <w:rFonts w:hint="default" w:ascii="楷体_GB2312" w:hAnsi="楷体_GB2312" w:eastAsia="楷体_GB2312" w:cs="楷体_GB2312"/>
          <w:b/>
          <w:bCs/>
          <w:color w:val="000000"/>
          <w:kern w:val="0"/>
          <w:sz w:val="32"/>
          <w:szCs w:val="32"/>
          <w:lang w:val="zh-CN" w:eastAsia="zh-CN" w:bidi="ar-SA"/>
        </w:rPr>
        <w:t>（三）</w:t>
      </w:r>
      <w:r>
        <w:rPr>
          <w:rFonts w:hint="default" w:ascii="楷体_GB2312" w:hAnsi="楷体_GB2312" w:eastAsia="楷体_GB2312" w:cs="楷体_GB2312"/>
          <w:b/>
          <w:bCs/>
          <w:color w:val="000000"/>
          <w:kern w:val="0"/>
          <w:sz w:val="32"/>
          <w:szCs w:val="32"/>
          <w:lang w:val="en-US" w:eastAsia="zh-CN" w:bidi="ar-SA"/>
        </w:rPr>
        <w:t>个性指标</w:t>
      </w:r>
      <w:r>
        <w:rPr>
          <w:rFonts w:hint="default" w:ascii="楷体_GB2312" w:hAnsi="楷体_GB2312" w:eastAsia="楷体_GB2312" w:cs="楷体_GB2312"/>
          <w:b/>
          <w:bCs/>
          <w:color w:val="000000"/>
          <w:kern w:val="0"/>
          <w:sz w:val="32"/>
          <w:szCs w:val="32"/>
          <w:lang w:val="zh-CN" w:eastAsia="zh-CN" w:bidi="ar-SA"/>
        </w:rPr>
        <w:t>绩效分析。</w:t>
      </w:r>
      <w:r>
        <w:rPr>
          <w:rFonts w:hint="eastAsia" w:ascii="楷体_GB2312" w:hAnsi="楷体_GB2312" w:eastAsia="楷体_GB2312" w:cs="楷体_GB2312"/>
          <w:b/>
          <w:bCs/>
          <w:color w:val="000000"/>
          <w:kern w:val="0"/>
          <w:sz w:val="32"/>
          <w:szCs w:val="32"/>
          <w:lang w:val="en-US" w:eastAsia="zh-CN" w:bidi="ar-SA"/>
        </w:rPr>
        <w:t>（满分16分，自评得分15分）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设置个性指标志愿服务质量提升率（权重1</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5</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2025年度县域西部计划志愿者志愿服务任务完成率、服务质量较上年显著提升，有效推动了县域志愿服务工作开展，完成指标要求，得1</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5</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四、评价结论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本次地方项目办志愿者经费专项预算绩效自评总分为9</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4</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 xml:space="preserve"> 分，评价结果为优秀。项目 2025 年度调整后预算 28.54 万元，预算执行率 100%，财政资金全额规范使用、无结余；项目全面完成各项绩效目标，6 名地方项目办志愿者的社保费用、生活补助、年终一次性生活补贴均按时足额发放，体检费、培训经费、重大节假日慰问经费均按规定报销，切实落实了志愿者各项保障措施，有效提高了志愿服务效率，志愿者满意度达到 9</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6</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%，项目实施取得了良好的社会效益。</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次绩效自评发现项目实施过程中存在个别经费拨付时效略有延后的问题，主要因重大节假日志愿者慰问经费拨付需对接财政部门审批流程，流程衔接环节稍显繁琐，导致部分慰问经费未能完全按照理想时间节点拨付。</w:t>
      </w:r>
    </w:p>
    <w:p>
      <w:pPr>
        <w:pStyle w:val="4"/>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jc w:val="both"/>
        <w:rPr>
          <w:rFonts w:hint="default" w:ascii="仿宋_GB2312" w:hAnsi="仿宋_GB2312" w:eastAsia="仿宋_GB2312" w:cs="仿宋_GB2312"/>
          <w:b w:val="0"/>
          <w:bCs/>
          <w:color w:val="auto"/>
          <w:kern w:val="2"/>
          <w:sz w:val="32"/>
          <w:szCs w:val="32"/>
          <w:u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 xml:space="preserve"> </w:t>
      </w:r>
      <w:r>
        <w:rPr>
          <w:rFonts w:hint="default" w:ascii="仿宋_GB2312" w:hAnsi="仿宋_GB2312" w:eastAsia="仿宋_GB2312" w:cs="仿宋_GB2312"/>
          <w:b w:val="0"/>
          <w:bCs/>
          <w:color w:val="auto"/>
          <w:kern w:val="2"/>
          <w:sz w:val="32"/>
          <w:szCs w:val="32"/>
          <w:u w:val="none"/>
          <w:lang w:val="en-US" w:eastAsia="zh-CN" w:bidi="ar-SA"/>
        </w:rPr>
        <w:t>针对个别经费拨付时效延后的问题，</w:t>
      </w:r>
      <w:r>
        <w:rPr>
          <w:rFonts w:hint="eastAsia" w:ascii="仿宋_GB2312" w:hAnsi="仿宋_GB2312" w:eastAsia="仿宋_GB2312" w:cs="仿宋_GB2312"/>
          <w:b w:val="0"/>
          <w:bCs/>
          <w:color w:val="auto"/>
          <w:kern w:val="2"/>
          <w:sz w:val="32"/>
          <w:szCs w:val="32"/>
          <w:u w:val="none"/>
          <w:lang w:val="en-US" w:eastAsia="zh-CN" w:bidi="ar-SA"/>
        </w:rPr>
        <w:t>应</w:t>
      </w:r>
      <w:r>
        <w:rPr>
          <w:rFonts w:hint="default" w:ascii="仿宋_GB2312" w:hAnsi="仿宋_GB2312" w:eastAsia="仿宋_GB2312" w:cs="仿宋_GB2312"/>
          <w:b w:val="0"/>
          <w:bCs/>
          <w:color w:val="auto"/>
          <w:kern w:val="2"/>
          <w:sz w:val="32"/>
          <w:szCs w:val="32"/>
          <w:u w:val="none"/>
          <w:lang w:val="en-US" w:eastAsia="zh-CN" w:bidi="ar-SA"/>
        </w:rPr>
        <w:t>优化内部工作流程，专人负责经费审批、拨付的跟踪对接，及时掌握审批进度，确保问题早发现、早解决。</w:t>
      </w:r>
    </w:p>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default" w:ascii="Times New Roman" w:hAnsi="Times New Roman" w:cs="Times New Roman"/>
          <w:color w:val="000000"/>
          <w:kern w:val="0"/>
          <w:szCs w:val="32"/>
          <w:highlight w:val="none"/>
          <w:shd w:val="clear" w:color="auto" w:fill="FFFFFF"/>
          <w:lang w:val="zh-CN" w:eastAsia="zh-CN"/>
        </w:rPr>
      </w:pPr>
    </w:p>
    <w:p>
      <w:pPr>
        <w:tabs>
          <w:tab w:val="left" w:pos="1911"/>
        </w:tabs>
        <w:jc w:val="both"/>
        <w:rPr>
          <w:rFonts w:hint="default" w:ascii="仿宋_GB2312" w:hAnsi="仿宋_GB2312" w:eastAsia="仿宋_GB2312" w:cs="仿宋_GB2312"/>
          <w:b w:val="0"/>
          <w:bCs/>
          <w:color w:val="auto"/>
          <w:kern w:val="2"/>
          <w:sz w:val="32"/>
          <w:szCs w:val="32"/>
          <w:u w:val="none"/>
          <w:lang w:val="en-US" w:eastAsia="zh-CN" w:bidi="ar-SA"/>
        </w:rPr>
      </w:pPr>
      <w:r>
        <w:rPr>
          <w:rFonts w:hint="default" w:ascii="仿宋_GB2312" w:hAnsi="仿宋_GB2312" w:eastAsia="仿宋_GB2312" w:cs="仿宋_GB2312"/>
          <w:b w:val="0"/>
          <w:bCs/>
          <w:color w:val="auto"/>
          <w:kern w:val="2"/>
          <w:sz w:val="32"/>
          <w:szCs w:val="32"/>
          <w:u w:val="none"/>
          <w:lang w:val="en-US" w:eastAsia="zh-CN" w:bidi="ar-SA"/>
        </w:rPr>
        <w:t>附表：1.</w:t>
      </w:r>
      <w:r>
        <w:rPr>
          <w:rFonts w:hint="eastAsia" w:ascii="仿宋_GB2312" w:hAnsi="仿宋_GB2312" w:eastAsia="仿宋_GB2312" w:cs="仿宋_GB2312"/>
          <w:b w:val="0"/>
          <w:bCs/>
          <w:color w:val="auto"/>
          <w:kern w:val="2"/>
          <w:sz w:val="32"/>
          <w:szCs w:val="32"/>
          <w:u w:val="none"/>
          <w:lang w:val="en-US" w:eastAsia="zh-CN" w:bidi="ar-SA"/>
        </w:rPr>
        <w:t>专项</w:t>
      </w:r>
      <w:r>
        <w:rPr>
          <w:rFonts w:hint="default" w:ascii="仿宋_GB2312" w:hAnsi="仿宋_GB2312" w:eastAsia="仿宋_GB2312" w:cs="仿宋_GB2312"/>
          <w:b w:val="0"/>
          <w:bCs/>
          <w:color w:val="auto"/>
          <w:kern w:val="2"/>
          <w:sz w:val="32"/>
          <w:szCs w:val="32"/>
          <w:u w:val="none"/>
          <w:lang w:val="en-US" w:eastAsia="zh-CN" w:bidi="ar-SA"/>
        </w:rPr>
        <w:t>预算绩效自评打分表</w:t>
      </w:r>
    </w:p>
    <w:p>
      <w:pPr>
        <w:tabs>
          <w:tab w:val="left" w:pos="1911"/>
        </w:tabs>
        <w:ind w:firstLine="960" w:firstLineChars="300"/>
        <w:jc w:val="both"/>
        <w:rPr>
          <w:rFonts w:hint="default" w:ascii="仿宋_GB2312" w:hAnsi="仿宋_GB2312" w:eastAsia="仿宋_GB2312" w:cs="仿宋_GB2312"/>
          <w:b w:val="0"/>
          <w:bCs/>
          <w:color w:val="auto"/>
          <w:kern w:val="2"/>
          <w:sz w:val="32"/>
          <w:szCs w:val="32"/>
          <w:u w:val="none"/>
          <w:lang w:val="en-US" w:eastAsia="zh-CN" w:bidi="ar-SA"/>
        </w:rPr>
      </w:pPr>
      <w:r>
        <w:rPr>
          <w:rFonts w:hint="default" w:ascii="仿宋_GB2312" w:hAnsi="仿宋_GB2312" w:eastAsia="仿宋_GB2312" w:cs="仿宋_GB2312"/>
          <w:b w:val="0"/>
          <w:bCs/>
          <w:color w:val="auto"/>
          <w:kern w:val="2"/>
          <w:sz w:val="32"/>
          <w:szCs w:val="32"/>
          <w:u w:val="none"/>
          <w:lang w:val="en-US" w:eastAsia="zh-CN" w:bidi="ar-SA"/>
        </w:rPr>
        <w:t>2.专项预算绩效自评实地踏勘点位清单表</w:t>
      </w:r>
    </w:p>
    <w:p>
      <w:pPr>
        <w:tabs>
          <w:tab w:val="left" w:pos="1911"/>
        </w:tabs>
        <w:ind w:firstLine="960" w:firstLineChars="300"/>
        <w:jc w:val="both"/>
        <w:rPr>
          <w:rFonts w:hint="default" w:ascii="仿宋_GB2312" w:hAnsi="仿宋_GB2312" w:eastAsia="仿宋_GB2312" w:cs="仿宋_GB2312"/>
          <w:b w:val="0"/>
          <w:bCs/>
          <w:color w:val="auto"/>
          <w:kern w:val="2"/>
          <w:sz w:val="32"/>
          <w:szCs w:val="32"/>
          <w:u w:val="none"/>
          <w:lang w:val="en-US" w:eastAsia="zh-CN" w:bidi="ar-SA"/>
        </w:rPr>
      </w:pPr>
      <w:r>
        <w:rPr>
          <w:rFonts w:hint="eastAsia" w:ascii="仿宋_GB2312" w:hAnsi="仿宋_GB2312" w:eastAsia="仿宋_GB2312" w:cs="仿宋_GB2312"/>
          <w:b w:val="0"/>
          <w:bCs/>
          <w:color w:val="auto"/>
          <w:kern w:val="2"/>
          <w:sz w:val="32"/>
          <w:szCs w:val="32"/>
          <w:u w:val="none"/>
          <w:lang w:val="en-US" w:eastAsia="zh-CN" w:bidi="ar-SA"/>
        </w:rPr>
        <w:t>3.</w:t>
      </w:r>
      <w:r>
        <w:rPr>
          <w:rFonts w:hint="default" w:ascii="仿宋_GB2312" w:hAnsi="仿宋_GB2312" w:eastAsia="仿宋_GB2312" w:cs="仿宋_GB2312"/>
          <w:b w:val="0"/>
          <w:bCs/>
          <w:color w:val="auto"/>
          <w:kern w:val="2"/>
          <w:sz w:val="32"/>
          <w:szCs w:val="32"/>
          <w:u w:val="none"/>
          <w:lang w:val="en-US" w:eastAsia="zh-CN" w:bidi="ar-SA"/>
        </w:rPr>
        <w:t>专项预算项目绩效目标完成情况自评表</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cs="Times New Roman"/>
          <w:color w:val="000000"/>
          <w:kern w:val="0"/>
          <w:szCs w:val="32"/>
          <w:highlight w:val="none"/>
          <w:shd w:val="clear" w:color="auto" w:fill="FFFFFF"/>
          <w:lang w:val="zh-CN" w:eastAsia="zh-CN"/>
        </w:rPr>
      </w:pPr>
    </w:p>
    <w:p>
      <w:pPr>
        <w:pStyle w:val="2"/>
        <w:rPr>
          <w:rFonts w:hint="default"/>
          <w:lang w:val="zh-CN" w:eastAsia="zh-CN"/>
        </w:rPr>
      </w:pPr>
    </w:p>
    <w:p>
      <w:pPr>
        <w:jc w:val="right"/>
        <w:rPr>
          <w:rFonts w:hint="eastAsia"/>
          <w:lang w:val="en-US" w:eastAsia="zh-CN"/>
        </w:rPr>
      </w:pPr>
      <w:r>
        <w:rPr>
          <w:rFonts w:hint="eastAsia"/>
          <w:lang w:val="en-US" w:eastAsia="zh-CN"/>
        </w:rPr>
        <w:t>共青团黑水县委</w:t>
      </w:r>
    </w:p>
    <w:p>
      <w:pPr>
        <w:keepNext w:val="0"/>
        <w:keepLines w:val="0"/>
        <w:pageBreakBefore w:val="0"/>
        <w:kinsoku/>
        <w:wordWrap/>
        <w:overflowPunct/>
        <w:topLinePunct w:val="0"/>
        <w:autoSpaceDE/>
        <w:autoSpaceDN/>
        <w:bidi w:val="0"/>
        <w:adjustRightInd/>
        <w:snapToGrid w:val="0"/>
        <w:spacing w:line="578" w:lineRule="exact"/>
        <w:jc w:val="righ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eastAsia"/>
          <w:lang w:val="en-US" w:eastAsia="zh-CN"/>
        </w:rPr>
        <w:t xml:space="preserve">2026年3月30日 </w:t>
      </w:r>
      <w:r>
        <w:rPr>
          <w:rFonts w:hint="default" w:ascii="Times New Roman" w:hAnsi="Times New Roman" w:cs="Times New Roman"/>
          <w:color w:val="000000"/>
          <w:kern w:val="0"/>
          <w:szCs w:val="32"/>
          <w:highlight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9"/>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903"/>
        <w:gridCol w:w="1277"/>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66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66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项目规划论证是否符合中央、省委要求，项目绩效目标设置是否科学合理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66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90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90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90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90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90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66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277"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88"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277"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志愿服务质量提升率</w:t>
            </w:r>
          </w:p>
        </w:tc>
        <w:tc>
          <w:tcPr>
            <w:tcW w:w="696"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2025年度县域西部计划志愿者志愿服务任务完成率、服务质量较上年显著提升</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88"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p>
        </w:tc>
        <w:tc>
          <w:tcPr>
            <w:tcW w:w="696"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88"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277"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p>
        </w:tc>
        <w:tc>
          <w:tcPr>
            <w:tcW w:w="696"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8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0"/>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3744"/>
        <w:gridCol w:w="3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ascii="宋体" w:hAnsi="宋体" w:eastAsia="宋体" w:cs="宋体"/>
                <w:sz w:val="24"/>
                <w:szCs w:val="24"/>
              </w:rPr>
              <w:t>黑水县本级</w:t>
            </w: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eastAsia" w:ascii="Times New Roman" w:hAnsi="Times New Roman" w:eastAsia="宋体" w:cs="Times New Roman"/>
                <w:color w:val="auto"/>
                <w:sz w:val="24"/>
                <w:szCs w:val="24"/>
                <w:highlight w:val="none"/>
                <w:u w:val="none"/>
                <w:vertAlign w:val="baseline"/>
                <w:lang w:val="en-US" w:eastAsia="zh-CN"/>
              </w:rPr>
            </w:pPr>
            <w:r>
              <w:rPr>
                <w:rFonts w:ascii="宋体" w:hAnsi="宋体" w:eastAsia="宋体" w:cs="宋体"/>
                <w:sz w:val="24"/>
                <w:szCs w:val="24"/>
              </w:rPr>
              <w:t>地方项目办志愿者经费使用及保障工作落地情况核查</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8</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9</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10</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11</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12</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13</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14</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15</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16</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17</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18</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19</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20</w:t>
            </w:r>
          </w:p>
        </w:tc>
        <w:tc>
          <w:tcPr>
            <w:tcW w:w="374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311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9"/>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Times New Roman" w:hAnsi="Times New Roman" w:eastAsia="黑体" w:cs="Times New Roman"/>
                <w:i w:val="0"/>
                <w:color w:val="000000"/>
                <w:sz w:val="30"/>
                <w:szCs w:val="30"/>
                <w:u w:val="none"/>
              </w:rPr>
            </w:pPr>
            <w:r>
              <w:rPr>
                <w:rFonts w:hint="default" w:ascii="Times New Roman" w:hAnsi="Times New Roman" w:eastAsia="方正小标宋简体" w:cs="Times New Roman"/>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ascii="宋体" w:hAnsi="宋体" w:eastAsia="宋体" w:cs="宋体"/>
                <w:sz w:val="24"/>
                <w:szCs w:val="24"/>
              </w:rPr>
              <w:t>地方项目办志愿者经费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ascii="宋体" w:hAnsi="宋体" w:eastAsia="宋体" w:cs="宋体"/>
                <w:sz w:val="24"/>
                <w:szCs w:val="24"/>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民生保障类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ascii="宋体" w:hAnsi="宋体" w:eastAsia="宋体" w:cs="宋体"/>
                <w:sz w:val="24"/>
                <w:szCs w:val="24"/>
              </w:rPr>
              <w:t>西部计划志愿者经费相关管理办法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ascii="宋体" w:hAnsi="宋体" w:eastAsia="宋体" w:cs="宋体"/>
                <w:sz w:val="24"/>
                <w:szCs w:val="24"/>
              </w:rPr>
              <w:t>西部计划志愿者经费相关管理办法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eastAsia" w:ascii="宋体" w:hAnsi="宋体" w:eastAsia="宋体" w:cs="宋体"/>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据实据效</w:t>
            </w:r>
            <w:r>
              <w:rPr>
                <w:rFonts w:hint="default" w:ascii="Arial" w:hAnsi="Arial" w:eastAsia="宋体" w:cs="Arial"/>
                <w:i w:val="0"/>
                <w:color w:val="000000"/>
                <w:kern w:val="0"/>
                <w:sz w:val="24"/>
                <w:szCs w:val="24"/>
                <w:u w:val="none"/>
                <w:lang w:val="en-US" w:eastAsia="zh-CN" w:bidi="ar"/>
              </w:rPr>
              <w:t>√</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ascii="宋体" w:hAnsi="宋体" w:eastAsia="宋体" w:cs="宋体"/>
                <w:sz w:val="24"/>
                <w:szCs w:val="24"/>
              </w:rPr>
              <w:t>西部计划志愿服务工作相关规定、本地志愿者保障实际需求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使用范围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ascii="宋体" w:hAnsi="宋体" w:eastAsia="宋体" w:cs="宋体"/>
                <w:sz w:val="24"/>
                <w:szCs w:val="24"/>
              </w:rPr>
              <w:t>地方项目办志愿者社保、生活补助、年终补贴、体检、培训、节日慰问等经费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ascii="宋体" w:hAnsi="宋体" w:eastAsia="宋体" w:cs="宋体"/>
                <w:sz w:val="24"/>
                <w:szCs w:val="24"/>
                <w:lang w:val="en-US" w:eastAsia="zh-CN"/>
              </w:rPr>
              <w:t>2025年</w:t>
            </w:r>
            <w:r>
              <w:rPr>
                <w:rFonts w:ascii="宋体" w:hAnsi="宋体" w:eastAsia="宋体" w:cs="宋体"/>
                <w:sz w:val="24"/>
                <w:szCs w:val="24"/>
              </w:rPr>
              <w:t>黑水县地方项目办在册西部计划志愿者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ascii="宋体" w:hAnsi="宋体" w:eastAsia="宋体" w:cs="宋体"/>
                <w:sz w:val="24"/>
                <w:szCs w:val="24"/>
              </w:rPr>
              <w:t>2025 年度</w:t>
            </w:r>
            <w:r>
              <w:rPr>
                <w:rFonts w:hint="eastAsia" w:ascii="宋体" w:hAnsi="宋体" w:eastAsia="宋体" w:cs="宋体"/>
                <w:sz w:val="24"/>
                <w:szCs w:val="24"/>
                <w:lang w:eastAsia="zh-CN"/>
              </w:rPr>
              <w:t>（经常性项目）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28.54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28.54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ascii="宋体" w:hAnsi="宋体" w:eastAsia="宋体" w:cs="宋体"/>
                <w:sz w:val="24"/>
                <w:szCs w:val="24"/>
              </w:rPr>
              <w:t>保障地方项目办 6 名志愿者生活补助、社保金及岗位补贴等支出，按时足额发放各项经费，提高志愿服务效率，志愿者满意度达 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发放志愿者人数</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6</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名</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60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按时足额发放率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&amp;</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提</w:t>
            </w:r>
            <w:r>
              <w:rPr>
                <w:rFonts w:hint="eastAsia" w:ascii="宋体" w:hAnsi="宋体" w:eastAsia="宋体" w:cs="宋体"/>
                <w:i w:val="0"/>
                <w:color w:val="000000"/>
                <w:sz w:val="24"/>
                <w:szCs w:val="24"/>
                <w:u w:val="none"/>
                <w:lang w:eastAsia="zh-CN"/>
              </w:rPr>
              <w:t>高服务效率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定性</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优良</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其他</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志愿者满意率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ascii="宋体" w:hAnsi="宋体" w:eastAsia="宋体" w:cs="宋体"/>
                <w:i w:val="0"/>
                <w:iCs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98</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bl>
    <w:p>
      <w:pPr>
        <w:pStyle w:val="8"/>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sectPr>
      <w:footerReference r:id="rId3" w:type="default"/>
      <w:pgSz w:w="11906" w:h="16838"/>
      <w:pgMar w:top="2098" w:right="1519" w:bottom="1984" w:left="1587"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
    <w:altName w:val="AR PL UKai CN"/>
    <w:panose1 w:val="00000000000000000000"/>
    <w:charset w:val="00"/>
    <w:family w:val="roman"/>
    <w:pitch w:val="default"/>
    <w:sig w:usb0="00000000" w:usb1="00000000" w:usb2="00000000" w:usb3="00000000" w:csb0="00040001" w:csb1="00000000"/>
  </w:font>
  <w:font w:name="AR PL UKai CN">
    <w:panose1 w:val="02000503000000000000"/>
    <w:charset w:val="86"/>
    <w:family w:val="auto"/>
    <w:pitch w:val="default"/>
    <w:sig w:usb0="A00002FF" w:usb1="3ACFFDFF" w:usb2="00000036" w:usb3="00000000" w:csb0="2016009F" w:csb1="DFD7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Bt2NwIAAG8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dLSuPlT9BUyhZWGrd5bHNFEqb1fHAGk7xaNAvSroVNxgDrueDW8mDvqf&#10;+y7q8T+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E31E33"/>
    <w:multiLevelType w:val="singleLevel"/>
    <w:tmpl w:val="09E31E33"/>
    <w:lvl w:ilvl="0" w:tentative="0">
      <w:start w:val="2"/>
      <w:numFmt w:val="chineseCounting"/>
      <w:suff w:val="nothing"/>
      <w:lvlText w:val="（%1）"/>
      <w:lvlJc w:val="left"/>
      <w:rPr>
        <w:rFonts w:hint="eastAsia"/>
      </w:rPr>
    </w:lvl>
  </w:abstractNum>
  <w:abstractNum w:abstractNumId="1">
    <w:nsid w:val="1C0F4DF7"/>
    <w:multiLevelType w:val="singleLevel"/>
    <w:tmpl w:val="1C0F4DF7"/>
    <w:lvl w:ilvl="0" w:tentative="0">
      <w:start w:val="2"/>
      <w:numFmt w:val="chineseCounting"/>
      <w:suff w:val="nothing"/>
      <w:lvlText w:val="（%1）"/>
      <w:lvlJc w:val="left"/>
      <w:rPr>
        <w:rFonts w:hint="eastAsia"/>
      </w:rPr>
    </w:lvl>
  </w:abstractNum>
  <w:abstractNum w:abstractNumId="2">
    <w:nsid w:val="287E91A7"/>
    <w:multiLevelType w:val="singleLevel"/>
    <w:tmpl w:val="287E91A7"/>
    <w:lvl w:ilvl="0" w:tentative="0">
      <w:start w:val="3"/>
      <w:numFmt w:val="decimal"/>
      <w:suff w:val="nothing"/>
      <w:lvlText w:val="（%1）"/>
      <w:lvlJc w:val="left"/>
    </w:lvl>
  </w:abstractNum>
  <w:abstractNum w:abstractNumId="3">
    <w:nsid w:val="789B2048"/>
    <w:multiLevelType w:val="singleLevel"/>
    <w:tmpl w:val="789B2048"/>
    <w:lvl w:ilvl="0" w:tentative="0">
      <w:start w:val="2"/>
      <w:numFmt w:val="chineseCounting"/>
      <w:suff w:val="nothing"/>
      <w:lvlText w:val="（%1）"/>
      <w:lvlJc w:val="left"/>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BA4AE6"/>
    <w:rsid w:val="014B15CD"/>
    <w:rsid w:val="01C62F7E"/>
    <w:rsid w:val="0A5B4ECD"/>
    <w:rsid w:val="1EF93A3D"/>
    <w:rsid w:val="2B465CEF"/>
    <w:rsid w:val="3E2B70F8"/>
    <w:rsid w:val="55BA4AE6"/>
    <w:rsid w:val="64187EC6"/>
    <w:rsid w:val="68DA3DAB"/>
    <w:rsid w:val="6EFB61A0"/>
    <w:rsid w:val="75023E22"/>
    <w:rsid w:val="77FCA828"/>
    <w:rsid w:val="7E640C18"/>
    <w:rsid w:val="BFF9608C"/>
    <w:rsid w:val="D5770602"/>
    <w:rsid w:val="D5E529F7"/>
    <w:rsid w:val="E7FEFB6E"/>
    <w:rsid w:val="F767FB4A"/>
    <w:rsid w:val="FDED1A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table of figures1"/>
    <w:basedOn w:val="1"/>
    <w:next w:val="1"/>
    <w:qFormat/>
    <w:uiPriority w:val="0"/>
    <w:pPr>
      <w:ind w:left="200" w:leftChars="200" w:hanging="200" w:hangingChars="200"/>
    </w:pPr>
  </w:style>
  <w:style w:type="paragraph" w:styleId="4">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5">
    <w:name w:val="Body Text Indent"/>
    <w:basedOn w:val="1"/>
    <w:qFormat/>
    <w:uiPriority w:val="0"/>
    <w:pPr>
      <w:spacing w:after="120"/>
      <w:ind w:leftChars="200"/>
    </w:pPr>
    <w:rPr>
      <w:rFonts w:ascii="仿宋_GB2312"/>
      <w:szCs w:val="32"/>
    </w:rPr>
  </w:style>
  <w:style w:type="paragraph" w:styleId="6">
    <w:name w:val="footer"/>
    <w:basedOn w:val="1"/>
    <w:unhideWhenUsed/>
    <w:qFormat/>
    <w:uiPriority w:val="99"/>
    <w:pPr>
      <w:tabs>
        <w:tab w:val="center" w:pos="4153"/>
        <w:tab w:val="right" w:pos="8306"/>
      </w:tabs>
      <w:snapToGrid w:val="0"/>
      <w:jc w:val="left"/>
    </w:pPr>
    <w:rPr>
      <w:sz w:val="18"/>
      <w:szCs w:val="18"/>
      <w:lang w:val="zh-CN" w:eastAsia="zh-CN"/>
    </w:rPr>
  </w:style>
  <w:style w:type="paragraph" w:styleId="7">
    <w:name w:val="Body Text First Indent"/>
    <w:basedOn w:val="4"/>
    <w:qFormat/>
    <w:uiPriority w:val="0"/>
    <w:pPr>
      <w:ind w:firstLine="420" w:firstLineChars="100"/>
    </w:pPr>
    <w:rPr>
      <w:rFonts w:ascii="Calibri" w:hAnsi="Calibri" w:eastAsia="宋体"/>
      <w:sz w:val="21"/>
    </w:rPr>
  </w:style>
  <w:style w:type="paragraph" w:styleId="8">
    <w:name w:val="Body Text First Indent 2"/>
    <w:basedOn w:val="5"/>
    <w:unhideWhenUsed/>
    <w:qFormat/>
    <w:uiPriority w:val="99"/>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customStyle="1" w:styleId="13">
    <w:name w:val="table of figures"/>
    <w:basedOn w:val="1"/>
    <w:next w:val="1"/>
    <w:qFormat/>
    <w:uiPriority w:val="0"/>
    <w:pPr>
      <w:ind w:left="200" w:leftChars="200" w:hanging="200" w:hangingChars="200"/>
    </w:pPr>
  </w:style>
  <w:style w:type="paragraph" w:customStyle="1" w:styleId="14">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15">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paragraph" w:customStyle="1" w:styleId="16">
    <w:name w:val="文档正文"/>
    <w:basedOn w:val="1"/>
    <w:qFormat/>
    <w:uiPriority w:val="0"/>
    <w:pPr>
      <w:adjustRightInd w:val="0"/>
      <w:spacing w:line="480" w:lineRule="atLeast"/>
      <w:textAlignment w:val="baseline"/>
    </w:pPr>
    <w:rPr>
      <w:rFonts w:ascii="Arial" w:hAnsi="Arial"/>
      <w:kern w:val="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4543</Words>
  <Characters>4686</Characters>
  <Lines>0</Lines>
  <Paragraphs>0</Paragraphs>
  <TotalTime>11</TotalTime>
  <ScaleCrop>false</ScaleCrop>
  <LinksUpToDate>false</LinksUpToDate>
  <CharactersWithSpaces>4804</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2026-04-01T00:48:00Z</dcterms:created>
  <dc:creator>木心</dc:creator>
  <cp:lastModifiedBy>user</cp:lastModifiedBy>
  <cp:lastPrinted>2026-04-09T18:12:00Z</cp:lastPrinted>
  <dcterms:modified xsi:type="dcterms:W3CDTF">2026-09-24T09:52:30Z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C3D3EAC5B78482A02C82B46A6819E7DA</vt:lpwstr>
  </property>
  <property fmtid="{D5CDD505-2E9C-101B-9397-08002B2CF9AE}" pid="4" name="KSOTemplateDocerSaveRecord">
    <vt:lpwstr>eyJoZGlkIjoiNzBjMGQzZGNlZWU1YWI5YTM2MDQzYjFhMzQzZTA2YzciLCJ1c2VySWQiOiIzMDgzODU2MjYifQ==</vt:lpwstr>
  </property>
</Properties>
</file>