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widowControl/>
        <w:spacing w:line="480" w:lineRule="atLeast"/>
        <w:ind w:firstLine="60"/>
        <w:jc w:val="center"/>
        <w:rPr>
          <w:rFonts w:ascii="方正小标宋简体" w:eastAsia="方正小标宋简体" w:cs="宋体"/>
          <w:kern w:val="0"/>
          <w:sz w:val="36"/>
          <w:szCs w:val="36"/>
        </w:rPr>
      </w:pPr>
      <w:r>
        <w:rPr>
          <w:rFonts w:hint="eastAsia" w:ascii="方正小标宋简体" w:eastAsia="方正小标宋简体" w:cs="宋体"/>
          <w:kern w:val="0"/>
          <w:sz w:val="36"/>
          <w:szCs w:val="36"/>
        </w:rPr>
        <w:t>黑水县人民政府办公室</w:t>
      </w:r>
    </w:p>
    <w:p>
      <w:pPr>
        <w:widowControl/>
        <w:spacing w:line="480" w:lineRule="atLeast"/>
        <w:ind w:firstLine="60"/>
        <w:jc w:val="center"/>
        <w:rPr>
          <w:rFonts w:ascii="方正小标宋简体" w:eastAsia="方正小标宋简体" w:cs="宋体"/>
          <w:kern w:val="0"/>
          <w:sz w:val="36"/>
          <w:szCs w:val="36"/>
        </w:rPr>
      </w:pPr>
      <w:r>
        <w:rPr>
          <w:rFonts w:hint="eastAsia" w:ascii="方正小标宋简体" w:eastAsia="方正小标宋简体" w:cs="宋体"/>
          <w:kern w:val="0"/>
          <w:sz w:val="36"/>
          <w:szCs w:val="36"/>
        </w:rPr>
        <w:t>关于“三公”经费</w:t>
      </w:r>
      <w:r>
        <w:rPr>
          <w:rFonts w:hint="eastAsia" w:ascii="方正小标宋简体" w:eastAsia="方正小标宋简体" w:cs="宋体"/>
          <w:kern w:val="0"/>
          <w:sz w:val="36"/>
          <w:szCs w:val="36"/>
          <w:lang w:eastAsia="zh-CN"/>
        </w:rPr>
        <w:t>202</w:t>
      </w:r>
      <w:r>
        <w:rPr>
          <w:rFonts w:hint="eastAsia" w:ascii="方正小标宋简体" w:eastAsia="方正小标宋简体" w:cs="宋体"/>
          <w:kern w:val="0"/>
          <w:sz w:val="36"/>
          <w:szCs w:val="36"/>
          <w:lang w:val="en-US" w:eastAsia="zh-CN"/>
        </w:rPr>
        <w:t>5</w:t>
      </w:r>
      <w:r>
        <w:rPr>
          <w:rFonts w:hint="eastAsia" w:ascii="方正小标宋简体" w:eastAsia="方正小标宋简体" w:cs="宋体"/>
          <w:kern w:val="0"/>
          <w:sz w:val="36"/>
          <w:szCs w:val="36"/>
        </w:rPr>
        <w:t>年决算情况说明</w:t>
      </w:r>
    </w:p>
    <w:p>
      <w:pPr>
        <w:widowControl/>
        <w:spacing w:line="480" w:lineRule="atLeast"/>
        <w:ind w:firstLine="60"/>
        <w:rPr>
          <w:rFonts w:ascii="仿宋_GB2312" w:eastAsia="仿宋_GB2312" w:cs="宋体"/>
          <w:color w:val="333333"/>
          <w:kern w:val="0"/>
          <w:sz w:val="32"/>
          <w:szCs w:val="32"/>
        </w:rPr>
      </w:pPr>
    </w:p>
    <w:p>
      <w:pPr>
        <w:widowControl/>
        <w:spacing w:line="480" w:lineRule="atLeast"/>
        <w:ind w:firstLine="697" w:firstLineChars="218"/>
        <w:rPr>
          <w:rFonts w:ascii="仿宋_GB2312" w:eastAsia="仿宋_GB2312" w:cs="宋体"/>
          <w:color w:val="333333"/>
          <w:kern w:val="0"/>
          <w:sz w:val="32"/>
          <w:szCs w:val="32"/>
        </w:rPr>
      </w:pPr>
      <w:r>
        <w:rPr>
          <w:rFonts w:hint="eastAsia" w:ascii="仿宋_GB2312" w:eastAsia="仿宋_GB2312" w:cs="宋体"/>
          <w:color w:val="333333"/>
          <w:kern w:val="0"/>
          <w:sz w:val="32"/>
          <w:szCs w:val="32"/>
        </w:rPr>
        <w:t>我单位 “三公”经费</w:t>
      </w:r>
      <w:r>
        <w:rPr>
          <w:rFonts w:hint="eastAsia" w:ascii="仿宋_GB2312" w:eastAsia="仿宋_GB2312" w:cs="宋体"/>
          <w:color w:val="333333"/>
          <w:kern w:val="0"/>
          <w:sz w:val="32"/>
          <w:szCs w:val="32"/>
          <w:lang w:eastAsia="zh-CN"/>
        </w:rPr>
        <w:t>202</w:t>
      </w:r>
      <w:r>
        <w:rPr>
          <w:rFonts w:hint="eastAsia" w:ascii="仿宋_GB2312" w:eastAsia="仿宋_GB2312" w:cs="宋体"/>
          <w:color w:val="333333"/>
          <w:kern w:val="0"/>
          <w:sz w:val="32"/>
          <w:szCs w:val="32"/>
          <w:lang w:val="en-US" w:eastAsia="zh-CN"/>
        </w:rPr>
        <w:t>5</w:t>
      </w:r>
      <w:r>
        <w:rPr>
          <w:rFonts w:hint="eastAsia" w:ascii="仿宋_GB2312" w:eastAsia="仿宋_GB2312" w:cs="宋体"/>
          <w:color w:val="333333"/>
          <w:kern w:val="0"/>
          <w:sz w:val="32"/>
          <w:szCs w:val="32"/>
        </w:rPr>
        <w:t>年决算情况如下：</w:t>
      </w:r>
    </w:p>
    <w:p>
      <w:pPr>
        <w:widowControl/>
        <w:spacing w:line="480" w:lineRule="atLeast"/>
        <w:ind w:firstLine="60"/>
        <w:rPr>
          <w:rFonts w:ascii="黑体" w:eastAsia="黑体" w:cs="宋体"/>
          <w:color w:val="333333"/>
          <w:kern w:val="0"/>
          <w:sz w:val="32"/>
          <w:szCs w:val="32"/>
        </w:rPr>
      </w:pPr>
      <w:r>
        <w:rPr>
          <w:rFonts w:hint="eastAsia" w:ascii="仿宋_GB2312" w:eastAsia="仿宋_GB2312" w:cs="宋体"/>
          <w:color w:val="333333"/>
          <w:kern w:val="0"/>
          <w:sz w:val="32"/>
          <w:szCs w:val="32"/>
        </w:rPr>
        <w:t>　　</w:t>
      </w:r>
      <w:r>
        <w:rPr>
          <w:rFonts w:hint="eastAsia" w:ascii="黑体" w:eastAsia="黑体" w:cs="宋体"/>
          <w:color w:val="333333"/>
          <w:kern w:val="0"/>
          <w:sz w:val="32"/>
          <w:szCs w:val="32"/>
        </w:rPr>
        <w:t>一、因公出国（境）经费</w:t>
      </w:r>
    </w:p>
    <w:p>
      <w:pPr>
        <w:widowControl/>
        <w:spacing w:line="480" w:lineRule="atLeast"/>
        <w:rPr>
          <w:rFonts w:hint="eastAsia" w:ascii="仿宋_GB2312" w:eastAsia="仿宋_GB2312" w:cs="宋体"/>
          <w:color w:val="333333"/>
          <w:kern w:val="0"/>
          <w:sz w:val="32"/>
          <w:szCs w:val="32"/>
          <w:lang w:eastAsia="zh-CN"/>
        </w:rPr>
      </w:pPr>
      <w:r>
        <w:rPr>
          <w:rFonts w:hint="eastAsia" w:ascii="仿宋_GB2312" w:eastAsia="仿宋_GB2312" w:cs="宋体"/>
          <w:color w:val="333333"/>
          <w:kern w:val="0"/>
          <w:sz w:val="32"/>
          <w:szCs w:val="32"/>
        </w:rPr>
        <w:t>　　</w:t>
      </w:r>
      <w:r>
        <w:rPr>
          <w:rFonts w:hint="eastAsia" w:ascii="仿宋_GB2312" w:eastAsia="仿宋_GB2312" w:cs="宋体"/>
          <w:color w:val="333333"/>
          <w:kern w:val="0"/>
          <w:sz w:val="32"/>
          <w:szCs w:val="32"/>
          <w:lang w:eastAsia="zh-CN"/>
        </w:rPr>
        <w:t>202</w:t>
      </w:r>
      <w:r>
        <w:rPr>
          <w:rFonts w:hint="eastAsia" w:ascii="仿宋_GB2312" w:eastAsia="仿宋_GB2312" w:cs="宋体"/>
          <w:color w:val="333333"/>
          <w:kern w:val="0"/>
          <w:sz w:val="32"/>
          <w:szCs w:val="32"/>
          <w:lang w:val="en-US" w:eastAsia="zh-CN"/>
        </w:rPr>
        <w:t>5</w:t>
      </w:r>
      <w:r>
        <w:rPr>
          <w:rFonts w:hint="eastAsia" w:ascii="仿宋_GB2312" w:eastAsia="仿宋_GB2312" w:cs="宋体"/>
          <w:color w:val="333333"/>
          <w:kern w:val="0"/>
          <w:sz w:val="32"/>
          <w:szCs w:val="32"/>
        </w:rPr>
        <w:t>年决算支出0万元,较上年度决算持平</w:t>
      </w:r>
      <w:r>
        <w:rPr>
          <w:rFonts w:hint="eastAsia" w:ascii="仿宋_GB2312" w:eastAsia="仿宋_GB2312" w:cs="宋体"/>
          <w:color w:val="333333"/>
          <w:kern w:val="0"/>
          <w:sz w:val="32"/>
          <w:szCs w:val="32"/>
          <w:lang w:eastAsia="zh-CN"/>
        </w:rPr>
        <w:t>，与</w:t>
      </w:r>
      <w:r>
        <w:rPr>
          <w:rFonts w:hint="eastAsia" w:ascii="仿宋_GB2312" w:eastAsia="仿宋_GB2312" w:cs="宋体"/>
          <w:color w:val="333333"/>
          <w:kern w:val="0"/>
          <w:sz w:val="32"/>
          <w:szCs w:val="32"/>
          <w:lang w:val="en-US" w:eastAsia="zh-CN"/>
        </w:rPr>
        <w:t>2024年预算数持平。</w:t>
      </w:r>
    </w:p>
    <w:p>
      <w:pPr>
        <w:widowControl/>
        <w:spacing w:line="480" w:lineRule="atLeast"/>
        <w:ind w:firstLine="60"/>
        <w:rPr>
          <w:rFonts w:ascii="黑体" w:eastAsia="黑体" w:cs="宋体"/>
          <w:color w:val="333333"/>
          <w:kern w:val="0"/>
          <w:sz w:val="32"/>
          <w:szCs w:val="32"/>
        </w:rPr>
      </w:pPr>
      <w:r>
        <w:rPr>
          <w:rFonts w:hint="eastAsia" w:ascii="仿宋_GB2312" w:eastAsia="仿宋_GB2312" w:cs="宋体"/>
          <w:color w:val="333333"/>
          <w:kern w:val="0"/>
          <w:sz w:val="32"/>
          <w:szCs w:val="32"/>
        </w:rPr>
        <w:t>　　</w:t>
      </w:r>
      <w:r>
        <w:rPr>
          <w:rFonts w:hint="eastAsia" w:ascii="黑体" w:eastAsia="黑体" w:cs="宋体"/>
          <w:color w:val="333333"/>
          <w:kern w:val="0"/>
          <w:sz w:val="32"/>
          <w:szCs w:val="32"/>
        </w:rPr>
        <w:t>二、公务接待费</w:t>
      </w:r>
    </w:p>
    <w:p>
      <w:pPr>
        <w:spacing w:line="600" w:lineRule="exact"/>
        <w:ind w:firstLine="640"/>
        <w:rPr>
          <w:rFonts w:hint="eastAsia" w:ascii="仿宋_GB2312" w:eastAsia="仿宋_GB2312" w:cs="宋体"/>
          <w:color w:val="333333"/>
          <w:kern w:val="0"/>
          <w:sz w:val="32"/>
          <w:szCs w:val="32"/>
        </w:rPr>
      </w:pPr>
      <w:bookmarkStart w:id="0" w:name="_GoBack"/>
      <w:bookmarkEnd w:id="0"/>
      <w:r>
        <w:rPr>
          <w:rFonts w:hint="eastAsia" w:ascii="仿宋_GB2312" w:eastAsia="仿宋_GB2312" w:cs="宋体"/>
          <w:color w:val="333333"/>
          <w:kern w:val="0"/>
          <w:sz w:val="32"/>
          <w:szCs w:val="32"/>
          <w:lang w:eastAsia="zh-CN"/>
        </w:rPr>
        <w:t>202</w:t>
      </w:r>
      <w:r>
        <w:rPr>
          <w:rFonts w:hint="eastAsia" w:ascii="仿宋_GB2312" w:eastAsia="仿宋_GB2312" w:cs="宋体"/>
          <w:color w:val="333333"/>
          <w:kern w:val="0"/>
          <w:sz w:val="32"/>
          <w:szCs w:val="32"/>
          <w:lang w:val="en-US" w:eastAsia="zh-CN"/>
        </w:rPr>
        <w:t>5</w:t>
      </w:r>
      <w:r>
        <w:rPr>
          <w:rFonts w:hint="eastAsia" w:ascii="仿宋_GB2312" w:eastAsia="仿宋_GB2312" w:cs="宋体"/>
          <w:color w:val="333333"/>
          <w:kern w:val="0"/>
          <w:sz w:val="32"/>
          <w:szCs w:val="32"/>
        </w:rPr>
        <w:t>年决算支出</w:t>
      </w:r>
      <w:r>
        <w:rPr>
          <w:rFonts w:hint="eastAsia" w:ascii="仿宋_GB2312" w:eastAsia="仿宋_GB2312" w:cs="宋体"/>
          <w:color w:val="333333"/>
          <w:kern w:val="0"/>
          <w:sz w:val="32"/>
          <w:szCs w:val="32"/>
          <w:lang w:val="en-US" w:eastAsia="zh-CN"/>
        </w:rPr>
        <w:t>0</w:t>
      </w:r>
      <w:r>
        <w:rPr>
          <w:rFonts w:hint="eastAsia" w:ascii="仿宋_GB2312" w:eastAsia="仿宋_GB2312" w:cs="宋体"/>
          <w:color w:val="333333"/>
          <w:kern w:val="0"/>
          <w:sz w:val="32"/>
          <w:szCs w:val="32"/>
        </w:rPr>
        <w:t>万元，较</w:t>
      </w:r>
      <w:r>
        <w:rPr>
          <w:rFonts w:hint="eastAsia" w:ascii="仿宋_GB2312" w:eastAsia="仿宋_GB2312" w:cs="宋体"/>
          <w:color w:val="333333"/>
          <w:kern w:val="0"/>
          <w:sz w:val="32"/>
          <w:szCs w:val="32"/>
          <w:lang w:eastAsia="zh-CN"/>
        </w:rPr>
        <w:t>202</w:t>
      </w:r>
      <w:r>
        <w:rPr>
          <w:rFonts w:hint="eastAsia" w:ascii="仿宋_GB2312" w:eastAsia="仿宋_GB2312" w:cs="宋体"/>
          <w:color w:val="333333"/>
          <w:kern w:val="0"/>
          <w:sz w:val="32"/>
          <w:szCs w:val="32"/>
          <w:lang w:val="en-US" w:eastAsia="zh-CN"/>
        </w:rPr>
        <w:t>4</w:t>
      </w:r>
      <w:r>
        <w:rPr>
          <w:rFonts w:hint="eastAsia" w:ascii="仿宋_GB2312" w:eastAsia="仿宋_GB2312" w:cs="宋体"/>
          <w:color w:val="333333"/>
          <w:kern w:val="0"/>
          <w:sz w:val="32"/>
          <w:szCs w:val="32"/>
        </w:rPr>
        <w:t>年决算</w:t>
      </w:r>
      <w:r>
        <w:rPr>
          <w:rFonts w:hint="eastAsia" w:ascii="仿宋_GB2312" w:eastAsia="仿宋_GB2312"/>
          <w:color w:val="000000"/>
          <w:sz w:val="32"/>
          <w:szCs w:val="32"/>
        </w:rPr>
        <w:t>公务接待费</w:t>
      </w:r>
      <w:r>
        <w:rPr>
          <w:rFonts w:hint="eastAsia" w:ascii="仿宋_GB2312" w:eastAsia="仿宋_GB2312"/>
          <w:color w:val="000000"/>
          <w:sz w:val="32"/>
          <w:szCs w:val="32"/>
          <w:lang w:eastAsia="zh-CN"/>
        </w:rPr>
        <w:t>减少</w:t>
      </w:r>
      <w:r>
        <w:rPr>
          <w:rFonts w:hint="eastAsia" w:ascii="仿宋_GB2312" w:eastAsia="仿宋_GB2312"/>
          <w:color w:val="000000"/>
          <w:sz w:val="32"/>
          <w:szCs w:val="32"/>
          <w:lang w:val="en-US" w:eastAsia="zh-CN"/>
        </w:rPr>
        <w:t>12.64万元</w:t>
      </w:r>
      <w:r>
        <w:rPr>
          <w:rFonts w:hint="eastAsia" w:ascii="仿宋_GB2312" w:eastAsia="仿宋_GB2312" w:cs="宋体"/>
          <w:color w:val="333333"/>
          <w:kern w:val="0"/>
          <w:sz w:val="32"/>
          <w:szCs w:val="32"/>
          <w:lang w:eastAsia="zh-CN"/>
        </w:rPr>
        <w:t>，完成</w:t>
      </w:r>
      <w:r>
        <w:rPr>
          <w:rFonts w:hint="eastAsia" w:ascii="仿宋_GB2312" w:eastAsia="仿宋_GB2312" w:cs="宋体"/>
          <w:color w:val="333333"/>
          <w:kern w:val="0"/>
          <w:sz w:val="32"/>
          <w:szCs w:val="32"/>
          <w:lang w:val="en-US" w:eastAsia="zh-CN"/>
        </w:rPr>
        <w:t>2025年预算。</w:t>
      </w:r>
      <w:r>
        <w:rPr>
          <w:rFonts w:hint="eastAsia" w:ascii="仿宋_GB2312" w:eastAsia="仿宋_GB2312" w:cs="宋体"/>
          <w:color w:val="333333"/>
          <w:kern w:val="0"/>
          <w:sz w:val="32"/>
          <w:szCs w:val="32"/>
        </w:rPr>
        <w:t>其中：国内公务接待费</w:t>
      </w:r>
      <w:r>
        <w:rPr>
          <w:rFonts w:hint="eastAsia" w:ascii="仿宋_GB2312" w:eastAsia="仿宋_GB2312" w:cs="宋体"/>
          <w:color w:val="333333"/>
          <w:kern w:val="0"/>
          <w:sz w:val="32"/>
          <w:szCs w:val="32"/>
          <w:lang w:val="en-US" w:eastAsia="zh-CN"/>
        </w:rPr>
        <w:t>0</w:t>
      </w:r>
      <w:r>
        <w:rPr>
          <w:rFonts w:hint="eastAsia" w:ascii="仿宋_GB2312" w:eastAsia="仿宋_GB2312" w:cs="宋体"/>
          <w:color w:val="333333"/>
          <w:kern w:val="0"/>
          <w:sz w:val="32"/>
          <w:szCs w:val="32"/>
        </w:rPr>
        <w:t>万元，共计</w:t>
      </w:r>
      <w:r>
        <w:rPr>
          <w:rFonts w:hint="eastAsia" w:ascii="仿宋_GB2312" w:eastAsia="仿宋_GB2312"/>
          <w:color w:val="000000"/>
          <w:sz w:val="32"/>
          <w:szCs w:val="32"/>
          <w:lang w:val="en-US" w:eastAsia="zh-CN"/>
        </w:rPr>
        <w:t>0</w:t>
      </w:r>
      <w:r>
        <w:rPr>
          <w:rFonts w:hint="eastAsia" w:ascii="仿宋_GB2312" w:eastAsia="仿宋_GB2312" w:cs="宋体"/>
          <w:color w:val="333333"/>
          <w:kern w:val="0"/>
          <w:sz w:val="32"/>
          <w:szCs w:val="32"/>
        </w:rPr>
        <w:t xml:space="preserve">批次共 </w:t>
      </w:r>
      <w:r>
        <w:rPr>
          <w:rFonts w:hint="eastAsia" w:ascii="仿宋_GB2312" w:eastAsia="仿宋_GB2312"/>
          <w:color w:val="000000"/>
          <w:sz w:val="32"/>
          <w:szCs w:val="32"/>
          <w:lang w:val="en-US" w:eastAsia="zh-CN"/>
        </w:rPr>
        <w:t>0</w:t>
      </w:r>
      <w:r>
        <w:rPr>
          <w:rFonts w:hint="eastAsia" w:ascii="仿宋_GB2312" w:eastAsia="仿宋_GB2312" w:cs="宋体"/>
          <w:color w:val="333333"/>
          <w:kern w:val="0"/>
          <w:sz w:val="32"/>
          <w:szCs w:val="32"/>
        </w:rPr>
        <w:t>人；国（境）外公务接待费0万元。</w:t>
      </w:r>
    </w:p>
    <w:p>
      <w:pPr>
        <w:spacing w:line="600" w:lineRule="exact"/>
        <w:ind w:firstLine="320" w:firstLineChars="100"/>
        <w:rPr>
          <w:rFonts w:ascii="仿宋_GB2312" w:eastAsia="仿宋_GB2312" w:cs="宋体"/>
          <w:color w:val="333333"/>
          <w:kern w:val="0"/>
          <w:sz w:val="32"/>
          <w:szCs w:val="32"/>
          <w:lang w:val="en-US" w:eastAsia="zh-CN"/>
        </w:rPr>
      </w:pPr>
      <w:r>
        <w:rPr>
          <w:rFonts w:hint="eastAsia" w:ascii="仿宋_GB2312" w:eastAsia="仿宋_GB2312" w:cs="宋体"/>
          <w:color w:val="333333"/>
          <w:kern w:val="0"/>
          <w:sz w:val="32"/>
          <w:szCs w:val="32"/>
        </w:rPr>
        <w:t>　</w:t>
      </w:r>
      <w:r>
        <w:rPr>
          <w:rFonts w:hint="eastAsia" w:ascii="黑体" w:eastAsia="黑体" w:cs="宋体"/>
          <w:color w:val="333333"/>
          <w:kern w:val="0"/>
          <w:sz w:val="32"/>
          <w:szCs w:val="32"/>
        </w:rPr>
        <w:t>三、公务用车购置及运行维护费</w:t>
      </w:r>
      <w:r>
        <w:rPr>
          <w:rFonts w:hint="eastAsia" w:ascii="黑体" w:eastAsia="黑体" w:cs="宋体"/>
          <w:color w:val="333333"/>
          <w:kern w:val="0"/>
          <w:sz w:val="32"/>
          <w:szCs w:val="32"/>
        </w:rPr>
        <w:br w:type="textWrapping"/>
      </w:r>
      <w:r>
        <w:rPr>
          <w:rFonts w:hint="eastAsia" w:ascii="仿宋_GB2312" w:eastAsia="仿宋_GB2312" w:cs="宋体"/>
          <w:color w:val="333333"/>
          <w:kern w:val="0"/>
          <w:sz w:val="32"/>
          <w:szCs w:val="32"/>
        </w:rPr>
        <w:t>　　</w:t>
      </w:r>
      <w:r>
        <w:rPr>
          <w:rFonts w:hint="eastAsia" w:ascii="仿宋_GB2312" w:eastAsia="仿宋_GB2312" w:cs="宋体"/>
          <w:color w:val="333333"/>
          <w:kern w:val="0"/>
          <w:sz w:val="32"/>
          <w:szCs w:val="32"/>
          <w:lang w:eastAsia="zh-CN"/>
        </w:rPr>
        <w:t>202</w:t>
      </w:r>
      <w:r>
        <w:rPr>
          <w:rFonts w:hint="eastAsia" w:ascii="仿宋_GB2312" w:eastAsia="仿宋_GB2312" w:cs="宋体"/>
          <w:color w:val="333333"/>
          <w:kern w:val="0"/>
          <w:sz w:val="32"/>
          <w:szCs w:val="32"/>
          <w:lang w:val="en-US" w:eastAsia="zh-CN"/>
        </w:rPr>
        <w:t>5</w:t>
      </w:r>
      <w:r>
        <w:rPr>
          <w:rFonts w:hint="eastAsia" w:ascii="仿宋_GB2312" w:eastAsia="仿宋_GB2312" w:cs="宋体"/>
          <w:color w:val="333333"/>
          <w:kern w:val="0"/>
          <w:sz w:val="32"/>
          <w:szCs w:val="32"/>
        </w:rPr>
        <w:t>年决算支出</w:t>
      </w:r>
      <w:r>
        <w:rPr>
          <w:rFonts w:hint="eastAsia" w:ascii="仿宋_GB2312" w:eastAsia="仿宋_GB2312"/>
          <w:color w:val="000000"/>
          <w:sz w:val="32"/>
          <w:szCs w:val="32"/>
          <w:lang w:val="en-US" w:eastAsia="zh-CN"/>
        </w:rPr>
        <w:t>113.38</w:t>
      </w:r>
      <w:r>
        <w:rPr>
          <w:rFonts w:hint="eastAsia" w:ascii="仿宋_GB2312" w:eastAsia="仿宋_GB2312" w:cs="宋体"/>
          <w:color w:val="333333"/>
          <w:kern w:val="0"/>
          <w:sz w:val="32"/>
          <w:szCs w:val="32"/>
        </w:rPr>
        <w:t>万元，较</w:t>
      </w:r>
      <w:r>
        <w:rPr>
          <w:rFonts w:hint="eastAsia" w:ascii="仿宋_GB2312" w:eastAsia="仿宋_GB2312" w:cs="宋体"/>
          <w:color w:val="333333"/>
          <w:kern w:val="0"/>
          <w:sz w:val="32"/>
          <w:szCs w:val="32"/>
          <w:lang w:eastAsia="zh-CN"/>
        </w:rPr>
        <w:t>202</w:t>
      </w:r>
      <w:r>
        <w:rPr>
          <w:rFonts w:hint="eastAsia" w:ascii="仿宋_GB2312" w:eastAsia="仿宋_GB2312" w:cs="宋体"/>
          <w:color w:val="333333"/>
          <w:kern w:val="0"/>
          <w:sz w:val="32"/>
          <w:szCs w:val="32"/>
          <w:lang w:val="en-US" w:eastAsia="zh-CN"/>
        </w:rPr>
        <w:t>4</w:t>
      </w:r>
      <w:r>
        <w:rPr>
          <w:rFonts w:hint="eastAsia" w:ascii="仿宋_GB2312" w:eastAsia="仿宋_GB2312" w:cs="宋体"/>
          <w:color w:val="333333"/>
          <w:kern w:val="0"/>
          <w:sz w:val="32"/>
          <w:szCs w:val="32"/>
        </w:rPr>
        <w:t>年决算</w:t>
      </w:r>
      <w:r>
        <w:rPr>
          <w:rFonts w:hint="eastAsia" w:ascii="仿宋_GB2312" w:eastAsia="仿宋_GB2312"/>
          <w:color w:val="000000"/>
          <w:sz w:val="32"/>
          <w:szCs w:val="32"/>
          <w:lang w:val="en-US" w:eastAsia="zh-CN"/>
        </w:rPr>
        <w:t>181.33万元减少67.94</w:t>
      </w:r>
      <w:r>
        <w:rPr>
          <w:rFonts w:hint="eastAsia" w:ascii="仿宋_GB2312" w:eastAsia="仿宋_GB2312"/>
          <w:color w:val="000000"/>
          <w:sz w:val="32"/>
          <w:szCs w:val="32"/>
        </w:rPr>
        <w:t>万元</w:t>
      </w:r>
      <w:r>
        <w:rPr>
          <w:rFonts w:hint="eastAsia" w:ascii="仿宋_GB2312" w:eastAsia="仿宋_GB2312" w:cs="宋体"/>
          <w:color w:val="333333"/>
          <w:kern w:val="0"/>
          <w:sz w:val="32"/>
          <w:szCs w:val="32"/>
          <w:lang w:eastAsia="zh-CN"/>
        </w:rPr>
        <w:t>，</w:t>
      </w:r>
      <w:r>
        <w:rPr>
          <w:rFonts w:hint="eastAsia" w:ascii="仿宋_GB2312" w:eastAsia="仿宋_GB2312" w:cs="宋体"/>
          <w:color w:val="333333"/>
          <w:kern w:val="0"/>
          <w:sz w:val="32"/>
          <w:szCs w:val="32"/>
        </w:rPr>
        <w:t>主要原因：</w:t>
      </w:r>
      <w:r>
        <w:rPr>
          <w:rFonts w:hint="eastAsia" w:ascii="仿宋_GB2312" w:eastAsia="仿宋_GB2312"/>
          <w:color w:val="000000"/>
          <w:sz w:val="32"/>
          <w:szCs w:val="32"/>
        </w:rPr>
        <w:t>主要原因是</w:t>
      </w:r>
      <w:r>
        <w:rPr>
          <w:rFonts w:hint="eastAsia" w:ascii="仿宋_GB2312" w:eastAsia="仿宋_GB2312"/>
          <w:color w:val="000000"/>
          <w:sz w:val="32"/>
          <w:szCs w:val="32"/>
          <w:lang w:val="en-US" w:eastAsia="zh-CN"/>
        </w:rPr>
        <w:t>单位厉行节约，</w:t>
      </w:r>
      <w:r>
        <w:rPr>
          <w:rFonts w:hint="eastAsia" w:ascii="仿宋_GB2312" w:eastAsia="仿宋_GB2312"/>
          <w:color w:val="000000"/>
          <w:sz w:val="32"/>
          <w:szCs w:val="32"/>
          <w:lang w:eastAsia="zh-CN"/>
        </w:rPr>
        <w:t>公务用车</w:t>
      </w:r>
      <w:r>
        <w:rPr>
          <w:rFonts w:hint="eastAsia" w:ascii="仿宋_GB2312" w:eastAsia="仿宋_GB2312"/>
          <w:color w:val="000000"/>
          <w:sz w:val="32"/>
          <w:szCs w:val="32"/>
          <w:lang w:val="en-US" w:eastAsia="zh-CN"/>
        </w:rPr>
        <w:t>运行维护费减少，公车购置减少</w:t>
      </w:r>
      <w:r>
        <w:rPr>
          <w:rFonts w:hint="eastAsia" w:ascii="仿宋_GB2312" w:eastAsia="仿宋_GB2312"/>
          <w:color w:val="000000"/>
          <w:sz w:val="32"/>
          <w:szCs w:val="32"/>
          <w:lang w:eastAsia="zh-CN"/>
        </w:rPr>
        <w:t>。</w:t>
      </w:r>
    </w:p>
    <w:p>
      <w:pPr>
        <w:widowControl/>
        <w:spacing w:line="480" w:lineRule="atLeast"/>
        <w:ind w:firstLine="60"/>
        <w:rPr>
          <w:rFonts w:ascii="仿宋_GB2312" w:eastAsia="仿宋_GB2312" w:cs="宋体"/>
          <w:color w:val="333333"/>
          <w:kern w:val="0"/>
          <w:sz w:val="32"/>
          <w:szCs w:val="32"/>
        </w:rPr>
      </w:pPr>
      <w:r>
        <w:rPr>
          <w:rFonts w:hint="eastAsia" w:ascii="仿宋_GB2312" w:eastAsia="仿宋_GB2312" w:cs="宋体"/>
          <w:color w:val="333333"/>
          <w:kern w:val="0"/>
          <w:sz w:val="32"/>
          <w:szCs w:val="32"/>
        </w:rPr>
        <w:t>　 单位共有公务用车10辆，其中：越野车1</w:t>
      </w:r>
      <w:r>
        <w:rPr>
          <w:rFonts w:hint="eastAsia" w:ascii="仿宋_GB2312" w:eastAsia="仿宋_GB2312" w:cs="宋体"/>
          <w:color w:val="333333"/>
          <w:kern w:val="0"/>
          <w:sz w:val="32"/>
          <w:szCs w:val="32"/>
          <w:lang w:val="en-US" w:eastAsia="zh-CN"/>
        </w:rPr>
        <w:t>0</w:t>
      </w:r>
      <w:r>
        <w:rPr>
          <w:rFonts w:hint="eastAsia" w:ascii="仿宋_GB2312" w:eastAsia="仿宋_GB2312" w:cs="宋体"/>
          <w:color w:val="333333"/>
          <w:kern w:val="0"/>
          <w:sz w:val="32"/>
          <w:szCs w:val="32"/>
        </w:rPr>
        <w:t>辆，轿车0辆。</w:t>
      </w:r>
    </w:p>
    <w:p>
      <w:pPr>
        <w:spacing w:line="600" w:lineRule="exact"/>
        <w:ind w:firstLine="640"/>
        <w:rPr>
          <w:rFonts w:ascii="仿宋_GB2312" w:eastAsia="仿宋_GB2312"/>
          <w:color w:val="000000"/>
          <w:sz w:val="32"/>
          <w:szCs w:val="32"/>
        </w:rPr>
      </w:pPr>
      <w:r>
        <w:rPr>
          <w:rFonts w:hint="eastAsia" w:ascii="仿宋_GB2312" w:eastAsia="仿宋_GB2312" w:cs="宋体"/>
          <w:color w:val="333333"/>
          <w:kern w:val="0"/>
          <w:sz w:val="32"/>
          <w:szCs w:val="32"/>
          <w:lang w:eastAsia="zh-CN"/>
        </w:rPr>
        <w:t>202</w:t>
      </w:r>
      <w:r>
        <w:rPr>
          <w:rFonts w:hint="eastAsia" w:ascii="仿宋_GB2312" w:eastAsia="仿宋_GB2312" w:cs="宋体"/>
          <w:color w:val="333333"/>
          <w:kern w:val="0"/>
          <w:sz w:val="32"/>
          <w:szCs w:val="32"/>
          <w:lang w:val="en-US" w:eastAsia="zh-CN"/>
        </w:rPr>
        <w:t>5</w:t>
      </w:r>
      <w:r>
        <w:rPr>
          <w:rFonts w:hint="eastAsia" w:ascii="仿宋_GB2312" w:eastAsia="仿宋_GB2312" w:cs="宋体"/>
          <w:color w:val="333333"/>
          <w:kern w:val="0"/>
          <w:sz w:val="32"/>
          <w:szCs w:val="32"/>
        </w:rPr>
        <w:t>年安排公务用车运行维护费</w:t>
      </w:r>
      <w:r>
        <w:rPr>
          <w:rFonts w:hint="eastAsia" w:ascii="仿宋_GB2312" w:eastAsia="仿宋_GB2312"/>
          <w:color w:val="000000"/>
          <w:sz w:val="32"/>
          <w:szCs w:val="32"/>
          <w:lang w:val="en-US" w:eastAsia="zh-CN"/>
        </w:rPr>
        <w:t>113.38</w:t>
      </w:r>
      <w:r>
        <w:rPr>
          <w:rFonts w:hint="eastAsia" w:ascii="仿宋_GB2312" w:eastAsia="仿宋_GB2312" w:cs="宋体"/>
          <w:color w:val="333333"/>
          <w:kern w:val="0"/>
          <w:sz w:val="32"/>
          <w:szCs w:val="32"/>
        </w:rPr>
        <w:t>万元。</w:t>
      </w:r>
      <w:r>
        <w:rPr>
          <w:rFonts w:hint="eastAsia" w:ascii="仿宋_GB2312" w:eastAsia="仿宋_GB2312"/>
          <w:color w:val="000000"/>
          <w:sz w:val="32"/>
          <w:szCs w:val="32"/>
        </w:rPr>
        <w:t>主要用于政府领导因公出差、下乡等所需的公务用车燃料费、维修费、过路过桥费、保险费等支出。</w:t>
      </w:r>
    </w:p>
    <w:p>
      <w:pPr>
        <w:widowControl/>
        <w:spacing w:line="480" w:lineRule="atLeast"/>
        <w:ind w:firstLine="640" w:firstLineChars="200"/>
        <w:rPr>
          <w:rFonts w:ascii="仿宋_GB2312" w:eastAsia="仿宋_GB2312" w:cs="宋体"/>
          <w:color w:val="333333"/>
          <w:kern w:val="0"/>
          <w:sz w:val="32"/>
          <w:szCs w:val="32"/>
        </w:rPr>
      </w:pPr>
      <w:r>
        <w:rPr>
          <w:rFonts w:hint="eastAsia" w:ascii="仿宋_GB2312" w:eastAsia="仿宋_GB2312" w:cs="宋体"/>
          <w:color w:val="333333"/>
          <w:kern w:val="0"/>
          <w:sz w:val="32"/>
          <w:szCs w:val="32"/>
          <w:lang w:eastAsia="zh-CN"/>
        </w:rPr>
        <w:t>202</w:t>
      </w:r>
      <w:r>
        <w:rPr>
          <w:rFonts w:hint="eastAsia" w:ascii="仿宋_GB2312" w:eastAsia="仿宋_GB2312" w:cs="宋体"/>
          <w:color w:val="333333"/>
          <w:kern w:val="0"/>
          <w:sz w:val="32"/>
          <w:szCs w:val="32"/>
          <w:lang w:val="en-US" w:eastAsia="zh-CN"/>
        </w:rPr>
        <w:t>5</w:t>
      </w:r>
      <w:r>
        <w:rPr>
          <w:rFonts w:hint="eastAsia" w:ascii="仿宋_GB2312" w:eastAsia="仿宋_GB2312" w:cs="宋体"/>
          <w:color w:val="333333"/>
          <w:kern w:val="0"/>
          <w:sz w:val="32"/>
          <w:szCs w:val="32"/>
        </w:rPr>
        <w:t>年安排公务用车购置</w:t>
      </w:r>
      <w:r>
        <w:rPr>
          <w:rFonts w:hint="eastAsia" w:ascii="仿宋_GB2312" w:eastAsia="仿宋_GB2312" w:cs="宋体"/>
          <w:color w:val="333333"/>
          <w:kern w:val="0"/>
          <w:sz w:val="32"/>
          <w:szCs w:val="32"/>
          <w:lang w:val="en-US" w:eastAsia="zh-CN"/>
        </w:rPr>
        <w:t>0</w:t>
      </w:r>
      <w:r>
        <w:rPr>
          <w:rFonts w:hint="eastAsia" w:ascii="仿宋_GB2312" w:eastAsia="仿宋_GB2312" w:cs="宋体"/>
          <w:color w:val="333333"/>
          <w:kern w:val="0"/>
          <w:sz w:val="32"/>
          <w:szCs w:val="32"/>
        </w:rPr>
        <w:t>辆，购置费</w:t>
      </w:r>
      <w:r>
        <w:rPr>
          <w:rFonts w:hint="eastAsia" w:ascii="仿宋_GB2312" w:eastAsia="仿宋_GB2312" w:cs="宋体"/>
          <w:color w:val="333333"/>
          <w:kern w:val="0"/>
          <w:sz w:val="32"/>
          <w:szCs w:val="32"/>
          <w:lang w:val="en-US" w:eastAsia="zh-CN"/>
        </w:rPr>
        <w:t>0</w:t>
      </w:r>
      <w:r>
        <w:rPr>
          <w:rFonts w:hint="eastAsia" w:ascii="仿宋_GB2312" w:eastAsia="仿宋_GB2312" w:cs="宋体"/>
          <w:color w:val="333333"/>
          <w:kern w:val="0"/>
          <w:sz w:val="32"/>
          <w:szCs w:val="32"/>
        </w:rPr>
        <w:t>万元。</w:t>
      </w:r>
    </w:p>
    <w:p>
      <w:pPr>
        <w:widowControl/>
        <w:spacing w:line="240" w:lineRule="atLeast"/>
        <w:rPr>
          <w:rFonts w:ascii="仿宋_GB2312" w:eastAsia="仿宋_GB2312" w:cs="宋体"/>
          <w:color w:val="333333"/>
          <w:kern w:val="0"/>
          <w:sz w:val="32"/>
          <w:szCs w:val="32"/>
        </w:rPr>
      </w:pPr>
    </w:p>
    <w:p>
      <w:pPr>
        <w:widowControl/>
        <w:spacing w:line="240" w:lineRule="atLeast"/>
        <w:ind w:firstLine="60"/>
        <w:jc w:val="center"/>
        <w:rPr>
          <w:rFonts w:ascii="仿宋_GB2312" w:eastAsia="仿宋_GB2312" w:cs="宋体"/>
          <w:color w:val="333333"/>
          <w:kern w:val="0"/>
          <w:sz w:val="32"/>
          <w:szCs w:val="32"/>
        </w:rPr>
      </w:pPr>
    </w:p>
    <w:p>
      <w:pPr>
        <w:widowControl/>
        <w:spacing w:line="240" w:lineRule="atLeast"/>
        <w:ind w:firstLine="60"/>
        <w:jc w:val="center"/>
        <w:rPr>
          <w:rFonts w:ascii="仿宋_GB2312" w:eastAsia="仿宋_GB2312" w:cs="宋体"/>
          <w:color w:val="333333"/>
          <w:kern w:val="0"/>
          <w:sz w:val="32"/>
          <w:szCs w:val="32"/>
        </w:rPr>
      </w:pPr>
    </w:p>
    <w:p>
      <w:pPr>
        <w:widowControl/>
        <w:spacing w:line="240" w:lineRule="atLeast"/>
        <w:ind w:firstLine="60"/>
        <w:jc w:val="center"/>
        <w:rPr>
          <w:rFonts w:ascii="仿宋_GB2312" w:eastAsia="仿宋_GB2312" w:cs="宋体"/>
          <w:color w:val="333333"/>
          <w:kern w:val="0"/>
          <w:sz w:val="32"/>
          <w:szCs w:val="32"/>
        </w:rPr>
      </w:pPr>
    </w:p>
    <w:p>
      <w:pPr>
        <w:widowControl/>
        <w:spacing w:line="240" w:lineRule="atLeast"/>
        <w:ind w:firstLine="60"/>
        <w:jc w:val="center"/>
        <w:rPr>
          <w:rFonts w:ascii="仿宋_GB2312" w:eastAsia="仿宋_GB2312" w:cs="宋体"/>
          <w:color w:val="333333"/>
          <w:kern w:val="0"/>
          <w:sz w:val="32"/>
          <w:szCs w:val="32"/>
        </w:rPr>
      </w:pPr>
      <w:r>
        <w:rPr>
          <w:rFonts w:hint="eastAsia" w:ascii="仿宋_GB2312" w:eastAsia="仿宋_GB2312" w:cs="宋体"/>
          <w:color w:val="333333"/>
          <w:kern w:val="0"/>
          <w:sz w:val="32"/>
          <w:szCs w:val="32"/>
        </w:rPr>
        <w:t>黑水县人民政府办公室财政拨款“三公”经费</w:t>
      </w:r>
    </w:p>
    <w:p>
      <w:pPr>
        <w:widowControl/>
        <w:spacing w:line="240" w:lineRule="atLeast"/>
        <w:ind w:firstLine="60"/>
        <w:jc w:val="center"/>
        <w:rPr>
          <w:rFonts w:ascii="仿宋_GB2312" w:eastAsia="仿宋_GB2312" w:cs="宋体"/>
          <w:color w:val="333333"/>
          <w:kern w:val="0"/>
          <w:sz w:val="32"/>
          <w:szCs w:val="32"/>
        </w:rPr>
      </w:pPr>
      <w:r>
        <w:rPr>
          <w:rFonts w:hint="eastAsia" w:ascii="仿宋_GB2312" w:eastAsia="仿宋_GB2312" w:cs="宋体"/>
          <w:color w:val="333333"/>
          <w:kern w:val="0"/>
          <w:sz w:val="32"/>
          <w:szCs w:val="32"/>
          <w:lang w:eastAsia="zh-CN"/>
        </w:rPr>
        <w:t>202</w:t>
      </w:r>
      <w:r>
        <w:rPr>
          <w:rFonts w:hint="eastAsia" w:ascii="仿宋_GB2312" w:eastAsia="仿宋_GB2312" w:cs="宋体"/>
          <w:color w:val="333333"/>
          <w:kern w:val="0"/>
          <w:sz w:val="32"/>
          <w:szCs w:val="32"/>
          <w:lang w:val="en-US" w:eastAsia="zh-CN"/>
        </w:rPr>
        <w:t>5</w:t>
      </w:r>
      <w:r>
        <w:rPr>
          <w:rFonts w:hint="eastAsia" w:ascii="仿宋_GB2312" w:eastAsia="仿宋_GB2312" w:cs="宋体"/>
          <w:color w:val="333333"/>
          <w:kern w:val="0"/>
          <w:sz w:val="32"/>
          <w:szCs w:val="32"/>
        </w:rPr>
        <w:t>年决算情况表</w:t>
      </w:r>
    </w:p>
    <w:p>
      <w:pPr>
        <w:widowControl/>
        <w:spacing w:line="240" w:lineRule="atLeast"/>
        <w:ind w:firstLine="60"/>
        <w:jc w:val="center"/>
        <w:rPr>
          <w:rFonts w:ascii="仿宋_GB2312" w:eastAsia="仿宋_GB2312" w:cs="宋体"/>
          <w:color w:val="333333"/>
          <w:kern w:val="0"/>
          <w:sz w:val="28"/>
          <w:szCs w:val="28"/>
        </w:rPr>
      </w:pPr>
      <w:r>
        <w:rPr>
          <w:rFonts w:hint="eastAsia" w:ascii="仿宋_GB2312" w:eastAsia="仿宋_GB2312" w:cs="宋体"/>
          <w:color w:val="333333"/>
          <w:kern w:val="0"/>
          <w:sz w:val="28"/>
          <w:szCs w:val="28"/>
        </w:rPr>
        <w:t xml:space="preserve">                                         单位：万元</w:t>
      </w:r>
    </w:p>
    <w:tbl>
      <w:tblPr>
        <w:tblStyle w:val="8"/>
        <w:tblW w:w="8410" w:type="dxa"/>
        <w:tblCellSpacing w:w="7" w:type="dxa"/>
        <w:tblInd w:w="0" w:type="dxa"/>
        <w:tblBorders>
          <w:top w:val="outset" w:color="auto" w:sz="6" w:space="0"/>
          <w:left w:val="outset" w:color="auto" w:sz="6" w:space="0"/>
          <w:bottom w:val="outset" w:color="auto" w:sz="6" w:space="0"/>
          <w:right w:val="outset" w:color="auto" w:sz="6" w:space="0"/>
          <w:insideH w:val="none" w:color="auto" w:sz="0" w:space="0"/>
          <w:insideV w:val="none" w:color="auto" w:sz="0" w:space="0"/>
        </w:tblBorders>
        <w:tblLayout w:type="fixed"/>
        <w:tblCellMar>
          <w:top w:w="30" w:type="dxa"/>
          <w:left w:w="30" w:type="dxa"/>
          <w:bottom w:w="30" w:type="dxa"/>
          <w:right w:w="30" w:type="dxa"/>
        </w:tblCellMar>
      </w:tblPr>
      <w:tblGrid>
        <w:gridCol w:w="4575"/>
        <w:gridCol w:w="3835"/>
      </w:tblGrid>
      <w:tr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none" w:color="auto" w:sz="0" w:space="0"/>
            <w:insideV w:val="none" w:color="auto" w:sz="0" w:space="0"/>
          </w:tblBorders>
          <w:tblLayout w:type="fixed"/>
          <w:tblCellMar>
            <w:top w:w="30" w:type="dxa"/>
            <w:left w:w="30" w:type="dxa"/>
            <w:bottom w:w="30" w:type="dxa"/>
            <w:right w:w="30" w:type="dxa"/>
          </w:tblCellMar>
        </w:tblPrEx>
        <w:trPr>
          <w:trHeight w:val="697" w:hRule="exact"/>
          <w:tblCellSpacing w:w="7" w:type="dxa"/>
        </w:trPr>
        <w:tc>
          <w:tcPr>
            <w:tcW w:w="4554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noWrap/>
            <w:vAlign w:val="center"/>
          </w:tcPr>
          <w:p>
            <w:pPr>
              <w:widowControl/>
              <w:spacing w:line="240" w:lineRule="atLeast"/>
              <w:jc w:val="left"/>
              <w:rPr>
                <w:rFonts w:ascii="仿宋_GB2312" w:eastAsia="仿宋_GB2312" w:cs="宋体"/>
                <w:kern w:val="0"/>
                <w:sz w:val="28"/>
                <w:szCs w:val="28"/>
              </w:rPr>
            </w:pPr>
            <w:r>
              <w:rPr>
                <w:rFonts w:hint="eastAsia" w:ascii="仿宋_GB2312" w:eastAsia="仿宋_GB2312" w:cs="宋体"/>
                <w:kern w:val="0"/>
                <w:sz w:val="28"/>
                <w:szCs w:val="28"/>
              </w:rPr>
              <w:t>　　　　　项       目</w:t>
            </w:r>
          </w:p>
        </w:tc>
        <w:tc>
          <w:tcPr>
            <w:tcW w:w="3814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noWrap/>
            <w:vAlign w:val="center"/>
          </w:tcPr>
          <w:p>
            <w:pPr>
              <w:widowControl/>
              <w:spacing w:line="240" w:lineRule="atLeast"/>
              <w:jc w:val="center"/>
              <w:rPr>
                <w:rFonts w:ascii="仿宋_GB2312" w:eastAsia="仿宋_GB2312" w:cs="宋体"/>
                <w:kern w:val="0"/>
                <w:sz w:val="28"/>
                <w:szCs w:val="28"/>
              </w:rPr>
            </w:pPr>
            <w:r>
              <w:rPr>
                <w:rFonts w:hint="eastAsia" w:ascii="仿宋_GB2312" w:eastAsia="仿宋_GB2312" w:cs="宋体"/>
                <w:kern w:val="0"/>
                <w:sz w:val="28"/>
                <w:szCs w:val="28"/>
                <w:lang w:eastAsia="zh-CN"/>
              </w:rPr>
              <w:t>202</w:t>
            </w:r>
            <w:r>
              <w:rPr>
                <w:rFonts w:hint="eastAsia" w:ascii="仿宋_GB2312" w:eastAsia="仿宋_GB2312" w:cs="宋体"/>
                <w:kern w:val="0"/>
                <w:sz w:val="28"/>
                <w:szCs w:val="28"/>
                <w:lang w:val="en-US" w:eastAsia="zh-CN"/>
              </w:rPr>
              <w:t>5</w:t>
            </w:r>
            <w:r>
              <w:rPr>
                <w:rFonts w:hint="eastAsia" w:ascii="仿宋_GB2312" w:eastAsia="仿宋_GB2312" w:cs="宋体"/>
                <w:kern w:val="0"/>
                <w:sz w:val="28"/>
                <w:szCs w:val="28"/>
              </w:rPr>
              <w:t>年决算（万元）</w:t>
            </w:r>
          </w:p>
        </w:tc>
      </w:tr>
      <w:tr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none" w:color="auto" w:sz="0" w:space="0"/>
            <w:insideV w:val="none" w:color="auto" w:sz="0" w:space="0"/>
          </w:tblBorders>
          <w:tblLayout w:type="fixed"/>
          <w:tblCellMar>
            <w:top w:w="30" w:type="dxa"/>
            <w:left w:w="30" w:type="dxa"/>
            <w:bottom w:w="30" w:type="dxa"/>
            <w:right w:w="30" w:type="dxa"/>
          </w:tblCellMar>
        </w:tblPrEx>
        <w:trPr>
          <w:tblCellSpacing w:w="7" w:type="dxa"/>
        </w:trPr>
        <w:tc>
          <w:tcPr>
            <w:tcW w:w="4554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noWrap/>
            <w:vAlign w:val="center"/>
          </w:tcPr>
          <w:p>
            <w:pPr>
              <w:widowControl/>
              <w:spacing w:line="240" w:lineRule="atLeast"/>
              <w:jc w:val="left"/>
              <w:rPr>
                <w:rFonts w:ascii="仿宋_GB2312" w:eastAsia="仿宋_GB2312" w:cs="宋体"/>
                <w:kern w:val="0"/>
                <w:sz w:val="28"/>
                <w:szCs w:val="28"/>
              </w:rPr>
            </w:pPr>
            <w:r>
              <w:rPr>
                <w:rFonts w:hint="eastAsia" w:ascii="仿宋_GB2312" w:eastAsia="仿宋_GB2312" w:cs="宋体"/>
                <w:kern w:val="0"/>
                <w:sz w:val="28"/>
                <w:szCs w:val="28"/>
              </w:rPr>
              <w:t>因公出国（境）经费</w:t>
            </w:r>
          </w:p>
        </w:tc>
        <w:tc>
          <w:tcPr>
            <w:tcW w:w="3814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noWrap/>
            <w:vAlign w:val="center"/>
          </w:tcPr>
          <w:p>
            <w:pPr>
              <w:widowControl/>
              <w:spacing w:line="240" w:lineRule="atLeast"/>
              <w:jc w:val="center"/>
              <w:rPr>
                <w:rFonts w:ascii="仿宋_GB2312" w:eastAsia="仿宋_GB2312" w:cs="宋体"/>
                <w:kern w:val="0"/>
                <w:sz w:val="28"/>
                <w:szCs w:val="28"/>
              </w:rPr>
            </w:pPr>
            <w:r>
              <w:rPr>
                <w:rFonts w:hint="eastAsia" w:ascii="仿宋_GB2312" w:eastAsia="仿宋_GB2312" w:cs="宋体"/>
                <w:kern w:val="0"/>
                <w:sz w:val="28"/>
                <w:szCs w:val="28"/>
              </w:rPr>
              <w:t>0</w:t>
            </w:r>
          </w:p>
        </w:tc>
      </w:tr>
      <w:tr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none" w:color="auto" w:sz="0" w:space="0"/>
            <w:insideV w:val="none" w:color="auto" w:sz="0" w:space="0"/>
          </w:tblBorders>
          <w:tblLayout w:type="fixed"/>
          <w:tblCellMar>
            <w:top w:w="30" w:type="dxa"/>
            <w:left w:w="30" w:type="dxa"/>
            <w:bottom w:w="30" w:type="dxa"/>
            <w:right w:w="30" w:type="dxa"/>
          </w:tblCellMar>
        </w:tblPrEx>
        <w:trPr>
          <w:tblCellSpacing w:w="7" w:type="dxa"/>
        </w:trPr>
        <w:tc>
          <w:tcPr>
            <w:tcW w:w="4554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noWrap/>
            <w:vAlign w:val="center"/>
          </w:tcPr>
          <w:p>
            <w:pPr>
              <w:widowControl/>
              <w:spacing w:line="240" w:lineRule="atLeast"/>
              <w:jc w:val="left"/>
              <w:rPr>
                <w:rFonts w:ascii="仿宋_GB2312" w:eastAsia="仿宋_GB2312" w:cs="宋体"/>
                <w:kern w:val="0"/>
                <w:sz w:val="28"/>
                <w:szCs w:val="28"/>
              </w:rPr>
            </w:pPr>
            <w:r>
              <w:rPr>
                <w:rFonts w:hint="eastAsia" w:ascii="仿宋_GB2312" w:eastAsia="仿宋_GB2312" w:cs="宋体"/>
                <w:kern w:val="0"/>
                <w:sz w:val="28"/>
                <w:szCs w:val="28"/>
              </w:rPr>
              <w:t>公务接待费</w:t>
            </w:r>
          </w:p>
        </w:tc>
        <w:tc>
          <w:tcPr>
            <w:tcW w:w="3814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noWrap/>
            <w:vAlign w:val="center"/>
          </w:tcPr>
          <w:p>
            <w:pPr>
              <w:widowControl/>
              <w:spacing w:line="240" w:lineRule="atLeast"/>
              <w:jc w:val="center"/>
              <w:rPr>
                <w:rFonts w:ascii="仿宋_GB2312" w:eastAsia="仿宋_GB2312" w:cs="宋体"/>
                <w:kern w:val="0"/>
                <w:sz w:val="28"/>
                <w:szCs w:val="28"/>
                <w:lang w:val="en-US" w:eastAsia="zh-CN"/>
              </w:rPr>
            </w:pPr>
            <w:r>
              <w:rPr>
                <w:rFonts w:hint="eastAsia" w:ascii="仿宋_GB2312" w:eastAsia="仿宋_GB2312" w:cs="宋体"/>
                <w:kern w:val="0"/>
                <w:sz w:val="28"/>
                <w:szCs w:val="28"/>
                <w:lang w:val="en-US" w:eastAsia="zh-CN"/>
              </w:rPr>
              <w:t>0</w:t>
            </w:r>
          </w:p>
        </w:tc>
      </w:tr>
      <w:tr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none" w:color="auto" w:sz="0" w:space="0"/>
            <w:insideV w:val="none" w:color="auto" w:sz="0" w:space="0"/>
          </w:tblBorders>
          <w:tblLayout w:type="fixed"/>
          <w:tblCellMar>
            <w:top w:w="30" w:type="dxa"/>
            <w:left w:w="30" w:type="dxa"/>
            <w:bottom w:w="30" w:type="dxa"/>
            <w:right w:w="30" w:type="dxa"/>
          </w:tblCellMar>
        </w:tblPrEx>
        <w:trPr>
          <w:tblCellSpacing w:w="7" w:type="dxa"/>
        </w:trPr>
        <w:tc>
          <w:tcPr>
            <w:tcW w:w="4554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noWrap/>
            <w:vAlign w:val="center"/>
          </w:tcPr>
          <w:p>
            <w:pPr>
              <w:widowControl/>
              <w:spacing w:line="240" w:lineRule="atLeast"/>
              <w:jc w:val="left"/>
              <w:rPr>
                <w:rFonts w:ascii="仿宋_GB2312" w:eastAsia="仿宋_GB2312" w:cs="宋体"/>
                <w:kern w:val="0"/>
                <w:sz w:val="28"/>
                <w:szCs w:val="28"/>
              </w:rPr>
            </w:pPr>
            <w:r>
              <w:rPr>
                <w:rFonts w:hint="eastAsia" w:ascii="仿宋_GB2312" w:eastAsia="仿宋_GB2312" w:cs="宋体"/>
                <w:kern w:val="0"/>
                <w:sz w:val="28"/>
                <w:szCs w:val="28"/>
              </w:rPr>
              <w:t>公务用车购置及运行维护费</w:t>
            </w:r>
          </w:p>
        </w:tc>
        <w:tc>
          <w:tcPr>
            <w:tcW w:w="3814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noWrap/>
            <w:vAlign w:val="center"/>
          </w:tcPr>
          <w:p>
            <w:pPr>
              <w:widowControl/>
              <w:spacing w:line="240" w:lineRule="atLeast"/>
              <w:jc w:val="center"/>
              <w:rPr>
                <w:rFonts w:ascii="仿宋_GB2312" w:eastAsia="仿宋_GB2312" w:cs="宋体"/>
                <w:kern w:val="0"/>
                <w:sz w:val="28"/>
                <w:szCs w:val="28"/>
                <w:lang w:val="en-US" w:eastAsia="zh-CN"/>
              </w:rPr>
            </w:pPr>
            <w:r>
              <w:rPr>
                <w:rFonts w:hint="eastAsia" w:ascii="仿宋_GB2312" w:eastAsia="仿宋_GB2312" w:cs="宋体"/>
                <w:kern w:val="0"/>
                <w:sz w:val="28"/>
                <w:szCs w:val="28"/>
                <w:lang w:val="en-US" w:eastAsia="zh-CN"/>
              </w:rPr>
              <w:t>113.38</w:t>
            </w:r>
          </w:p>
        </w:tc>
      </w:tr>
      <w:tr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none" w:color="auto" w:sz="0" w:space="0"/>
            <w:insideV w:val="none" w:color="auto" w:sz="0" w:space="0"/>
          </w:tblBorders>
          <w:tblLayout w:type="fixed"/>
          <w:tblCellMar>
            <w:top w:w="30" w:type="dxa"/>
            <w:left w:w="30" w:type="dxa"/>
            <w:bottom w:w="30" w:type="dxa"/>
            <w:right w:w="30" w:type="dxa"/>
          </w:tblCellMar>
        </w:tblPrEx>
        <w:trPr>
          <w:tblCellSpacing w:w="7" w:type="dxa"/>
        </w:trPr>
        <w:tc>
          <w:tcPr>
            <w:tcW w:w="4554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noWrap/>
            <w:vAlign w:val="center"/>
          </w:tcPr>
          <w:p>
            <w:pPr>
              <w:widowControl/>
              <w:spacing w:line="240" w:lineRule="atLeast"/>
              <w:jc w:val="left"/>
              <w:rPr>
                <w:rFonts w:ascii="仿宋_GB2312" w:eastAsia="仿宋_GB2312" w:cs="宋体"/>
                <w:kern w:val="0"/>
                <w:sz w:val="28"/>
                <w:szCs w:val="28"/>
              </w:rPr>
            </w:pPr>
            <w:r>
              <w:rPr>
                <w:rFonts w:hint="eastAsia" w:ascii="仿宋_GB2312" w:eastAsia="仿宋_GB2312" w:cs="宋体"/>
                <w:kern w:val="0"/>
                <w:sz w:val="28"/>
                <w:szCs w:val="28"/>
              </w:rPr>
              <w:t>　　其中：购置经费</w:t>
            </w:r>
          </w:p>
        </w:tc>
        <w:tc>
          <w:tcPr>
            <w:tcW w:w="3814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noWrap/>
            <w:vAlign w:val="center"/>
          </w:tcPr>
          <w:p>
            <w:pPr>
              <w:widowControl/>
              <w:spacing w:line="240" w:lineRule="atLeast"/>
              <w:jc w:val="center"/>
              <w:rPr>
                <w:rFonts w:ascii="仿宋_GB2312" w:eastAsia="仿宋_GB2312" w:cs="宋体"/>
                <w:kern w:val="0"/>
                <w:sz w:val="28"/>
                <w:szCs w:val="28"/>
                <w:lang w:val="en-US" w:eastAsia="zh-CN"/>
              </w:rPr>
            </w:pPr>
            <w:r>
              <w:rPr>
                <w:rFonts w:hint="eastAsia" w:ascii="仿宋_GB2312" w:eastAsia="仿宋_GB2312" w:cs="宋体"/>
                <w:kern w:val="0"/>
                <w:sz w:val="28"/>
                <w:szCs w:val="28"/>
                <w:lang w:val="en-US" w:eastAsia="zh-CN"/>
              </w:rPr>
              <w:t>0</w:t>
            </w:r>
          </w:p>
        </w:tc>
      </w:tr>
      <w:tr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none" w:color="auto" w:sz="0" w:space="0"/>
            <w:insideV w:val="none" w:color="auto" w:sz="0" w:space="0"/>
          </w:tblBorders>
          <w:tblLayout w:type="fixed"/>
          <w:tblCellMar>
            <w:top w:w="30" w:type="dxa"/>
            <w:left w:w="30" w:type="dxa"/>
            <w:bottom w:w="30" w:type="dxa"/>
            <w:right w:w="30" w:type="dxa"/>
          </w:tblCellMar>
        </w:tblPrEx>
        <w:trPr>
          <w:tblCellSpacing w:w="7" w:type="dxa"/>
        </w:trPr>
        <w:tc>
          <w:tcPr>
            <w:tcW w:w="4554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noWrap/>
            <w:vAlign w:val="center"/>
          </w:tcPr>
          <w:p>
            <w:pPr>
              <w:widowControl/>
              <w:spacing w:line="240" w:lineRule="atLeast"/>
              <w:jc w:val="left"/>
              <w:rPr>
                <w:rFonts w:ascii="仿宋_GB2312" w:eastAsia="仿宋_GB2312" w:cs="宋体"/>
                <w:kern w:val="0"/>
                <w:sz w:val="28"/>
                <w:szCs w:val="28"/>
              </w:rPr>
            </w:pPr>
            <w:r>
              <w:rPr>
                <w:rFonts w:hint="eastAsia" w:ascii="仿宋_GB2312" w:eastAsia="仿宋_GB2312" w:cs="宋体"/>
                <w:kern w:val="0"/>
                <w:sz w:val="28"/>
                <w:szCs w:val="28"/>
              </w:rPr>
              <w:t>　　　　　运行维护费</w:t>
            </w:r>
          </w:p>
        </w:tc>
        <w:tc>
          <w:tcPr>
            <w:tcW w:w="3814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noWrap/>
            <w:vAlign w:val="center"/>
          </w:tcPr>
          <w:p>
            <w:pPr>
              <w:widowControl/>
              <w:spacing w:line="240" w:lineRule="atLeast"/>
              <w:jc w:val="center"/>
              <w:rPr>
                <w:rFonts w:ascii="仿宋_GB2312" w:eastAsia="仿宋_GB2312" w:cs="宋体"/>
                <w:kern w:val="0"/>
                <w:sz w:val="28"/>
                <w:szCs w:val="28"/>
                <w:lang w:val="en-US" w:eastAsia="zh-CN"/>
              </w:rPr>
            </w:pPr>
            <w:r>
              <w:rPr>
                <w:rFonts w:hint="eastAsia" w:ascii="仿宋_GB2312" w:eastAsia="仿宋_GB2312" w:cs="宋体"/>
                <w:kern w:val="0"/>
                <w:sz w:val="28"/>
                <w:szCs w:val="28"/>
                <w:lang w:val="en-US" w:eastAsia="zh-CN"/>
              </w:rPr>
              <w:t>113.38</w:t>
            </w:r>
          </w:p>
        </w:tc>
      </w:tr>
    </w:tbl>
    <w:p/>
    <w:p/>
    <w:p/>
    <w:p/>
    <w:p/>
    <w:p/>
    <w:p/>
    <w:p/>
    <w:p/>
    <w:p/>
    <w:p>
      <w:pPr>
        <w:spacing w:line="600" w:lineRule="exact"/>
        <w:jc w:val="left"/>
        <w:outlineLvl w:val="0"/>
        <w:rPr>
          <w:rStyle w:val="10"/>
          <w:rFonts w:ascii="仿宋_GB2312" w:eastAsia="仿宋_GB2312"/>
          <w:sz w:val="32"/>
          <w:szCs w:val="32"/>
        </w:rPr>
      </w:pPr>
    </w:p>
    <w:p>
      <w:pPr>
        <w:spacing w:line="600" w:lineRule="exact"/>
        <w:jc w:val="left"/>
        <w:outlineLvl w:val="0"/>
        <w:rPr>
          <w:rStyle w:val="10"/>
          <w:rFonts w:ascii="仿宋_GB2312" w:eastAsia="仿宋_GB2312"/>
          <w:sz w:val="32"/>
          <w:szCs w:val="32"/>
        </w:rPr>
      </w:pPr>
    </w:p>
    <w:p/>
    <w:sectPr>
      <w:pgSz w:w="11906" w:h="16838"/>
      <w:pgMar w:top="1440" w:right="1800" w:bottom="1440" w:left="1800" w:header="851" w:footer="992" w:gutter="0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default"/>
    <w:sig w:usb0="E0002AFF" w:usb1="C0007841" w:usb2="00000009" w:usb3="00000000" w:csb0="400001FF" w:csb1="FFFF0000"/>
  </w:font>
  <w:font w:name="宋体">
    <w:panose1 w:val="02010600030101010101"/>
    <w:charset w:val="7A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A00002EF" w:usb1="4000207B" w:usb2="00000000" w:usb3="00000000" w:csb0="2000009F" w:csb1="00000000"/>
  </w:font>
  <w:font w:name="方正小标宋简体">
    <w:altName w:val="Arial Unicode MS"/>
    <w:panose1 w:val="02000000000000000000"/>
    <w:charset w:val="86"/>
    <w:family w:val="auto"/>
    <w:pitch w:val="default"/>
    <w:sig w:usb0="00000000" w:usb1="00000000" w:usb2="00000012" w:usb3="00000000" w:csb0="00040001" w:csb1="00000000"/>
  </w:font>
  <w:font w:name="仿宋_GB2312">
    <w:altName w:val="仿宋"/>
    <w:panose1 w:val="02010609030101010101"/>
    <w:charset w:val="86"/>
    <w:family w:val="auto"/>
    <w:pitch w:val="default"/>
    <w:sig w:usb0="00000000" w:usb1="00000000" w:usb2="00000000" w:usb3="00000000" w:csb0="00040000" w:csb1="00000000"/>
  </w:font>
  <w:font w:name="Arial Unicode MS">
    <w:panose1 w:val="020B0604020202020204"/>
    <w:charset w:val="86"/>
    <w:family w:val="auto"/>
    <w:pitch w:val="default"/>
    <w:sig w:usb0="FFFFFFFF" w:usb1="E9FFFFFF" w:usb2="0000003F" w:usb3="00000000" w:csb0="603F01FF" w:csb1="FFFF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微软雅黑">
    <w:panose1 w:val="020B0503020204020204"/>
    <w:charset w:val="86"/>
    <w:family w:val="auto"/>
    <w:pitch w:val="default"/>
    <w:sig w:usb0="80000287" w:usb1="280F3C52" w:usb2="00000016" w:usb3="00000000" w:csb0="0004001F" w:csb1="00000000"/>
  </w:font>
  <w:font w:name="Tahoma">
    <w:panose1 w:val="020B0604030504040204"/>
    <w:charset w:val="00"/>
    <w:family w:val="auto"/>
    <w:pitch w:val="default"/>
    <w:sig w:usb0="E1002EFF" w:usb1="C000605B" w:usb2="00000029" w:usb3="00000000" w:csb0="200101FF" w:csb1="2028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0"/>
  <w:bordersDoNotSurroundHeader w:val="1"/>
  <w:bordersDoNotSurroundFooter w:val="1"/>
  <w:documentProtection w:edit="readOnly" w:enforcement="0"/>
  <w:defaultTabStop w:val="420"/>
  <w:drawingGridHorizontalSpacing w:val="105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ulTrailSpace/>
    <w:doNotExpandShiftReturn/>
    <w:adjustLineHeightInTable/>
    <w:useFELayout/>
    <w:compatSetting w:name="compatibilityMode" w:uri="http://schemas.microsoft.com/office/word" w:val="14"/>
  </w:compat>
  <w:rsids>
    <w:rsidRoot w:val="00000000"/>
    <w:rsid w:val="366D3882"/>
  </w:rsids>
  <m:mathPr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="Times New Roman" w:hAnsi="Times New Roman" w:eastAsia="宋体" w:cs="Times New Roman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nhideWhenUsed="0" w:uiPriority="0" w:semiHidden="0" w:name="heading 2"/>
    <w:lsdException w:qFormat="1" w:unhideWhenUsed="0" w:uiPriority="0" w:semiHidden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semiHidden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  <w:style w:type="paragraph" w:styleId="3">
    <w:name w:val="heading 1"/>
    <w:basedOn w:val="1"/>
    <w:next w:val="1"/>
    <w:link w:val="10"/>
    <w:qFormat/>
    <w:uiPriority w:val="0"/>
    <w:pPr>
      <w:keepNext/>
      <w:keepLines/>
      <w:widowControl w:val="0"/>
      <w:spacing w:before="340" w:after="330" w:line="578" w:lineRule="auto"/>
      <w:outlineLvl w:val="0"/>
    </w:pPr>
    <w:rPr>
      <w:b/>
      <w:bCs/>
      <w:kern w:val="44"/>
      <w:sz w:val="44"/>
      <w:szCs w:val="44"/>
    </w:rPr>
  </w:style>
  <w:style w:type="paragraph" w:styleId="4">
    <w:name w:val="heading 2"/>
    <w:basedOn w:val="1"/>
    <w:next w:val="1"/>
    <w:qFormat/>
    <w:uiPriority w:val="0"/>
    <w:pPr>
      <w:keepNext/>
      <w:keepLines/>
      <w:spacing w:before="260" w:after="260" w:line="415" w:lineRule="auto"/>
      <w:outlineLvl w:val="1"/>
    </w:pPr>
    <w:rPr>
      <w:rFonts w:ascii="Times New Roman" w:hAnsi="Times New Roman" w:eastAsia="黑体"/>
      <w:b/>
      <w:sz w:val="32"/>
    </w:rPr>
  </w:style>
  <w:style w:type="paragraph" w:styleId="5">
    <w:name w:val="heading 3"/>
    <w:basedOn w:val="1"/>
    <w:next w:val="1"/>
    <w:qFormat/>
    <w:uiPriority w:val="0"/>
    <w:pPr>
      <w:keepNext/>
      <w:keepLines/>
      <w:spacing w:before="260" w:after="260" w:line="415" w:lineRule="auto"/>
      <w:outlineLvl w:val="2"/>
    </w:pPr>
    <w:rPr>
      <w:b/>
      <w:sz w:val="32"/>
    </w:rPr>
  </w:style>
  <w:style w:type="character" w:default="1" w:styleId="9">
    <w:name w:val="Default Paragraph Font"/>
    <w:uiPriority w:val="0"/>
  </w:style>
  <w:style w:type="table" w:default="1" w:styleId="8">
    <w:name w:val="Normal Table"/>
    <w:semiHidden/>
    <w:qFormat/>
    <w:uiPriority w:val="0"/>
    <w:tblPr>
      <w:tblLayout w:type="fixed"/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2">
    <w:name w:val="标题 5（有编号）（绿盟科技）"/>
    <w:next w:val="1"/>
    <w:uiPriority w:val="0"/>
    <w:pPr>
      <w:keepNext/>
      <w:keepLines/>
      <w:widowControl w:val="0"/>
      <w:spacing w:before="280" w:after="156" w:line="377" w:lineRule="auto"/>
      <w:outlineLvl w:val="4"/>
    </w:pPr>
    <w:rPr>
      <w:rFonts w:ascii="Arial" w:hAnsi="Arial" w:eastAsia="黑体" w:cs="Times New Roman"/>
      <w:b/>
      <w:kern w:val="2"/>
      <w:sz w:val="24"/>
      <w:szCs w:val="28"/>
      <w:lang w:val="en-US" w:eastAsia="zh-CN" w:bidi="ar-SA"/>
    </w:rPr>
  </w:style>
  <w:style w:type="paragraph" w:styleId="6">
    <w:name w:val="footer"/>
    <w:basedOn w:val="1"/>
    <w:uiPriority w:val="0"/>
    <w:pPr>
      <w:tabs>
        <w:tab w:val="center" w:pos="4153"/>
        <w:tab w:val="right" w:pos="8306"/>
      </w:tabs>
      <w:snapToGrid w:val="0"/>
      <w:jc w:val="left"/>
    </w:pPr>
    <w:rPr>
      <w:rFonts w:ascii="Calibri" w:hAnsi="Calibri" w:eastAsia="宋体" w:cs="Arial"/>
      <w:sz w:val="18"/>
      <w:szCs w:val="18"/>
    </w:rPr>
  </w:style>
  <w:style w:type="paragraph" w:styleId="7">
    <w:name w:val="header"/>
    <w:basedOn w:val="1"/>
    <w:uiPriority w:val="0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rFonts w:ascii="Calibri" w:hAnsi="Calibri" w:eastAsia="宋体" w:cs="Arial"/>
      <w:sz w:val="18"/>
      <w:szCs w:val="18"/>
    </w:rPr>
  </w:style>
  <w:style w:type="character" w:customStyle="1" w:styleId="10">
    <w:name w:val="heading 1 Char"/>
    <w:basedOn w:val="9"/>
    <w:link w:val="3"/>
    <w:qFormat/>
    <w:uiPriority w:val="0"/>
    <w:rPr>
      <w:rFonts w:ascii="Times New Roman" w:hAnsi="Times New Roman" w:eastAsia="宋体" w:cs="Times New Roman"/>
      <w:b/>
      <w:bCs/>
      <w:kern w:val="44"/>
      <w:sz w:val="44"/>
      <w:szCs w:val="44"/>
      <w:lang w:val="en-US" w:eastAsia="zh-CN" w:bidi="ar-SA"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40404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atMod val="350000"/>
                <a:shade val="99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Normal.eit</Template>
  <Company>Sky123.Org</Company>
  <Pages>2</Pages>
  <Words>425</Words>
  <Characters>499</Characters>
  <Lines>53</Lines>
  <Paragraphs>26</Paragraphs>
  <TotalTime>24</TotalTime>
  <ScaleCrop>false</ScaleCrop>
  <LinksUpToDate>false</LinksUpToDate>
  <CharactersWithSpaces>575</CharactersWithSpaces>
  <Application>WPS Office_11.1.0.8799_F1E327BC-269C-435d-A152-05C5408002CA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2019-08-21T09:06:00Z</dcterms:created>
  <dc:creator>Sky123.Org</dc:creator>
  <cp:lastModifiedBy>Administrator</cp:lastModifiedBy>
  <cp:lastPrinted>2026-09-02T15:25:00Z</cp:lastPrinted>
  <dcterms:modified xsi:type="dcterms:W3CDTF">2026-09-08T08:19:11Z</dcterms:modified>
  <cp:revision>9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2052-11.1.0.8799</vt:lpwstr>
  </property>
  <property fmtid="{D5CDD505-2E9C-101B-9397-08002B2CF9AE}" pid="3" name="ICV">
    <vt:lpwstr>4B03A19121E6412C9D143A0461B07B28_13</vt:lpwstr>
  </property>
  <property fmtid="{D5CDD505-2E9C-101B-9397-08002B2CF9AE}" pid="4" name="KSOTemplateDocerSaveRecord">
    <vt:lpwstr>eyJoZGlkIjoiNWNhODMwMTkzODZhNDRkY2RkZWQ1Zjg1N2EwMTE0ZWYiLCJ1c2VySWQiOiI1NjI5OTM4OTQifQ==</vt:lpwstr>
  </property>
</Properties>
</file>