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center"/>
        <w:outlineLvl w:val="0"/>
        <w:rPr>
          <w:rFonts w:hint="eastAsia" w:ascii="仿宋_GB2312" w:hAnsi="黑体" w:eastAsia="仿宋_GB2312" w:cs="方正小标宋简体"/>
          <w:b/>
          <w:sz w:val="32"/>
          <w:szCs w:val="32"/>
        </w:rPr>
      </w:pPr>
      <w:bookmarkStart w:id="0" w:name="_Toc15396616"/>
      <w:bookmarkStart w:id="1" w:name="OLE_LINK1"/>
      <w:bookmarkStart w:id="2" w:name="OLE_LINK2"/>
      <w:r>
        <w:rPr>
          <w:rFonts w:hint="eastAsia" w:ascii="仿宋_GB2312" w:hAnsi="黑体" w:eastAsia="仿宋_GB2312" w:cs="方正小标宋简体"/>
          <w:b/>
          <w:sz w:val="32"/>
          <w:szCs w:val="32"/>
          <w:lang w:val="en-US" w:eastAsia="zh-CN"/>
        </w:rPr>
        <w:t>黑水县公安局</w:t>
      </w:r>
      <w:r>
        <w:rPr>
          <w:rFonts w:hint="eastAsia" w:ascii="仿宋_GB2312" w:hAnsi="黑体" w:eastAsia="仿宋_GB2312" w:cs="方正小标宋简体"/>
          <w:b/>
          <w:sz w:val="32"/>
          <w:szCs w:val="32"/>
          <w:lang w:eastAsia="zh-CN"/>
        </w:rPr>
        <w:t>2025</w:t>
      </w:r>
      <w:r>
        <w:rPr>
          <w:rFonts w:hint="eastAsia" w:ascii="仿宋_GB2312" w:hAnsi="黑体" w:eastAsia="仿宋_GB2312" w:cs="方正小标宋简体"/>
          <w:b/>
          <w:sz w:val="32"/>
          <w:szCs w:val="32"/>
        </w:rPr>
        <w:t>年部门</w:t>
      </w:r>
    </w:p>
    <w:p>
      <w:pPr>
        <w:spacing w:line="600" w:lineRule="exact"/>
        <w:jc w:val="center"/>
        <w:outlineLvl w:val="0"/>
        <w:rPr>
          <w:rFonts w:ascii="仿宋_GB2312" w:hAnsi="黑体" w:eastAsia="仿宋_GB2312" w:cs="方正小标宋简体"/>
          <w:b/>
          <w:sz w:val="32"/>
          <w:szCs w:val="32"/>
        </w:rPr>
      </w:pPr>
      <w:r>
        <w:rPr>
          <w:rFonts w:hint="eastAsia" w:ascii="仿宋_GB2312" w:hAnsi="黑体" w:eastAsia="仿宋_GB2312" w:cs="方正小标宋简体"/>
          <w:b/>
          <w:sz w:val="32"/>
          <w:szCs w:val="32"/>
        </w:rPr>
        <w:t>整体支出绩效评价报告</w:t>
      </w:r>
      <w:bookmarkEnd w:id="0"/>
    </w:p>
    <w:p>
      <w:pPr>
        <w:spacing w:line="580" w:lineRule="exact"/>
        <w:ind w:firstLine="643" w:firstLineChars="200"/>
        <w:rPr>
          <w:rFonts w:ascii="仿宋_GB2312" w:hAnsi="黑体" w:eastAsia="仿宋_GB2312" w:cs="黑体"/>
          <w:b/>
          <w:sz w:val="32"/>
          <w:szCs w:val="32"/>
        </w:rPr>
      </w:pPr>
    </w:p>
    <w:p>
      <w:pPr>
        <w:numPr>
          <w:ilvl w:val="0"/>
          <w:numId w:val="0"/>
        </w:numPr>
        <w:spacing w:line="580" w:lineRule="exact"/>
        <w:ind w:firstLine="320" w:firstLineChars="100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  <w:t>一</w:t>
      </w:r>
      <w:r>
        <w:rPr>
          <w:rFonts w:hint="eastAsia" w:ascii="仿宋_GB2312" w:hAnsi="仿宋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" w:eastAsia="仿宋_GB2312" w:cs="仿宋_GB2312"/>
          <w:sz w:val="32"/>
          <w:szCs w:val="32"/>
        </w:rPr>
        <w:t>机构职能。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80" w:lineRule="exact"/>
        <w:ind w:firstLine="640" w:firstLineChars="200"/>
        <w:jc w:val="both"/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</w:pPr>
      <w:r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  <w:t>1、贯彻执行公安工作的法律、法规、规章和方针、政策，研究制定公安工作方案和措施，领导、监督、检查全县公安工作。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80" w:lineRule="exact"/>
        <w:ind w:firstLine="640" w:firstLineChars="200"/>
        <w:jc w:val="both"/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</w:pPr>
      <w:r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  <w:t>2、调查研究公安工作中出现的新情况、新问题，掌握危害国家安全、影响社会治安稳定的情报信息，分析预测敌情和社情，为县委、县政府和上级公安机关提供信息并提出对策。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80" w:lineRule="exact"/>
        <w:ind w:firstLine="640" w:firstLineChars="200"/>
        <w:jc w:val="both"/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</w:pPr>
      <w:r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  <w:t>3、承担组织开展公安队伍正规化、装备现代化建设及民警教育和公安宣传工作的责任，组织公安督察工作，实施对民警的监督和权益保护。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80" w:lineRule="exact"/>
        <w:ind w:firstLine="640" w:firstLineChars="200"/>
        <w:jc w:val="both"/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</w:pPr>
      <w:r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  <w:t>4、预防、制止和侦查违法犯罪活动，参与处置严重危害社会安定的聚众闹事、骚乱事件和重大治安事件，协助、配合国家安全机关做好国家安全保卫工作和反恐防暴工作。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80" w:lineRule="exact"/>
        <w:ind w:firstLine="640" w:firstLineChars="200"/>
        <w:jc w:val="both"/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</w:pPr>
      <w:r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  <w:t>5、依法查处危害社会治安秩序行为，承担全县治安、户口、居民身份证、枪支弹药、危险物品、特种行业和出入境管理责任；管理集会、游行、示威活动。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80" w:lineRule="exact"/>
        <w:ind w:firstLine="640" w:firstLineChars="200"/>
        <w:jc w:val="both"/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</w:pPr>
      <w:r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  <w:t>6、管理道路交通安全，维护道路交通秩序，承担查处道路交通事故、管理机动车辆和驾驶员的责任。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80" w:lineRule="exact"/>
        <w:ind w:firstLine="640" w:firstLineChars="200"/>
        <w:jc w:val="both"/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</w:pPr>
      <w:r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  <w:t>7、指导和监督国家机关、社会团体、企事业组织和重点建设工程的治安保卫工作、治安防范工作。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80" w:lineRule="exact"/>
        <w:ind w:firstLine="640" w:firstLineChars="200"/>
        <w:jc w:val="both"/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</w:pPr>
      <w:r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  <w:t>8、管理看守所、拘留所。配合县司法局依法加强对服刑人员的监管。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80" w:lineRule="exact"/>
        <w:ind w:firstLine="640" w:firstLineChars="200"/>
        <w:jc w:val="both"/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</w:pPr>
      <w:r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  <w:t>9、负责辖区的公安警卫工作。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80" w:lineRule="exact"/>
        <w:ind w:firstLine="640" w:firstLineChars="200"/>
        <w:jc w:val="both"/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</w:pPr>
      <w:r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  <w:t>10、组织实施公安信息技术、刑事技术、行动技术、公共信息网络安全监察技术等公安科技建设，监督管理计算机信息系统安全保护工作。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80" w:lineRule="exact"/>
        <w:ind w:firstLine="640" w:firstLineChars="200"/>
        <w:jc w:val="both"/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</w:pPr>
      <w:r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  <w:t>11、承办县委、县政府和上级公安机关交办的其他事项。</w:t>
      </w:r>
    </w:p>
    <w:p>
      <w:pPr>
        <w:spacing w:line="580" w:lineRule="exact"/>
        <w:ind w:firstLine="640" w:firstLineChars="200"/>
        <w:rPr>
          <w:rFonts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二、部门财政资金收支情况</w:t>
      </w:r>
    </w:p>
    <w:p>
      <w:pPr>
        <w:spacing w:line="580" w:lineRule="exact"/>
        <w:ind w:firstLine="640" w:firstLineChars="200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（一）部门财政资金收入情况。</w:t>
      </w:r>
    </w:p>
    <w:p>
      <w:pPr>
        <w:spacing w:line="580" w:lineRule="exact"/>
        <w:ind w:firstLine="640" w:firstLineChars="200"/>
        <w:rPr>
          <w:rFonts w:hint="eastAsia" w:ascii="仿宋_GB2312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2025年我局年初收入预算数为4963.40万元，调整后收入预算数为7170.92万元，收入决算数为7170.92万元。</w:t>
      </w:r>
      <w:bookmarkStart w:id="3" w:name="_GoBack"/>
      <w:bookmarkEnd w:id="3"/>
    </w:p>
    <w:p>
      <w:pPr>
        <w:numPr>
          <w:ilvl w:val="0"/>
          <w:numId w:val="1"/>
        </w:numPr>
        <w:spacing w:line="580" w:lineRule="exact"/>
        <w:ind w:left="0" w:leftChars="0" w:firstLine="640" w:firstLineChars="200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部门财政资金支出情况。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80" w:lineRule="exact"/>
        <w:ind w:firstLine="640" w:firstLineChars="200"/>
        <w:jc w:val="both"/>
      </w:pPr>
      <w:r>
        <w:rPr>
          <w:rFonts w:hint="eastAsia" w:ascii="仿宋_GB2312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  <w:t>2025</w:t>
      </w:r>
      <w:r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  <w:t>年我局年初支出预算数为</w:t>
      </w:r>
      <w:r>
        <w:rPr>
          <w:rFonts w:hint="eastAsia" w:ascii="仿宋_GB2312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  <w:t>4963.40</w:t>
      </w:r>
      <w:r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  <w:t>万元，调整后支出预算数为</w:t>
      </w:r>
      <w:r>
        <w:rPr>
          <w:rFonts w:hint="eastAsia" w:ascii="仿宋_GB2312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  <w:t>7170.92</w:t>
      </w:r>
      <w:r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  <w:t>万元，支出决算数为</w:t>
      </w:r>
      <w:r>
        <w:rPr>
          <w:rFonts w:hint="eastAsia" w:ascii="仿宋_GB2312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  <w:t>7170.92</w:t>
      </w:r>
      <w:r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  <w:t>万元，预算执行率为100%。其中：基本支出</w:t>
      </w:r>
      <w:r>
        <w:rPr>
          <w:rFonts w:hint="eastAsia" w:ascii="仿宋_GB2312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  <w:t>4,338.26</w:t>
      </w:r>
      <w:r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  <w:t>万元（其中：人员经费支出为</w:t>
      </w:r>
      <w:r>
        <w:rPr>
          <w:rFonts w:hint="eastAsia" w:ascii="仿宋_GB2312" w:hAnsi="仿宋" w:eastAsia="仿宋_GB2312"/>
          <w:color w:val="000000" w:themeColor="text1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  <w:t>3,903.81</w:t>
      </w:r>
      <w:r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  <w:t>万元，公用经费支出为</w:t>
      </w:r>
      <w:r>
        <w:rPr>
          <w:rFonts w:ascii="宋体" w:hAnsi="宋体" w:eastAsia="宋体" w:cs="宋体"/>
          <w:sz w:val="24"/>
          <w:szCs w:val="24"/>
        </w:rPr>
        <w:t>335.64</w:t>
      </w:r>
      <w:r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  <w:t>万元）；项目支出</w:t>
      </w:r>
      <w:r>
        <w:rPr>
          <w:rFonts w:hint="eastAsia" w:ascii="仿宋_GB2312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  <w:t>2,832.66</w:t>
      </w:r>
      <w:r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  <w:t>万元。</w:t>
      </w:r>
    </w:p>
    <w:p>
      <w:pPr>
        <w:spacing w:line="580" w:lineRule="exact"/>
        <w:ind w:firstLine="640" w:firstLineChars="200"/>
        <w:rPr>
          <w:rFonts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三、部门整体预算绩效管理情况（根据适用指标体系进行调整）</w:t>
      </w:r>
    </w:p>
    <w:p>
      <w:pPr>
        <w:spacing w:line="58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（一）部门预算管理。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80" w:lineRule="exact"/>
        <w:ind w:firstLine="640" w:firstLineChars="200"/>
        <w:jc w:val="both"/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</w:pPr>
      <w:r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zh-CN" w:eastAsia="zh-CN"/>
        </w:rPr>
        <w:t>（</w:t>
      </w:r>
      <w:r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  <w:t>1</w:t>
      </w:r>
      <w:r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zh-CN" w:eastAsia="zh-CN"/>
        </w:rPr>
        <w:t>）</w:t>
      </w:r>
      <w:r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  <w:t>预算编制质量</w:t>
      </w:r>
    </w:p>
    <w:p>
      <w:pPr>
        <w:widowControl/>
        <w:numPr>
          <w:ilvl w:val="0"/>
          <w:numId w:val="0"/>
        </w:numPr>
        <w:adjustRightInd w:val="0"/>
        <w:snapToGrid w:val="0"/>
        <w:spacing w:line="580" w:lineRule="exact"/>
        <w:ind w:firstLine="640" w:firstLineChars="200"/>
        <w:jc w:val="both"/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zh-CN" w:eastAsia="zh-CN"/>
        </w:rPr>
      </w:pPr>
      <w:r>
        <w:rPr>
          <w:rFonts w:hint="eastAsia" w:ascii="仿宋_GB2312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  <w:t>2025</w:t>
      </w:r>
      <w:r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zh-CN" w:eastAsia="zh-CN"/>
        </w:rPr>
        <w:t>年，在县委县政府的指导下，我局开展了预算绩效管理，并对整体支出绩效进行了自评。我局从预算配置、预算执行、预算管理、资产管理等几个方面落实预算绩效管理工作，加强预算收支的管理，不断健全内部管理制度。绩效评价结果显示我单位</w:t>
      </w:r>
      <w:r>
        <w:rPr>
          <w:rFonts w:hint="eastAsia" w:ascii="仿宋_GB2312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  <w:t>2025</w:t>
      </w:r>
      <w:r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zh-CN" w:eastAsia="zh-CN"/>
        </w:rPr>
        <w:t>年预算绩效目标完成较好，预算绩效管理达到预期。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80" w:lineRule="exact"/>
        <w:ind w:firstLine="640" w:firstLineChars="200"/>
        <w:jc w:val="both"/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zh-CN" w:eastAsia="zh-CN"/>
        </w:rPr>
      </w:pPr>
      <w:r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zh-CN" w:eastAsia="zh-CN"/>
        </w:rPr>
        <w:t>（</w:t>
      </w:r>
      <w:r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  <w:t>2</w:t>
      </w:r>
      <w:r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zh-CN" w:eastAsia="zh-CN"/>
        </w:rPr>
        <w:t>）单位收入统筹</w:t>
      </w:r>
    </w:p>
    <w:p>
      <w:pPr>
        <w:widowControl/>
        <w:numPr>
          <w:ilvl w:val="0"/>
          <w:numId w:val="0"/>
        </w:numPr>
        <w:adjustRightInd w:val="0"/>
        <w:snapToGrid w:val="0"/>
        <w:spacing w:line="580" w:lineRule="exact"/>
        <w:ind w:firstLine="640" w:firstLineChars="200"/>
        <w:jc w:val="both"/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zh-CN" w:eastAsia="zh-CN"/>
        </w:rPr>
      </w:pPr>
      <w:r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zh-CN" w:eastAsia="zh-CN"/>
        </w:rPr>
        <w:t>我</w:t>
      </w:r>
      <w:r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  <w:t>局</w:t>
      </w:r>
      <w:r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zh-CN" w:eastAsia="zh-CN"/>
        </w:rPr>
        <w:t>未有自有收入，不涉及单位收入统筹。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80" w:lineRule="exact"/>
        <w:ind w:firstLine="640" w:firstLineChars="200"/>
        <w:jc w:val="both"/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</w:pPr>
      <w:r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  <w:t>（3）支出执行进度</w:t>
      </w:r>
    </w:p>
    <w:p>
      <w:pPr>
        <w:widowControl/>
        <w:numPr>
          <w:ilvl w:val="0"/>
          <w:numId w:val="0"/>
        </w:numPr>
        <w:adjustRightInd w:val="0"/>
        <w:snapToGrid w:val="0"/>
        <w:spacing w:line="580" w:lineRule="exact"/>
        <w:ind w:firstLine="640" w:firstLineChars="200"/>
        <w:jc w:val="both"/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</w:pPr>
      <w:r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  <w:t>1至6月预算执行数为3176.85万元，部门全年预算数为7170.92万元，1至6月支出预警金额0万元，无支出违规金额。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80" w:lineRule="exact"/>
        <w:ind w:firstLine="640" w:firstLineChars="200"/>
        <w:jc w:val="both"/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</w:pPr>
      <w:r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  <w:t>1至10月预算执行数为5550.25元，部门全年预算数为7170.92万元，1至10月支出预警金额0万元，无支出违规金额。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80" w:lineRule="exact"/>
        <w:ind w:firstLine="640" w:firstLineChars="200"/>
        <w:jc w:val="both"/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</w:pPr>
      <w:r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  <w:t>（4）预算年终结余</w:t>
      </w:r>
    </w:p>
    <w:p>
      <w:pPr>
        <w:widowControl/>
        <w:numPr>
          <w:ilvl w:val="0"/>
          <w:numId w:val="0"/>
        </w:numPr>
        <w:adjustRightInd w:val="0"/>
        <w:snapToGrid w:val="0"/>
        <w:spacing w:line="580" w:lineRule="exact"/>
        <w:ind w:firstLine="640" w:firstLineChars="200"/>
        <w:jc w:val="both"/>
        <w:rPr>
          <w:rFonts w:hint="eastAsia" w:ascii="仿宋_GB2312" w:hAnsi="Times New Roman" w:eastAsia="仿宋_GB2312" w:cs="仿宋_GB2312"/>
          <w:color w:val="C00000"/>
          <w:kern w:val="0"/>
          <w:sz w:val="32"/>
          <w:shd w:val="clear" w:color="auto" w:fill="FFFFFF"/>
          <w:lang w:val="en-US" w:eastAsia="zh-CN"/>
        </w:rPr>
      </w:pPr>
      <w:r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  <w:t>本部门预算总金额为7170.92万元，年终部门预算注销金额为0.00万元，结转金额0万元。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80" w:lineRule="exact"/>
        <w:ind w:firstLine="640" w:firstLineChars="200"/>
        <w:jc w:val="both"/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</w:pPr>
      <w:r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  <w:t>（5）严控一般性支出</w:t>
      </w:r>
    </w:p>
    <w:p>
      <w:pPr>
        <w:autoSpaceDE w:val="0"/>
        <w:adjustRightInd w:val="0"/>
        <w:snapToGrid w:val="0"/>
        <w:spacing w:line="578" w:lineRule="exact"/>
        <w:ind w:firstLine="562" w:firstLineChars="200"/>
        <w:contextualSpacing/>
        <w:jc w:val="center"/>
        <w:rPr>
          <w:rFonts w:ascii="仿宋_GB2312" w:cs="仿宋_GB2312"/>
          <w:b/>
          <w:bCs/>
          <w:color w:val="000000"/>
          <w:kern w:val="0"/>
          <w:sz w:val="28"/>
          <w:szCs w:val="28"/>
          <w:shd w:val="clear" w:color="auto" w:fill="FFFFFF"/>
          <w:lang w:bidi="ar"/>
        </w:rPr>
      </w:pPr>
      <w:r>
        <w:rPr>
          <w:rFonts w:hint="eastAsia" w:ascii="仿宋_GB2312" w:cs="仿宋_GB2312"/>
          <w:b/>
          <w:bCs/>
          <w:color w:val="000000"/>
          <w:kern w:val="0"/>
          <w:sz w:val="28"/>
          <w:szCs w:val="28"/>
          <w:shd w:val="clear" w:color="auto" w:fill="FFFFFF"/>
          <w:lang w:bidi="ar"/>
        </w:rPr>
        <w:t>表</w:t>
      </w:r>
      <w:r>
        <w:rPr>
          <w:b/>
          <w:bCs/>
          <w:color w:val="000000"/>
          <w:kern w:val="0"/>
          <w:sz w:val="28"/>
          <w:szCs w:val="28"/>
          <w:shd w:val="clear" w:color="auto" w:fill="FFFFFF"/>
          <w:lang w:bidi="ar"/>
        </w:rPr>
        <w:t xml:space="preserve">3-1 </w:t>
      </w:r>
      <w:r>
        <w:rPr>
          <w:rFonts w:hint="eastAsia" w:ascii="仿宋_GB2312" w:cs="仿宋_GB2312"/>
          <w:b/>
          <w:bCs/>
          <w:color w:val="000000"/>
          <w:kern w:val="0"/>
          <w:sz w:val="28"/>
          <w:szCs w:val="28"/>
          <w:shd w:val="clear" w:color="auto" w:fill="FFFFFF"/>
          <w:lang w:bidi="ar"/>
        </w:rPr>
        <w:t>一般性支出情况表</w:t>
      </w:r>
    </w:p>
    <w:p>
      <w:pPr>
        <w:autoSpaceDE w:val="0"/>
        <w:adjustRightInd w:val="0"/>
        <w:snapToGrid w:val="0"/>
        <w:spacing w:line="578" w:lineRule="exact"/>
        <w:ind w:firstLine="562" w:firstLineChars="200"/>
        <w:contextualSpacing/>
        <w:jc w:val="right"/>
        <w:rPr>
          <w:rFonts w:ascii="仿宋_GB2312" w:cs="仿宋_GB2312"/>
          <w:b/>
          <w:bCs/>
          <w:color w:val="000000"/>
          <w:kern w:val="0"/>
          <w:sz w:val="28"/>
          <w:szCs w:val="28"/>
          <w:shd w:val="clear" w:color="auto" w:fill="FFFFFF"/>
          <w:lang w:bidi="ar"/>
        </w:rPr>
      </w:pPr>
      <w:r>
        <w:rPr>
          <w:rFonts w:hint="eastAsia" w:ascii="仿宋_GB2312" w:cs="仿宋_GB2312"/>
          <w:b/>
          <w:bCs/>
          <w:color w:val="000000"/>
          <w:kern w:val="0"/>
          <w:sz w:val="28"/>
          <w:szCs w:val="28"/>
          <w:shd w:val="clear" w:color="auto" w:fill="FFFFFF"/>
          <w:lang w:bidi="ar"/>
        </w:rPr>
        <w:t>单位：万元</w:t>
      </w:r>
    </w:p>
    <w:tbl>
      <w:tblPr>
        <w:tblStyle w:val="7"/>
        <w:tblW w:w="9870" w:type="dxa"/>
        <w:tblInd w:w="-34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1"/>
        <w:gridCol w:w="1642"/>
        <w:gridCol w:w="1642"/>
        <w:gridCol w:w="1425"/>
        <w:gridCol w:w="1215"/>
        <w:gridCol w:w="1170"/>
        <w:gridCol w:w="1335"/>
        <w:gridCol w:w="8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  <w:t>序号</w:t>
            </w:r>
          </w:p>
        </w:tc>
        <w:tc>
          <w:tcPr>
            <w:tcW w:w="164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  <w:t>项目名称</w:t>
            </w:r>
          </w:p>
        </w:tc>
        <w:tc>
          <w:tcPr>
            <w:tcW w:w="16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eastAsia="zh-CN"/>
              </w:rPr>
              <w:t>2024</w:t>
            </w: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  <w:t>年度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eastAsia="zh-CN"/>
              </w:rPr>
              <w:t>2025</w:t>
            </w: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  <w:t>年度</w:t>
            </w:r>
          </w:p>
        </w:tc>
        <w:tc>
          <w:tcPr>
            <w:tcW w:w="121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  <w:t>变动情况</w:t>
            </w:r>
          </w:p>
        </w:tc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eastAsia="zh-CN"/>
              </w:rPr>
              <w:t>2024</w:t>
            </w: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  <w:t>年度</w:t>
            </w:r>
          </w:p>
        </w:tc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eastAsia="zh-CN"/>
              </w:rPr>
              <w:t>2025</w:t>
            </w: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  <w:t>年度</w:t>
            </w:r>
          </w:p>
        </w:tc>
        <w:tc>
          <w:tcPr>
            <w:tcW w:w="87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  <w:t>变动情况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7D7D7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6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7D7D7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6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  <w:t>财政拨款年初预算数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  <w:t>财政拨款年初预算数</w:t>
            </w:r>
          </w:p>
        </w:tc>
        <w:tc>
          <w:tcPr>
            <w:tcW w:w="121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  <w:t>财政拨款预算执行数</w:t>
            </w:r>
          </w:p>
        </w:tc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  <w:t>财政拨款预算执行数</w:t>
            </w:r>
          </w:p>
        </w:tc>
        <w:tc>
          <w:tcPr>
            <w:tcW w:w="87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7D7D7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  <w:t>1</w:t>
            </w:r>
          </w:p>
        </w:tc>
        <w:tc>
          <w:tcPr>
            <w:tcW w:w="16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  <w:t>“</w:t>
            </w: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  <w:t>三公</w:t>
            </w:r>
            <w:r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  <w:t>”</w:t>
            </w: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  <w:t>经费</w:t>
            </w:r>
          </w:p>
        </w:tc>
        <w:tc>
          <w:tcPr>
            <w:tcW w:w="16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hint="eastAsia" w:ascii="Times New Roman Regular" w:hAnsi="Times New Roman Regular" w:eastAsia="仿宋_GB2312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  <w:t>3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hint="default" w:ascii="Times New Roman Regular" w:hAnsi="Times New Roman Regular" w:eastAsia="仿宋_GB2312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  <w:t>3</w:t>
            </w: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hint="eastAsia" w:ascii="Times New Roman Regular" w:hAnsi="Times New Roman Regular" w:eastAsia="仿宋_GB2312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  <w:t>持平</w:t>
            </w:r>
          </w:p>
        </w:tc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hint="default" w:ascii="Times New Roman Regular" w:hAnsi="Times New Roman Regular" w:eastAsia="仿宋_GB2312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  <w:t>126.49</w:t>
            </w:r>
          </w:p>
        </w:tc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hint="eastAsia" w:ascii="Times New Roman Regular" w:hAnsi="Times New Roman Regular" w:eastAsia="仿宋_GB2312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118.46</w:t>
            </w:r>
          </w:p>
        </w:tc>
        <w:tc>
          <w:tcPr>
            <w:tcW w:w="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hint="eastAsia" w:ascii="Times New Roman Regular" w:hAnsi="Times New Roman Regular" w:eastAsia="仿宋_GB2312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eastAsia="zh-CN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  <w:t>减少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  <w:t>2</w:t>
            </w:r>
          </w:p>
        </w:tc>
        <w:tc>
          <w:tcPr>
            <w:tcW w:w="16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  <w:t>会议经费</w:t>
            </w:r>
          </w:p>
        </w:tc>
        <w:tc>
          <w:tcPr>
            <w:tcW w:w="16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  <w:t>0.00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  <w:t>0.00</w:t>
            </w: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  <w:t>持平</w:t>
            </w:r>
          </w:p>
        </w:tc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  <w:t>0.00</w:t>
            </w:r>
          </w:p>
        </w:tc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  <w:t>0.00</w:t>
            </w:r>
          </w:p>
        </w:tc>
        <w:tc>
          <w:tcPr>
            <w:tcW w:w="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  <w:t>持平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  <w:t>3</w:t>
            </w:r>
          </w:p>
        </w:tc>
        <w:tc>
          <w:tcPr>
            <w:tcW w:w="16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  <w:t>培训经费</w:t>
            </w:r>
          </w:p>
        </w:tc>
        <w:tc>
          <w:tcPr>
            <w:tcW w:w="16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hint="default" w:ascii="Times New Roman Regular" w:hAnsi="Times New Roman Regular" w:eastAsia="仿宋_GB2312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  <w:t>2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hint="default" w:ascii="Times New Roman Regular" w:hAnsi="Times New Roman Regular" w:eastAsia="仿宋_GB2312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hint="eastAsia" w:ascii="Times New Roman Regular" w:hAnsi="Times New Roman Regular" w:eastAsia="仿宋_GB2312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eastAsia="zh-CN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  <w:t>减少</w:t>
            </w:r>
          </w:p>
        </w:tc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hint="default" w:ascii="Times New Roman Regular" w:hAnsi="Times New Roman Regular" w:eastAsia="仿宋_GB2312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  <w:t>2.92</w:t>
            </w:r>
          </w:p>
        </w:tc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hint="default" w:ascii="Times New Roman Regular" w:hAnsi="Times New Roman Regular" w:eastAsia="仿宋_GB2312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  <w:t>0.28</w:t>
            </w:r>
          </w:p>
        </w:tc>
        <w:tc>
          <w:tcPr>
            <w:tcW w:w="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  <w:t>减少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  <w:t>4</w:t>
            </w:r>
          </w:p>
        </w:tc>
        <w:tc>
          <w:tcPr>
            <w:tcW w:w="16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  <w:t>差旅经费</w:t>
            </w:r>
          </w:p>
        </w:tc>
        <w:tc>
          <w:tcPr>
            <w:tcW w:w="16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hint="default" w:ascii="Times New Roman Regular" w:hAnsi="Times New Roman Regular" w:eastAsia="仿宋_GB2312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  <w:t>200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hint="default" w:ascii="Times New Roman Regular" w:hAnsi="Times New Roman Regular" w:eastAsia="仿宋_GB2312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  <w:t>200</w:t>
            </w: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hint="default" w:ascii="Times New Roman Regular" w:hAnsi="Times New Roman Regular" w:eastAsia="仿宋_GB2312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  <w:t>增加</w:t>
            </w:r>
          </w:p>
        </w:tc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hint="default" w:ascii="Times New Roman Regular" w:hAnsi="Times New Roman Regular" w:eastAsia="仿宋_GB2312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  <w:t>166.42</w:t>
            </w:r>
          </w:p>
        </w:tc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hint="default" w:ascii="Times New Roman Regular" w:hAnsi="Times New Roman Regular" w:eastAsia="仿宋_GB2312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  <w:t>225.06</w:t>
            </w:r>
          </w:p>
        </w:tc>
        <w:tc>
          <w:tcPr>
            <w:tcW w:w="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hint="default" w:ascii="Times New Roman Regular" w:hAnsi="Times New Roman Regular" w:eastAsia="仿宋_GB2312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  <w:t>增加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  <w:t>5</w:t>
            </w:r>
          </w:p>
        </w:tc>
        <w:tc>
          <w:tcPr>
            <w:tcW w:w="16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  <w:t>办节办展</w:t>
            </w:r>
          </w:p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  <w:t>经费</w:t>
            </w:r>
          </w:p>
        </w:tc>
        <w:tc>
          <w:tcPr>
            <w:tcW w:w="16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  <w:t>0.00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  <w:t>0.00</w:t>
            </w: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  <w:t>持平</w:t>
            </w:r>
          </w:p>
        </w:tc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  <w:t>0.00</w:t>
            </w:r>
          </w:p>
        </w:tc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  <w:t>0.00</w:t>
            </w:r>
          </w:p>
        </w:tc>
        <w:tc>
          <w:tcPr>
            <w:tcW w:w="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  <w:t>持平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  <w:t>6</w:t>
            </w:r>
          </w:p>
        </w:tc>
        <w:tc>
          <w:tcPr>
            <w:tcW w:w="16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  <w:t>办公设备</w:t>
            </w:r>
          </w:p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  <w:t>购置经费</w:t>
            </w:r>
          </w:p>
        </w:tc>
        <w:tc>
          <w:tcPr>
            <w:tcW w:w="16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hint="default" w:ascii="Times New Roman Regular" w:hAnsi="Times New Roman Regular" w:eastAsia="仿宋_GB2312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  <w:t>450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hint="default" w:ascii="Times New Roman Regular" w:hAnsi="Times New Roman Regular" w:eastAsia="仿宋_GB2312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  <w:t>545</w:t>
            </w: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hint="default" w:ascii="Times New Roman Regular" w:hAnsi="Times New Roman Regular" w:eastAsia="仿宋_GB2312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  <w:t>减少</w:t>
            </w:r>
          </w:p>
        </w:tc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hint="default" w:ascii="Times New Roman Regular" w:hAnsi="Times New Roman Regular" w:eastAsia="仿宋_GB2312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  <w:t>357.33</w:t>
            </w:r>
          </w:p>
        </w:tc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hint="default" w:ascii="Times New Roman Regular" w:hAnsi="Times New Roman Regular" w:eastAsia="仿宋_GB2312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  <w:t>545.89</w:t>
            </w:r>
          </w:p>
        </w:tc>
        <w:tc>
          <w:tcPr>
            <w:tcW w:w="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hint="eastAsia" w:ascii="Times New Roman Regular" w:hAnsi="Times New Roman Regular" w:eastAsia="仿宋_GB2312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  <w:t>增加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  <w:t>7</w:t>
            </w:r>
          </w:p>
        </w:tc>
        <w:tc>
          <w:tcPr>
            <w:tcW w:w="16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  <w:t>信息网络及软件购置更新经费</w:t>
            </w:r>
          </w:p>
        </w:tc>
        <w:tc>
          <w:tcPr>
            <w:tcW w:w="16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hint="default" w:ascii="Times New Roman Regular" w:hAnsi="Times New Roman Regular" w:eastAsia="仿宋_GB2312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  <w:t>200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hint="default" w:ascii="Times New Roman Regular" w:hAnsi="Times New Roman Regular" w:eastAsia="仿宋_GB2312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  <w:t>40</w:t>
            </w: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  <w:t>减少</w:t>
            </w:r>
          </w:p>
        </w:tc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hint="default" w:ascii="Times New Roman Regular" w:hAnsi="Times New Roman Regular" w:eastAsia="仿宋_GB2312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  <w:t>221.64</w:t>
            </w:r>
          </w:p>
        </w:tc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hint="default" w:ascii="Times New Roman Regular" w:hAnsi="Times New Roman Regular" w:eastAsia="仿宋_GB2312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  <w:t>19.55</w:t>
            </w:r>
          </w:p>
        </w:tc>
        <w:tc>
          <w:tcPr>
            <w:tcW w:w="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hint="eastAsia" w:ascii="Times New Roman Regular" w:hAnsi="Times New Roman Regular" w:eastAsia="仿宋_GB2312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  <w:t>增加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  <w:t>8</w:t>
            </w:r>
          </w:p>
        </w:tc>
        <w:tc>
          <w:tcPr>
            <w:tcW w:w="16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  <w:t>课题经费</w:t>
            </w:r>
          </w:p>
        </w:tc>
        <w:tc>
          <w:tcPr>
            <w:tcW w:w="16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  <w:t>0.00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  <w:t>0.00</w:t>
            </w: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  <w:t>持平</w:t>
            </w:r>
          </w:p>
        </w:tc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  <w:t>0.00</w:t>
            </w:r>
          </w:p>
        </w:tc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  <w:t>0.00</w:t>
            </w:r>
          </w:p>
        </w:tc>
        <w:tc>
          <w:tcPr>
            <w:tcW w:w="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  <w:t>持平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5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  <w:t>9</w:t>
            </w:r>
          </w:p>
        </w:tc>
        <w:tc>
          <w:tcPr>
            <w:tcW w:w="16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</w:rPr>
              <w:t>合计</w:t>
            </w:r>
          </w:p>
        </w:tc>
        <w:tc>
          <w:tcPr>
            <w:tcW w:w="16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hint="default" w:ascii="Times New Roman Regular" w:hAnsi="Times New Roman Regular" w:eastAsia="仿宋_GB2312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  <w:t>853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hint="default" w:ascii="Times New Roman Regular" w:hAnsi="Times New Roman Regular" w:eastAsia="仿宋_GB2312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  <w:t>减少</w:t>
            </w: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hint="eastAsia" w:ascii="Times New Roman Regular" w:hAnsi="Times New Roman Regular" w:eastAsia="仿宋_GB2312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eastAsia="zh-CN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  <w:t>增加</w:t>
            </w:r>
          </w:p>
        </w:tc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hint="default" w:ascii="Times New Roman Regular" w:hAnsi="Times New Roman Regular" w:eastAsia="仿宋_GB2312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  <w:t>672.71</w:t>
            </w:r>
          </w:p>
        </w:tc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hint="default" w:ascii="Times New Roman Regular" w:hAnsi="Times New Roman Regular" w:eastAsia="仿宋_GB2312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  <w:t>934.11</w:t>
            </w:r>
          </w:p>
        </w:tc>
        <w:tc>
          <w:tcPr>
            <w:tcW w:w="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spacing w:line="280" w:lineRule="exact"/>
              <w:contextualSpacing/>
              <w:jc w:val="center"/>
              <w:rPr>
                <w:rFonts w:hint="eastAsia" w:ascii="Times New Roman Regular" w:hAnsi="Times New Roman Regular" w:eastAsia="仿宋_GB2312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eastAsia="zh-CN"/>
              </w:rPr>
            </w:pPr>
            <w:r>
              <w:rPr>
                <w:rFonts w:hint="eastAsia" w:ascii="Times New Roman Regular" w:hAnsi="Times New Roman Regular" w:cs="Times New Roman Regular"/>
                <w:color w:val="000000"/>
                <w:kern w:val="0"/>
                <w:sz w:val="22"/>
                <w:szCs w:val="22"/>
                <w:shd w:val="clear" w:color="auto" w:fill="FFFFFF"/>
                <w:lang w:val="en-US" w:eastAsia="zh-CN"/>
              </w:rPr>
              <w:t>增加</w:t>
            </w:r>
          </w:p>
        </w:tc>
      </w:tr>
    </w:tbl>
    <w:p>
      <w:pPr>
        <w:spacing w:line="58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（二）专项预算管理。</w:t>
      </w:r>
    </w:p>
    <w:p>
      <w:pPr>
        <w:spacing w:line="580" w:lineRule="exact"/>
        <w:ind w:firstLine="640" w:firstLineChars="200"/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</w:pPr>
      <w:r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  <w:t>我单位无专项预算项目</w:t>
      </w:r>
    </w:p>
    <w:p>
      <w:pPr>
        <w:spacing w:line="58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（三）结果应用情况。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80" w:lineRule="exact"/>
        <w:ind w:firstLine="640" w:firstLineChars="200"/>
        <w:jc w:val="both"/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</w:pPr>
      <w:r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  <w:t>我局在</w:t>
      </w:r>
      <w:r>
        <w:rPr>
          <w:rFonts w:hint="eastAsia" w:ascii="仿宋_GB2312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  <w:t>2025</w:t>
      </w:r>
      <w:r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  <w:t>年圆满完成单位的年度任务，明确预算编制、预算分解、预算执行与分析、预算调整、决算管理、预算绩效管理及预决算信息公开管理等业务环节的管理要求，加强预算业务各环节的风险管控，并在日常的各个任务间提升我处的自身素质，提升隧道运行维护能力，夯实责任，筑牢安全生产防线，加强财务制度落实，提升财务业务水平，做好资料管理，推动工作高效开展。</w:t>
      </w:r>
    </w:p>
    <w:p>
      <w:pPr>
        <w:spacing w:line="580" w:lineRule="exact"/>
        <w:ind w:firstLine="640" w:firstLineChars="200"/>
        <w:rPr>
          <w:rFonts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四、评价结论及建议</w:t>
      </w:r>
    </w:p>
    <w:p>
      <w:pPr>
        <w:spacing w:line="580" w:lineRule="exact"/>
        <w:ind w:firstLine="640" w:firstLineChars="200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（一）评价结论。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80" w:lineRule="exact"/>
        <w:ind w:firstLine="640" w:firstLineChars="200"/>
        <w:jc w:val="both"/>
      </w:pPr>
      <w:r>
        <w:rPr>
          <w:rFonts w:hint="eastAsia" w:ascii="仿宋_GB2312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  <w:t>2025</w:t>
      </w:r>
      <w:r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zh-CN" w:eastAsia="zh-CN"/>
        </w:rPr>
        <w:t>年，</w:t>
      </w:r>
      <w:r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  <w:t>黑水</w:t>
      </w:r>
      <w:r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zh-CN" w:eastAsia="zh-CN"/>
        </w:rPr>
        <w:t>县公安局认真做好年度财政资金的预算编制工作，在资金使用和管理方面，</w:t>
      </w:r>
      <w:r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  <w:t>严格按照有关规定执行，特别是项目资金的使用和管理做到专款专用，确保资金使用的真实性、安全性、合理性。</w:t>
      </w:r>
      <w:r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zh-CN" w:eastAsia="zh-CN"/>
        </w:rPr>
        <w:t>进一步强化资金统筹，优化资金结构，明确开支范围，细化资金用途，确保各项工作任务顺利完成。全年基本支出保证了部门的正常运行和日常工作的正常开展，达到预期绩效目标。</w:t>
      </w:r>
      <w:r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  <w:t>根据《阿坝州财政局关于开展2025年州级部门绩效自评工作的通知》中部门整体支出绩效评价指标体系，</w:t>
      </w:r>
      <w:r>
        <w:rPr>
          <w:rFonts w:hint="eastAsia" w:ascii="仿宋_GB2312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  <w:t>2025</w:t>
      </w:r>
      <w:r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  <w:t>年度自评得分</w:t>
      </w:r>
      <w:r>
        <w:rPr>
          <w:rFonts w:hint="eastAsia" w:ascii="仿宋_GB2312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  <w:t>97</w:t>
      </w:r>
      <w:r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  <w:t>分。</w:t>
      </w:r>
    </w:p>
    <w:p>
      <w:pPr>
        <w:numPr>
          <w:ilvl w:val="0"/>
          <w:numId w:val="2"/>
        </w:numPr>
        <w:spacing w:line="580" w:lineRule="exact"/>
        <w:ind w:firstLine="640" w:firstLineChars="200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存在问题。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80" w:lineRule="exact"/>
        <w:ind w:firstLine="640" w:firstLineChars="200"/>
        <w:jc w:val="both"/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zh-CN" w:eastAsia="zh-CN"/>
        </w:rPr>
      </w:pPr>
      <w:r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zh-CN" w:eastAsia="zh-CN"/>
        </w:rPr>
        <w:t>绩效目标设立不够明确、细化和量化。项目单位虽然设立了项目资金绩效目标，但资金跟不上项目进度。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80" w:lineRule="exact"/>
        <w:ind w:firstLine="640" w:firstLineChars="200"/>
        <w:jc w:val="both"/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zh-CN" w:eastAsia="zh-CN"/>
        </w:rPr>
      </w:pPr>
      <w:r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  <w:t>对绩效评价工作“谁使用、谁评价”的原则执行还不够到位。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80" w:lineRule="exact"/>
        <w:ind w:firstLine="640" w:firstLineChars="200"/>
        <w:jc w:val="both"/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</w:pPr>
      <w:r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  <w:t>3</w:t>
      </w:r>
      <w:r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zh-CN" w:eastAsia="zh-CN"/>
        </w:rPr>
        <w:t>．资金使用效益、</w:t>
      </w:r>
      <w:r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  <w:t>成本控制管理</w:t>
      </w:r>
      <w:r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zh-CN" w:eastAsia="zh-CN"/>
        </w:rPr>
        <w:t>有待进一步提高。</w:t>
      </w:r>
    </w:p>
    <w:p>
      <w:pPr>
        <w:numPr>
          <w:ilvl w:val="0"/>
          <w:numId w:val="2"/>
        </w:numPr>
        <w:spacing w:line="580" w:lineRule="exact"/>
        <w:ind w:left="0" w:leftChars="0" w:firstLine="640" w:firstLineChars="200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改进建议。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80" w:lineRule="exact"/>
        <w:ind w:firstLine="640" w:firstLineChars="200"/>
        <w:jc w:val="both"/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zh-CN" w:eastAsia="zh-CN"/>
        </w:rPr>
      </w:pPr>
      <w:r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zh-CN" w:eastAsia="zh-CN"/>
        </w:rPr>
        <w:t>1.预算财务分析常态化，定期做好预算支出财务分析，做好部门整体支出预算评价工作。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80" w:lineRule="exact"/>
        <w:ind w:firstLine="640" w:firstLineChars="200"/>
        <w:jc w:val="both"/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</w:pPr>
      <w:r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  <w:t>2.进一步完善财务管理制度及内部控制制度，创新管理手段，继续抓好</w:t>
      </w:r>
      <w:r>
        <w:rPr>
          <w:rFonts w:ascii="仿宋_GB2312" w:hAnsi="宋体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“三公”经费</w:t>
      </w:r>
      <w:r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  <w:t>控制管理，规范财务核算，有效降低行政成本，提高财政资金使用效率。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80" w:lineRule="exact"/>
        <w:ind w:firstLine="640" w:firstLineChars="200"/>
        <w:jc w:val="both"/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zh-CN" w:eastAsia="zh-CN"/>
        </w:rPr>
      </w:pPr>
      <w:r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  <w:t>3</w:t>
      </w:r>
      <w:r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zh-CN" w:eastAsia="zh-CN"/>
        </w:rPr>
        <w:t>.加强业务培训,提高评价水平。建议财政部门组织开展部门之间的经验交流，切实推进绩效评价工作开展，</w:t>
      </w:r>
      <w:r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  <w:t>帮助和督促单位提高财务管理水平</w:t>
      </w:r>
      <w:r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zh-CN" w:eastAsia="zh-CN"/>
        </w:rPr>
        <w:t>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80" w:lineRule="exact"/>
        <w:ind w:firstLine="640" w:firstLineChars="200"/>
        <w:jc w:val="both"/>
        <w:rPr>
          <w:rFonts w:hint="default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" w:eastAsia="zh-CN"/>
        </w:rPr>
      </w:pPr>
    </w:p>
    <w:bookmarkEnd w:id="1"/>
    <w:p>
      <w:pPr>
        <w:widowControl/>
        <w:numPr>
          <w:ilvl w:val="0"/>
          <w:numId w:val="0"/>
        </w:numPr>
        <w:adjustRightInd w:val="0"/>
        <w:snapToGrid w:val="0"/>
        <w:spacing w:line="580" w:lineRule="exact"/>
        <w:ind w:firstLine="640" w:firstLineChars="200"/>
        <w:jc w:val="both"/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</w:pPr>
    </w:p>
    <w:p>
      <w:pPr>
        <w:spacing w:line="58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bookmarkEnd w:id="2"/>
    <w:p>
      <w:pPr>
        <w:widowControl/>
        <w:numPr>
          <w:ilvl w:val="0"/>
          <w:numId w:val="0"/>
        </w:numPr>
        <w:adjustRightInd w:val="0"/>
        <w:snapToGrid w:val="0"/>
        <w:spacing w:line="580" w:lineRule="exact"/>
        <w:ind w:firstLine="640" w:firstLineChars="200"/>
        <w:jc w:val="both"/>
        <w:rPr>
          <w:rFonts w:hint="eastAsia" w:ascii="仿宋_GB2312" w:hAnsi="Times New Roman" w:eastAsia="仿宋_GB2312" w:cs="仿宋_GB2312"/>
          <w:color w:val="000000"/>
          <w:kern w:val="0"/>
          <w:sz w:val="32"/>
          <w:shd w:val="clear" w:color="auto" w:fill="FFFFFF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imes New Roman Regular">
    <w:altName w:val="Times New Roman"/>
    <w:panose1 w:val="020B0604020202020204"/>
    <w:charset w:val="00"/>
    <w:family w:val="auto"/>
    <w:pitch w:val="default"/>
    <w:sig w:usb0="00000000" w:usb1="00000000" w:usb2="00000001" w:usb3="00000000" w:csb0="400001BF" w:csb1="DFF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C73FC27"/>
    <w:multiLevelType w:val="singleLevel"/>
    <w:tmpl w:val="9C73FC27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2FB1EFC3"/>
    <w:multiLevelType w:val="singleLevel"/>
    <w:tmpl w:val="2FB1EFC3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JhY2JmZGNmNTViZTdiMjQ5NWJhNWYyYjMzYTFkOGYifQ=="/>
  </w:docVars>
  <w:rsids>
    <w:rsidRoot w:val="00491B22"/>
    <w:rsid w:val="00291808"/>
    <w:rsid w:val="00491B22"/>
    <w:rsid w:val="0052390C"/>
    <w:rsid w:val="03967F30"/>
    <w:rsid w:val="05BD7EAF"/>
    <w:rsid w:val="27C83027"/>
    <w:rsid w:val="34EB1F43"/>
    <w:rsid w:val="36435EC2"/>
    <w:rsid w:val="3E611294"/>
    <w:rsid w:val="43670011"/>
    <w:rsid w:val="43EB7E23"/>
    <w:rsid w:val="4DD97D2F"/>
    <w:rsid w:val="4F732511"/>
    <w:rsid w:val="523824D4"/>
    <w:rsid w:val="52442DC5"/>
    <w:rsid w:val="60D032A5"/>
    <w:rsid w:val="62BF4033"/>
    <w:rsid w:val="6E0030FB"/>
    <w:rsid w:val="75EA3F06"/>
    <w:rsid w:val="7A987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标题 5（有编号）（绿盟科技）"/>
    <w:next w:val="1"/>
    <w:qFormat/>
    <w:uiPriority w:val="99"/>
    <w:pPr>
      <w:keepNext/>
      <w:keepLines/>
      <w:widowControl w:val="0"/>
      <w:spacing w:before="280" w:after="156" w:line="377" w:lineRule="auto"/>
      <w:outlineLvl w:val="4"/>
    </w:pPr>
    <w:rPr>
      <w:rFonts w:ascii="Arial" w:hAnsi="Arial" w:eastAsia="黑体" w:cs="Times New Roman"/>
      <w:b/>
      <w:kern w:val="2"/>
      <w:sz w:val="24"/>
      <w:szCs w:val="28"/>
      <w:lang w:val="en-US" w:eastAsia="zh-CN" w:bidi="ar-SA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5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2</Pages>
  <Words>332</Words>
  <Characters>337</Characters>
  <Lines>2</Lines>
  <Paragraphs>1</Paragraphs>
  <TotalTime>2</TotalTime>
  <ScaleCrop>false</ScaleCrop>
  <LinksUpToDate>false</LinksUpToDate>
  <CharactersWithSpaces>337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2019-08-19T01:06:00Z</dcterms:created>
  <dc:creator>Sky123.Org</dc:creator>
  <cp:lastModifiedBy>Administrator</cp:lastModifiedBy>
  <dcterms:modified xsi:type="dcterms:W3CDTF">2026-08-17T06:53:22Z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  <property fmtid="{D5CDD505-2E9C-101B-9397-08002B2CF9AE}" pid="3" name="ICV">
    <vt:lpwstr>3115989309D741DA945EE44A488D69E1</vt:lpwstr>
  </property>
</Properties>
</file>