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contextualSpacing/>
        <w:rPr>
          <w:rFonts w:eastAsia="黑体"/>
          <w:szCs w:val="32"/>
          <w:lang w:val="zh-CN"/>
        </w:rPr>
      </w:pPr>
      <w:r>
        <w:rPr>
          <w:rFonts w:hint="eastAsia" w:ascii="方正小标宋简体" w:hAnsi="黑体" w:eastAsia="方正小标宋简体"/>
          <w:sz w:val="44"/>
          <w:szCs w:val="44"/>
        </w:rPr>
        <w:drawing>
          <wp:anchor distT="0" distB="0" distL="114300" distR="114300" simplePos="0" relativeHeight="251659264" behindDoc="1" locked="0" layoutInCell="1" allowOverlap="1">
            <wp:simplePos x="0" y="0"/>
            <wp:positionH relativeFrom="column">
              <wp:posOffset>117475</wp:posOffset>
            </wp:positionH>
            <wp:positionV relativeFrom="page">
              <wp:posOffset>1159510</wp:posOffset>
            </wp:positionV>
            <wp:extent cx="5257800" cy="1428750"/>
            <wp:effectExtent l="0" t="0" r="0" b="0"/>
            <wp:wrapNone/>
            <wp:docPr id="1" name="Image1" descr="020220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Image1" descr="0202202"/>
                    <pic:cNvPicPr>
                      <a:picLocks noChangeAspect="true"/>
                    </pic:cNvPicPr>
                  </pic:nvPicPr>
                  <pic:blipFill>
                    <a:blip r:embed="rId6"/>
                    <a:srcRect l="241" b="82564"/>
                    <a:stretch>
                      <a:fillRect/>
                    </a:stretch>
                  </pic:blipFill>
                  <pic:spPr>
                    <a:xfrm>
                      <a:off x="0" y="0"/>
                      <a:ext cx="5257800" cy="1428750"/>
                    </a:xfrm>
                    <a:prstGeom prst="rect">
                      <a:avLst/>
                    </a:prstGeom>
                    <a:noFill/>
                    <a:ln>
                      <a:noFill/>
                    </a:ln>
                  </pic:spPr>
                </pic:pic>
              </a:graphicData>
            </a:graphic>
          </wp:anchor>
        </w:drawing>
      </w:r>
    </w:p>
    <w:p>
      <w:pPr>
        <w:widowControl/>
        <w:spacing w:line="578" w:lineRule="exact"/>
        <w:contextualSpacing/>
        <w:rPr>
          <w:rFonts w:eastAsia="宋体"/>
          <w:b/>
          <w:sz w:val="44"/>
          <w:szCs w:val="44"/>
          <w:shd w:val="clear" w:color="auto" w:fill="FFFFFF"/>
        </w:rPr>
      </w:pPr>
    </w:p>
    <w:p>
      <w:pPr>
        <w:widowControl/>
        <w:spacing w:line="578" w:lineRule="exact"/>
        <w:contextualSpacing/>
        <w:jc w:val="center"/>
        <w:rPr>
          <w:rFonts w:hint="eastAsia" w:eastAsia="方正小标宋简体"/>
          <w:bCs/>
          <w:sz w:val="44"/>
          <w:szCs w:val="44"/>
          <w:shd w:val="clear" w:color="auto" w:fill="FFFFFF"/>
          <w:lang w:val="en-US" w:eastAsia="zh-CN"/>
        </w:rPr>
      </w:pPr>
    </w:p>
    <w:p>
      <w:pPr>
        <w:widowControl/>
        <w:spacing w:line="578" w:lineRule="exact"/>
        <w:contextualSpacing/>
        <w:jc w:val="center"/>
        <w:rPr>
          <w:rFonts w:hint="eastAsia" w:ascii="方正小标宋_GBK" w:hAnsi="方正小标宋_GBK" w:eastAsia="方正小标宋_GBK" w:cs="方正小标宋_GBK"/>
          <w:bCs/>
          <w:sz w:val="44"/>
          <w:szCs w:val="44"/>
          <w:shd w:val="clear" w:color="auto" w:fill="FFFFFF"/>
          <w:lang w:val="en-US" w:eastAsia="zh-CN"/>
        </w:rPr>
      </w:pPr>
      <w:r>
        <w:rPr>
          <w:rFonts w:hint="eastAsia" w:ascii="方正小标宋_GBK" w:hAnsi="方正小标宋_GBK" w:eastAsia="方正小标宋_GBK" w:cs="方正小标宋_GBK"/>
          <w:bCs/>
          <w:sz w:val="44"/>
          <w:szCs w:val="44"/>
          <w:shd w:val="clear" w:color="auto" w:fill="FFFFFF"/>
          <w:lang w:val="en-US" w:eastAsia="zh-CN"/>
        </w:rPr>
        <w:t>黑水县融媒体中心</w:t>
      </w:r>
    </w:p>
    <w:p>
      <w:pPr>
        <w:widowControl/>
        <w:spacing w:line="578" w:lineRule="exact"/>
        <w:contextualSpacing/>
        <w:jc w:val="center"/>
        <w:rPr>
          <w:rFonts w:hint="eastAsia" w:ascii="方正小标宋_GBK" w:hAnsi="方正小标宋_GBK" w:eastAsia="方正小标宋_GBK" w:cs="方正小标宋_GBK"/>
          <w:bCs/>
          <w:sz w:val="44"/>
          <w:szCs w:val="44"/>
          <w:shd w:val="clear" w:color="auto" w:fill="FFFFFF"/>
        </w:rPr>
      </w:pPr>
      <w:r>
        <w:rPr>
          <w:rFonts w:hint="eastAsia" w:ascii="方正小标宋_GBK" w:hAnsi="方正小标宋_GBK" w:eastAsia="方正小标宋_GBK" w:cs="方正小标宋_GBK"/>
          <w:bCs/>
          <w:sz w:val="44"/>
          <w:szCs w:val="44"/>
          <w:shd w:val="clear" w:color="auto" w:fill="FFFFFF"/>
        </w:rPr>
        <w:t>部门预算绩效评价报告</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szCs w:val="32"/>
        </w:rPr>
      </w:pPr>
      <w:r>
        <w:rPr>
          <w:rFonts w:hint="eastAsia" w:eastAsia="黑体"/>
          <w:color w:val="000000"/>
          <w:kern w:val="0"/>
          <w:szCs w:val="32"/>
          <w:shd w:val="clear" w:color="auto" w:fill="FFFFFF"/>
          <w:lang w:val="zh-CN"/>
        </w:rPr>
        <w:t>一、</w:t>
      </w:r>
      <w:r>
        <w:rPr>
          <w:rFonts w:eastAsia="黑体"/>
          <w:color w:val="000000"/>
          <w:kern w:val="0"/>
          <w:szCs w:val="32"/>
          <w:shd w:val="clear" w:color="auto" w:fill="FFFFFF"/>
          <w:lang w:val="zh-CN"/>
        </w:rPr>
        <w:t>部门（单位）基本情况</w:t>
      </w:r>
    </w:p>
    <w:p>
      <w:pPr>
        <w:widowControl/>
        <w:adjustRightInd w:val="0"/>
        <w:snapToGrid w:val="0"/>
        <w:spacing w:line="578" w:lineRule="exact"/>
        <w:ind w:firstLine="642" w:firstLineChars="200"/>
        <w:contextualSpacing/>
        <w:jc w:val="left"/>
        <w:rPr>
          <w:rFonts w:hint="eastAsia"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lang w:val="zh-CN"/>
        </w:rPr>
        <w:t>（一）</w:t>
      </w:r>
      <w:r>
        <w:rPr>
          <w:rFonts w:eastAsia="楷体_GB2312"/>
          <w:b/>
          <w:bCs/>
          <w:color w:val="000000"/>
          <w:kern w:val="0"/>
          <w:szCs w:val="32"/>
          <w:shd w:val="clear" w:color="auto" w:fill="FFFFFF"/>
          <w:lang w:val="zh-CN"/>
        </w:rPr>
        <w:t>机构组成</w:t>
      </w:r>
    </w:p>
    <w:p>
      <w:pPr>
        <w:ind w:firstLine="640" w:firstLineChars="200"/>
        <w:rPr>
          <w:rFonts w:ascii="仿宋_GB2312" w:hAnsi="黑体" w:cs="黑体"/>
          <w:bCs/>
          <w:szCs w:val="32"/>
        </w:rPr>
      </w:pPr>
      <w:r>
        <w:rPr>
          <w:rFonts w:hint="eastAsia" w:ascii="仿宋_GB2312" w:hAnsi="黑体" w:cs="黑体"/>
          <w:bCs/>
          <w:szCs w:val="32"/>
        </w:rPr>
        <w:t>部门内设6个股室，分别为综合股、新闻信息采集中心、新闻信息编辑中心、运维传输中心、运营中心、舆情中心。</w:t>
      </w:r>
    </w:p>
    <w:p>
      <w:pPr>
        <w:widowControl/>
        <w:adjustRightInd w:val="0"/>
        <w:snapToGrid w:val="0"/>
        <w:spacing w:line="578" w:lineRule="exact"/>
        <w:ind w:firstLine="803" w:firstLineChars="250"/>
        <w:contextualSpacing/>
        <w:jc w:val="left"/>
        <w:rPr>
          <w:rFonts w:hint="eastAsia"/>
          <w:szCs w:val="32"/>
        </w:rPr>
      </w:pPr>
      <w:r>
        <w:rPr>
          <w:rFonts w:eastAsia="楷体_GB2312"/>
          <w:b/>
          <w:bCs/>
          <w:color w:val="000000"/>
          <w:kern w:val="0"/>
          <w:szCs w:val="32"/>
          <w:shd w:val="clear" w:color="auto" w:fill="FFFFFF"/>
          <w:lang w:val="zh-CN"/>
        </w:rPr>
        <w:t>（二）机构职能</w:t>
      </w:r>
    </w:p>
    <w:p>
      <w:pPr>
        <w:spacing w:line="560" w:lineRule="exact"/>
        <w:ind w:firstLine="640" w:firstLineChars="200"/>
        <w:rPr>
          <w:rFonts w:ascii="仿宋_GB2312" w:hAnsi="黑体" w:cs="黑体"/>
          <w:bCs/>
          <w:szCs w:val="32"/>
        </w:rPr>
      </w:pPr>
      <w:r>
        <w:rPr>
          <w:rFonts w:hint="eastAsia" w:ascii="仿宋_GB2312" w:hAnsi="黑体" w:cs="黑体"/>
          <w:bCs/>
          <w:szCs w:val="32"/>
        </w:rPr>
        <w:t>县融媒体中心贯彻落实党中央关于推动传统媒体、新兴媒体融合发展的方针政策和省委、州委、县委的决策部署，在履行职责过程中坚持和加强党对融媒体中心工作的集中统一领导。主要职责是：</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1.</w:t>
      </w:r>
      <w:r>
        <w:rPr>
          <w:rFonts w:hint="eastAsia" w:ascii="仿宋_GB2312" w:hAnsi="黑体" w:cs="黑体"/>
          <w:bCs/>
          <w:szCs w:val="32"/>
        </w:rPr>
        <w:t>贯彻落实党的新闻宣传方针政策，宣传党的理论、路线和各项方针政策，把握新闻宣传基调，坚持正面宣传、发挥主流媒体传播力、引导力、影响力、公信力，为全县经济社会发展提供舆论支持。</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2.</w:t>
      </w:r>
      <w:r>
        <w:rPr>
          <w:rFonts w:hint="eastAsia" w:ascii="仿宋_GB2312" w:hAnsi="黑体" w:cs="黑体"/>
          <w:bCs/>
          <w:szCs w:val="32"/>
        </w:rPr>
        <w:t>围绕县委、县政府中心工作，积极开展新闻内外宣传，落实全县新闻报道计划，完成上级下达的各项内外宣传和创优任务。</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3.</w:t>
      </w:r>
      <w:r>
        <w:rPr>
          <w:rFonts w:hint="eastAsia" w:ascii="仿宋_GB2312" w:hAnsi="黑体" w:cs="黑体"/>
          <w:bCs/>
          <w:szCs w:val="32"/>
        </w:rPr>
        <w:t>负责全县新闻业务管理和对外通联工作，抓好全县新闻宣传阵地和人才队伍建设。</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4.</w:t>
      </w:r>
      <w:r>
        <w:rPr>
          <w:rFonts w:hint="eastAsia" w:ascii="仿宋_GB2312" w:hAnsi="黑体" w:cs="黑体"/>
          <w:bCs/>
          <w:szCs w:val="32"/>
        </w:rPr>
        <w:t>承担黑水县广播电视、“两微一端”等新媒体的新闻</w:t>
      </w:r>
      <w:r>
        <w:rPr>
          <w:rFonts w:hint="eastAsia" w:ascii="仿宋_GB2312" w:hAnsi="黑体" w:cs="黑体"/>
          <w:bCs/>
          <w:szCs w:val="32"/>
          <w:lang w:val="en-US" w:eastAsia="zh-CN"/>
        </w:rPr>
        <w:t>策、</w:t>
      </w:r>
      <w:r>
        <w:rPr>
          <w:rFonts w:hint="eastAsia" w:ascii="仿宋_GB2312" w:hAnsi="黑体" w:cs="黑体"/>
          <w:bCs/>
          <w:szCs w:val="32"/>
        </w:rPr>
        <w:t>采、编、审、发以及对外宣传、节目信息</w:t>
      </w:r>
      <w:r>
        <w:rPr>
          <w:rFonts w:hint="eastAsia" w:ascii="仿宋_GB2312" w:hAnsi="黑体" w:cs="黑体"/>
          <w:bCs/>
          <w:szCs w:val="32"/>
          <w:lang w:val="en-US" w:eastAsia="zh-CN"/>
        </w:rPr>
        <w:t>报</w:t>
      </w:r>
      <w:r>
        <w:rPr>
          <w:rFonts w:hint="eastAsia" w:ascii="仿宋_GB2312" w:hAnsi="黑体" w:cs="黑体"/>
          <w:bCs/>
          <w:szCs w:val="32"/>
        </w:rPr>
        <w:t>送等工作。协助配合上级媒体和新闻单位来县采访及其他工作。</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5.</w:t>
      </w:r>
      <w:r>
        <w:rPr>
          <w:rFonts w:hint="eastAsia" w:ascii="仿宋_GB2312" w:hAnsi="黑体" w:cs="黑体"/>
          <w:bCs/>
          <w:szCs w:val="32"/>
        </w:rPr>
        <w:t>坚持正确的舆论引导，承担网络舆情监控工作，减少网络舆情对全县的负面影响，维护县内舆论安全。</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6.</w:t>
      </w:r>
      <w:r>
        <w:rPr>
          <w:rFonts w:hint="eastAsia" w:ascii="仿宋_GB2312" w:hAnsi="黑体" w:cs="黑体"/>
          <w:bCs/>
          <w:szCs w:val="32"/>
        </w:rPr>
        <w:t>参与编制并实施全县广播电视工作的目标、事业和技术发展规划。</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7.</w:t>
      </w:r>
      <w:r>
        <w:rPr>
          <w:rFonts w:hint="eastAsia" w:ascii="仿宋_GB2312" w:hAnsi="黑体" w:cs="黑体"/>
          <w:bCs/>
          <w:szCs w:val="32"/>
        </w:rPr>
        <w:t>负责有线电视传输网络维护维修调试及巡查，确保网络安全运行、广播电视节目安全播出。</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8.</w:t>
      </w:r>
      <w:r>
        <w:rPr>
          <w:rFonts w:hint="eastAsia" w:ascii="仿宋_GB2312" w:hAnsi="黑体" w:cs="黑体"/>
          <w:bCs/>
          <w:szCs w:val="32"/>
        </w:rPr>
        <w:t>负责职责范围内的安全生产和职业健康生态环境保护、便民化服务。</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9.</w:t>
      </w:r>
      <w:r>
        <w:rPr>
          <w:rFonts w:hint="eastAsia" w:ascii="仿宋_GB2312" w:hAnsi="黑体" w:cs="黑体"/>
          <w:bCs/>
          <w:szCs w:val="32"/>
        </w:rPr>
        <w:t>完成县委、县政府交办的其他任务。</w:t>
      </w:r>
    </w:p>
    <w:p>
      <w:pPr>
        <w:spacing w:line="560" w:lineRule="exact"/>
        <w:ind w:firstLine="642" w:firstLineChars="200"/>
        <w:rPr>
          <w:rFonts w:ascii="仿宋_GB2312" w:hAnsi="黑体" w:cs="黑体"/>
          <w:bCs/>
          <w:szCs w:val="32"/>
        </w:rPr>
      </w:pPr>
      <w:r>
        <w:rPr>
          <w:rFonts w:hint="eastAsia" w:ascii="仿宋_GB2312" w:hAnsi="黑体" w:cs="黑体"/>
          <w:b/>
          <w:bCs w:val="0"/>
          <w:szCs w:val="32"/>
          <w:lang w:val="en-US" w:eastAsia="zh-CN"/>
        </w:rPr>
        <w:t>10.</w:t>
      </w:r>
      <w:r>
        <w:rPr>
          <w:rFonts w:hint="eastAsia" w:ascii="仿宋_GB2312" w:hAnsi="黑体" w:cs="黑体"/>
          <w:bCs/>
          <w:szCs w:val="32"/>
        </w:rPr>
        <w:t>有关职责分工</w:t>
      </w:r>
    </w:p>
    <w:p>
      <w:pPr>
        <w:widowControl/>
        <w:adjustRightInd w:val="0"/>
        <w:snapToGrid w:val="0"/>
        <w:spacing w:line="578" w:lineRule="exact"/>
        <w:ind w:firstLine="803" w:firstLineChars="250"/>
        <w:contextualSpacing/>
        <w:jc w:val="left"/>
        <w:rPr>
          <w:rFonts w:hint="eastAsia"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zh-CN"/>
        </w:rPr>
        <w:t>三</w:t>
      </w:r>
      <w:r>
        <w:rPr>
          <w:rFonts w:eastAsia="楷体_GB2312"/>
          <w:b/>
          <w:bCs/>
          <w:color w:val="000000"/>
          <w:kern w:val="0"/>
          <w:szCs w:val="32"/>
          <w:shd w:val="clear" w:color="auto" w:fill="FFFFFF"/>
          <w:lang w:val="zh-CN"/>
        </w:rPr>
        <w:t>）人员概况</w:t>
      </w:r>
    </w:p>
    <w:p>
      <w:pPr>
        <w:ind w:firstLine="640" w:firstLineChars="200"/>
        <w:rPr>
          <w:rFonts w:ascii="仿宋_GB2312" w:hAnsi="黑体" w:cs="黑体"/>
          <w:bCs/>
          <w:szCs w:val="32"/>
        </w:rPr>
      </w:pPr>
      <w:r>
        <w:rPr>
          <w:rFonts w:hint="eastAsia" w:ascii="仿宋_GB2312" w:hAnsi="黑体" w:cs="黑体"/>
          <w:bCs/>
          <w:szCs w:val="32"/>
        </w:rPr>
        <w:t>单位总编制22名，其中：事业编制22名。在职</w:t>
      </w:r>
      <w:r>
        <w:rPr>
          <w:rFonts w:hint="eastAsia" w:ascii="仿宋_GB2312" w:hAnsi="黑体" w:cs="黑体"/>
          <w:bCs/>
          <w:szCs w:val="32"/>
          <w:lang w:val="en-US" w:eastAsia="zh-CN"/>
        </w:rPr>
        <w:t>20</w:t>
      </w:r>
      <w:r>
        <w:rPr>
          <w:rFonts w:hint="eastAsia" w:ascii="仿宋_GB2312" w:hAnsi="黑体" w:cs="黑体"/>
          <w:bCs/>
          <w:szCs w:val="32"/>
        </w:rPr>
        <w:t>人（其中：事业编制</w:t>
      </w:r>
      <w:r>
        <w:rPr>
          <w:rFonts w:hint="eastAsia" w:ascii="仿宋_GB2312" w:hAnsi="黑体" w:cs="黑体"/>
          <w:bCs/>
          <w:szCs w:val="32"/>
          <w:lang w:val="en-US" w:eastAsia="zh-CN"/>
        </w:rPr>
        <w:t>20</w:t>
      </w:r>
      <w:r>
        <w:rPr>
          <w:rFonts w:hint="eastAsia" w:ascii="仿宋_GB2312" w:hAnsi="黑体" w:cs="黑体"/>
          <w:bCs/>
          <w:szCs w:val="32"/>
        </w:rPr>
        <w:t>名），退休5人。</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widowControl/>
        <w:adjustRightInd w:val="0"/>
        <w:snapToGrid w:val="0"/>
        <w:spacing w:line="578" w:lineRule="exact"/>
        <w:ind w:firstLine="803" w:firstLineChars="250"/>
        <w:contextualSpacing/>
        <w:jc w:val="left"/>
        <w:rPr>
          <w:rFonts w:hint="eastAsia"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w:t>
      </w:r>
      <w:r>
        <w:rPr>
          <w:rFonts w:hint="eastAsia" w:eastAsia="楷体_GB2312"/>
          <w:b/>
          <w:bCs/>
          <w:color w:val="000000"/>
          <w:kern w:val="0"/>
          <w:szCs w:val="32"/>
          <w:shd w:val="clear" w:color="auto" w:fill="FFFFFF"/>
          <w:lang w:val="zh-CN"/>
        </w:rPr>
        <w:t>收入情况</w:t>
      </w:r>
    </w:p>
    <w:p>
      <w:pPr>
        <w:spacing w:line="560" w:lineRule="exact"/>
        <w:ind w:firstLine="640" w:firstLineChars="200"/>
        <w:rPr>
          <w:rFonts w:hint="eastAsia" w:ascii="仿宋_GB2312" w:hAnsi="黑体" w:cs="黑体"/>
          <w:bCs/>
          <w:szCs w:val="32"/>
        </w:rPr>
      </w:pPr>
      <w:r>
        <w:rPr>
          <w:rFonts w:hint="eastAsia" w:ascii="仿宋_GB2312" w:hAnsi="黑体" w:cs="黑体"/>
          <w:bCs/>
          <w:szCs w:val="32"/>
          <w:lang w:eastAsia="zh-CN"/>
        </w:rPr>
        <w:t>2025</w:t>
      </w:r>
      <w:r>
        <w:rPr>
          <w:rFonts w:hint="eastAsia" w:ascii="仿宋_GB2312" w:hAnsi="黑体" w:cs="黑体"/>
          <w:bCs/>
          <w:szCs w:val="32"/>
        </w:rPr>
        <w:t>年</w:t>
      </w:r>
      <w:r>
        <w:rPr>
          <w:rFonts w:hint="eastAsia" w:ascii="仿宋_GB2312" w:hAnsi="黑体" w:cs="黑体"/>
          <w:bCs/>
          <w:szCs w:val="32"/>
          <w:lang w:val="en-US" w:eastAsia="zh-CN"/>
        </w:rPr>
        <w:t>收入684.93万元，</w:t>
      </w:r>
      <w:r>
        <w:rPr>
          <w:rFonts w:hint="eastAsia" w:ascii="仿宋_GB2312" w:hAnsi="黑体" w:cs="黑体"/>
          <w:bCs/>
          <w:szCs w:val="32"/>
        </w:rPr>
        <w:t>一般公共预算</w:t>
      </w:r>
      <w:r>
        <w:rPr>
          <w:rFonts w:hint="eastAsia" w:ascii="仿宋_GB2312" w:hAnsi="黑体" w:cs="黑体"/>
          <w:bCs/>
          <w:szCs w:val="32"/>
          <w:lang w:val="en-US" w:eastAsia="zh-CN"/>
        </w:rPr>
        <w:t>财政拨款</w:t>
      </w:r>
      <w:r>
        <w:rPr>
          <w:rFonts w:hint="eastAsia" w:ascii="仿宋_GB2312" w:hAnsi="黑体" w:cs="黑体"/>
          <w:bCs/>
          <w:szCs w:val="32"/>
        </w:rPr>
        <w:t>收入</w:t>
      </w:r>
      <w:r>
        <w:rPr>
          <w:rFonts w:hint="eastAsia" w:ascii="仿宋_GB2312" w:hAnsi="黑体" w:cs="黑体"/>
          <w:bCs/>
          <w:szCs w:val="32"/>
          <w:lang w:val="en-US" w:eastAsia="zh-CN"/>
        </w:rPr>
        <w:t>684.93</w:t>
      </w:r>
      <w:r>
        <w:rPr>
          <w:rFonts w:hint="eastAsia" w:ascii="仿宋_GB2312" w:hAnsi="黑体" w:cs="黑体"/>
          <w:bCs/>
          <w:szCs w:val="32"/>
        </w:rPr>
        <w:t>万元</w:t>
      </w:r>
      <w:r>
        <w:rPr>
          <w:rFonts w:hint="eastAsia" w:ascii="仿宋_GB2312" w:hAnsi="黑体" w:cs="黑体"/>
          <w:bCs/>
          <w:szCs w:val="32"/>
          <w:lang w:val="en-US" w:eastAsia="zh-CN"/>
        </w:rPr>
        <w:t>，</w:t>
      </w:r>
      <w:r>
        <w:rPr>
          <w:rFonts w:hint="eastAsia" w:ascii="仿宋_GB2312" w:hAnsi="黑体" w:cs="黑体"/>
          <w:bCs/>
          <w:szCs w:val="32"/>
        </w:rPr>
        <w:t>年初结转结余0万元，共计</w:t>
      </w:r>
      <w:r>
        <w:rPr>
          <w:rFonts w:hint="eastAsia" w:ascii="仿宋_GB2312" w:hAnsi="黑体" w:cs="黑体"/>
          <w:bCs/>
          <w:szCs w:val="32"/>
          <w:lang w:val="en-US" w:eastAsia="zh-CN"/>
        </w:rPr>
        <w:t>684.93</w:t>
      </w:r>
      <w:r>
        <w:rPr>
          <w:rFonts w:hint="eastAsia" w:ascii="仿宋_GB2312" w:hAnsi="黑体" w:cs="黑体"/>
          <w:bCs/>
          <w:szCs w:val="32"/>
        </w:rPr>
        <w:t>万元。其中基本收入</w:t>
      </w:r>
      <w:r>
        <w:rPr>
          <w:rFonts w:hint="eastAsia" w:ascii="仿宋_GB2312" w:hAnsi="黑体" w:cs="黑体"/>
          <w:bCs/>
          <w:szCs w:val="32"/>
          <w:lang w:val="en-US" w:eastAsia="zh-CN"/>
        </w:rPr>
        <w:t>523.74</w:t>
      </w:r>
      <w:r>
        <w:rPr>
          <w:rFonts w:hint="eastAsia" w:ascii="仿宋_GB2312" w:hAnsi="黑体" w:cs="黑体"/>
          <w:bCs/>
          <w:szCs w:val="32"/>
        </w:rPr>
        <w:t>万元，项目收入</w:t>
      </w:r>
      <w:r>
        <w:rPr>
          <w:rFonts w:hint="eastAsia" w:ascii="仿宋_GB2312" w:hAnsi="黑体" w:cs="黑体"/>
          <w:bCs/>
          <w:szCs w:val="32"/>
          <w:lang w:val="en-US" w:eastAsia="zh-CN"/>
        </w:rPr>
        <w:t>161.19</w:t>
      </w:r>
      <w:r>
        <w:rPr>
          <w:rFonts w:hint="eastAsia" w:ascii="仿宋_GB2312" w:hAnsi="黑体" w:cs="黑体"/>
          <w:bCs/>
          <w:szCs w:val="32"/>
        </w:rPr>
        <w:t>万元。主要用于</w:t>
      </w:r>
      <w:r>
        <w:rPr>
          <w:rFonts w:hint="eastAsia" w:ascii="仿宋_GB2312" w:hAnsi="黑体" w:cs="黑体"/>
          <w:bCs/>
          <w:szCs w:val="32"/>
          <w:lang w:eastAsia="zh-CN"/>
        </w:rPr>
        <w:t>2025</w:t>
      </w:r>
      <w:r>
        <w:rPr>
          <w:rFonts w:hint="eastAsia" w:ascii="仿宋_GB2312" w:hAnsi="黑体" w:cs="黑体"/>
          <w:bCs/>
          <w:szCs w:val="32"/>
        </w:rPr>
        <w:t>年融媒体中心职工日常人员经费、公用经费等支出，切实保证中心的正常运转。</w:t>
      </w:r>
    </w:p>
    <w:p>
      <w:pPr>
        <w:spacing w:line="560" w:lineRule="exact"/>
        <w:ind w:firstLine="640" w:firstLineChars="200"/>
        <w:rPr>
          <w:rFonts w:hint="eastAsia" w:ascii="仿宋_GB2312" w:hAnsi="黑体" w:cs="黑体"/>
          <w:bCs/>
          <w:szCs w:val="32"/>
        </w:rPr>
      </w:pPr>
      <w:r>
        <w:rPr>
          <w:rFonts w:hint="eastAsia" w:ascii="仿宋_GB2312" w:hAnsi="黑体" w:cs="黑体"/>
          <w:bCs/>
          <w:szCs w:val="32"/>
          <w:lang w:eastAsia="zh-CN"/>
        </w:rPr>
        <w:t>2025</w:t>
      </w:r>
      <w:r>
        <w:rPr>
          <w:rFonts w:hint="eastAsia" w:ascii="仿宋_GB2312" w:hAnsi="黑体" w:cs="黑体"/>
          <w:bCs/>
          <w:szCs w:val="32"/>
        </w:rPr>
        <w:t>年政府采购未安排公务用车购置预算。</w:t>
      </w:r>
    </w:p>
    <w:p>
      <w:pPr>
        <w:widowControl/>
        <w:adjustRightInd w:val="0"/>
        <w:snapToGrid w:val="0"/>
        <w:spacing w:line="578" w:lineRule="exact"/>
        <w:ind w:firstLine="803" w:firstLineChars="250"/>
        <w:contextualSpacing/>
        <w:jc w:val="left"/>
        <w:rPr>
          <w:rFonts w:hint="eastAsia"/>
          <w:szCs w:val="32"/>
        </w:rPr>
      </w:pP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zh-CN"/>
        </w:rPr>
        <w:t>二</w:t>
      </w: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zh-CN"/>
        </w:rPr>
        <w:t>支出情况</w:t>
      </w:r>
    </w:p>
    <w:p>
      <w:pPr>
        <w:spacing w:line="560" w:lineRule="exact"/>
        <w:ind w:firstLine="640" w:firstLineChars="200"/>
        <w:rPr>
          <w:rFonts w:hint="eastAsia" w:ascii="仿宋_GB2312" w:hAnsi="黑体" w:cs="黑体"/>
          <w:bCs/>
          <w:szCs w:val="32"/>
        </w:rPr>
      </w:pPr>
      <w:r>
        <w:rPr>
          <w:rFonts w:hint="eastAsia" w:ascii="仿宋_GB2312" w:hAnsi="黑体" w:cs="黑体"/>
          <w:bCs/>
          <w:szCs w:val="32"/>
          <w:lang w:eastAsia="zh-CN"/>
        </w:rPr>
        <w:t>2025</w:t>
      </w:r>
      <w:r>
        <w:rPr>
          <w:rFonts w:hint="eastAsia" w:ascii="仿宋_GB2312" w:hAnsi="黑体" w:cs="黑体"/>
          <w:bCs/>
          <w:szCs w:val="32"/>
        </w:rPr>
        <w:t>年实际支出</w:t>
      </w:r>
      <w:r>
        <w:rPr>
          <w:rFonts w:hint="eastAsia" w:ascii="仿宋_GB2312" w:hAnsi="黑体" w:cs="黑体"/>
          <w:bCs/>
          <w:szCs w:val="32"/>
          <w:lang w:val="en-US" w:eastAsia="zh-CN"/>
        </w:rPr>
        <w:t>684.93</w:t>
      </w:r>
      <w:r>
        <w:rPr>
          <w:rFonts w:hint="eastAsia" w:ascii="仿宋_GB2312" w:hAnsi="黑体" w:cs="黑体"/>
          <w:bCs/>
          <w:szCs w:val="32"/>
        </w:rPr>
        <w:t>万元。 按资金来源分析：其中财政拨款支出</w:t>
      </w:r>
      <w:r>
        <w:rPr>
          <w:rFonts w:hint="eastAsia" w:ascii="仿宋_GB2312" w:hAnsi="黑体" w:cs="黑体"/>
          <w:bCs/>
          <w:szCs w:val="32"/>
          <w:lang w:val="en-US" w:eastAsia="zh-CN"/>
        </w:rPr>
        <w:t>684.93</w:t>
      </w:r>
      <w:r>
        <w:rPr>
          <w:rFonts w:hint="eastAsia" w:ascii="仿宋_GB2312" w:hAnsi="黑体" w:cs="黑体"/>
          <w:bCs/>
          <w:szCs w:val="32"/>
        </w:rPr>
        <w:t>万元，占本年总支出的</w:t>
      </w:r>
      <w:r>
        <w:rPr>
          <w:rFonts w:hint="eastAsia" w:ascii="仿宋_GB2312" w:hAnsi="黑体" w:cs="黑体"/>
          <w:bCs/>
          <w:szCs w:val="32"/>
          <w:lang w:val="en-US" w:eastAsia="zh-CN"/>
        </w:rPr>
        <w:t>100</w:t>
      </w:r>
      <w:r>
        <w:rPr>
          <w:rFonts w:hint="eastAsia" w:ascii="仿宋_GB2312" w:hAnsi="黑体" w:cs="黑体"/>
          <w:bCs/>
          <w:szCs w:val="32"/>
        </w:rPr>
        <w:t>%</w:t>
      </w:r>
      <w:r>
        <w:rPr>
          <w:rFonts w:hint="eastAsia" w:ascii="仿宋_GB2312" w:hAnsi="黑体" w:cs="黑体"/>
          <w:bCs/>
          <w:szCs w:val="32"/>
          <w:lang w:eastAsia="zh-CN"/>
        </w:rPr>
        <w:t>；</w:t>
      </w:r>
      <w:r>
        <w:rPr>
          <w:rFonts w:hint="eastAsia" w:ascii="仿宋_GB2312" w:hAnsi="黑体" w:cs="黑体"/>
          <w:bCs/>
          <w:szCs w:val="32"/>
        </w:rPr>
        <w:t>按支出性质分析：基本支出</w:t>
      </w:r>
      <w:r>
        <w:rPr>
          <w:rFonts w:hint="eastAsia" w:ascii="仿宋_GB2312" w:hAnsi="黑体" w:cs="黑体"/>
          <w:bCs/>
          <w:szCs w:val="32"/>
          <w:lang w:val="en-US" w:eastAsia="zh-CN"/>
        </w:rPr>
        <w:t>523.74</w:t>
      </w:r>
      <w:r>
        <w:rPr>
          <w:rFonts w:hint="eastAsia" w:ascii="仿宋_GB2312" w:hAnsi="黑体" w:cs="黑体"/>
          <w:bCs/>
          <w:szCs w:val="32"/>
        </w:rPr>
        <w:t>万元，占本年总支出的</w:t>
      </w:r>
      <w:r>
        <w:rPr>
          <w:rFonts w:hint="eastAsia" w:ascii="仿宋_GB2312" w:hAnsi="黑体" w:cs="黑体"/>
          <w:bCs/>
          <w:szCs w:val="32"/>
          <w:lang w:val="en-US" w:eastAsia="zh-CN"/>
        </w:rPr>
        <w:t>76.47</w:t>
      </w:r>
      <w:r>
        <w:rPr>
          <w:rFonts w:hint="eastAsia" w:ascii="仿宋_GB2312" w:hAnsi="黑体" w:cs="黑体"/>
          <w:bCs/>
          <w:szCs w:val="32"/>
        </w:rPr>
        <w:t>%；项目支出</w:t>
      </w:r>
      <w:r>
        <w:rPr>
          <w:rFonts w:hint="eastAsia" w:ascii="仿宋_GB2312" w:hAnsi="黑体" w:cs="黑体"/>
          <w:bCs/>
          <w:szCs w:val="32"/>
          <w:lang w:val="en-US" w:eastAsia="zh-CN"/>
        </w:rPr>
        <w:t>161.19</w:t>
      </w:r>
      <w:r>
        <w:rPr>
          <w:rFonts w:hint="eastAsia" w:ascii="仿宋_GB2312" w:hAnsi="黑体" w:cs="黑体"/>
          <w:bCs/>
          <w:szCs w:val="32"/>
        </w:rPr>
        <w:t>万元，占本年总支出的</w:t>
      </w:r>
      <w:r>
        <w:rPr>
          <w:rFonts w:hint="eastAsia" w:ascii="仿宋_GB2312" w:hAnsi="黑体" w:cs="黑体"/>
          <w:bCs/>
          <w:szCs w:val="32"/>
          <w:lang w:val="en-US" w:eastAsia="zh-CN"/>
        </w:rPr>
        <w:t>23.53</w:t>
      </w:r>
      <w:r>
        <w:rPr>
          <w:rFonts w:hint="eastAsia" w:ascii="仿宋_GB2312" w:hAnsi="黑体" w:cs="黑体"/>
          <w:bCs/>
          <w:szCs w:val="32"/>
        </w:rPr>
        <w:t>%。按支出经济分类分析：其中工资福利支出</w:t>
      </w:r>
      <w:r>
        <w:rPr>
          <w:rFonts w:hint="eastAsia" w:ascii="仿宋_GB2312" w:hAnsi="黑体" w:cs="黑体"/>
          <w:bCs/>
          <w:szCs w:val="32"/>
          <w:lang w:val="en-US" w:eastAsia="zh-CN"/>
        </w:rPr>
        <w:t>396.77</w:t>
      </w:r>
      <w:r>
        <w:rPr>
          <w:rFonts w:hint="eastAsia" w:ascii="仿宋_GB2312" w:hAnsi="黑体" w:cs="黑体"/>
          <w:bCs/>
          <w:szCs w:val="32"/>
        </w:rPr>
        <w:t>万元，占本年总支出的</w:t>
      </w:r>
      <w:r>
        <w:rPr>
          <w:rFonts w:hint="eastAsia" w:ascii="仿宋_GB2312" w:hAnsi="黑体" w:cs="黑体"/>
          <w:bCs/>
          <w:szCs w:val="32"/>
          <w:lang w:val="en-US" w:eastAsia="zh-CN"/>
        </w:rPr>
        <w:t>57.93</w:t>
      </w:r>
      <w:r>
        <w:rPr>
          <w:rFonts w:hint="eastAsia" w:ascii="仿宋_GB2312" w:hAnsi="黑体" w:cs="黑体"/>
          <w:bCs/>
          <w:szCs w:val="32"/>
        </w:rPr>
        <w:t>%；商品和服务支出</w:t>
      </w:r>
      <w:r>
        <w:rPr>
          <w:rFonts w:hint="eastAsia" w:ascii="仿宋_GB2312" w:hAnsi="黑体" w:cs="黑体"/>
          <w:bCs/>
          <w:szCs w:val="32"/>
          <w:lang w:val="en-US" w:eastAsia="zh-CN"/>
        </w:rPr>
        <w:t>244.36</w:t>
      </w:r>
      <w:r>
        <w:rPr>
          <w:rFonts w:hint="eastAsia" w:ascii="仿宋_GB2312" w:hAnsi="黑体" w:cs="黑体"/>
          <w:bCs/>
          <w:szCs w:val="32"/>
        </w:rPr>
        <w:t>万元，占本年总支出</w:t>
      </w:r>
      <w:r>
        <w:rPr>
          <w:rFonts w:hint="eastAsia" w:ascii="仿宋_GB2312" w:hAnsi="黑体" w:cs="黑体"/>
          <w:bCs/>
          <w:szCs w:val="32"/>
          <w:lang w:val="en-US" w:eastAsia="zh-CN"/>
        </w:rPr>
        <w:t>35.68</w:t>
      </w:r>
      <w:r>
        <w:rPr>
          <w:rFonts w:hint="eastAsia" w:ascii="仿宋_GB2312" w:hAnsi="黑体" w:cs="黑体"/>
          <w:bCs/>
          <w:szCs w:val="32"/>
        </w:rPr>
        <w:t>%；对个人和家庭的补助支出6.2</w:t>
      </w:r>
      <w:r>
        <w:rPr>
          <w:rFonts w:hint="eastAsia" w:ascii="仿宋_GB2312" w:hAnsi="黑体" w:cs="黑体"/>
          <w:bCs/>
          <w:szCs w:val="32"/>
          <w:lang w:val="en-US" w:eastAsia="zh-CN"/>
        </w:rPr>
        <w:t>2</w:t>
      </w:r>
      <w:r>
        <w:rPr>
          <w:rFonts w:hint="eastAsia" w:ascii="仿宋_GB2312" w:hAnsi="黑体" w:cs="黑体"/>
          <w:bCs/>
          <w:szCs w:val="32"/>
        </w:rPr>
        <w:t>万元，占本年总支出的</w:t>
      </w:r>
      <w:r>
        <w:rPr>
          <w:rFonts w:hint="eastAsia" w:ascii="仿宋_GB2312" w:hAnsi="黑体" w:cs="黑体"/>
          <w:bCs/>
          <w:szCs w:val="32"/>
          <w:lang w:val="en-US" w:eastAsia="zh-CN"/>
        </w:rPr>
        <w:t>0.9</w:t>
      </w:r>
      <w:r>
        <w:rPr>
          <w:rFonts w:hint="eastAsia" w:ascii="仿宋_GB2312" w:hAnsi="黑体" w:cs="黑体"/>
          <w:bCs/>
          <w:szCs w:val="32"/>
        </w:rPr>
        <w:t>%；资本性支出</w:t>
      </w:r>
      <w:r>
        <w:rPr>
          <w:rFonts w:hint="eastAsia" w:ascii="仿宋_GB2312" w:hAnsi="黑体" w:cs="黑体"/>
          <w:bCs/>
          <w:szCs w:val="32"/>
          <w:lang w:val="en-US" w:eastAsia="zh-CN"/>
        </w:rPr>
        <w:t>37.58</w:t>
      </w:r>
      <w:r>
        <w:rPr>
          <w:rFonts w:hint="eastAsia" w:ascii="仿宋_GB2312" w:hAnsi="黑体" w:cs="黑体"/>
          <w:bCs/>
          <w:szCs w:val="32"/>
        </w:rPr>
        <w:t>万元，占本年总支出的</w:t>
      </w:r>
      <w:r>
        <w:rPr>
          <w:rFonts w:hint="eastAsia" w:ascii="仿宋_GB2312" w:hAnsi="黑体" w:cs="黑体"/>
          <w:bCs/>
          <w:szCs w:val="32"/>
          <w:lang w:val="en-US" w:eastAsia="zh-CN"/>
        </w:rPr>
        <w:t>5.49</w:t>
      </w:r>
      <w:r>
        <w:rPr>
          <w:rFonts w:hint="eastAsia" w:ascii="仿宋_GB2312" w:hAnsi="黑体" w:cs="黑体"/>
          <w:bCs/>
          <w:szCs w:val="32"/>
        </w:rPr>
        <w:t>%。</w:t>
      </w:r>
    </w:p>
    <w:p>
      <w:pPr>
        <w:widowControl/>
        <w:adjustRightInd w:val="0"/>
        <w:snapToGrid w:val="0"/>
        <w:spacing w:line="578" w:lineRule="exact"/>
        <w:ind w:firstLine="481" w:firstLineChars="150"/>
        <w:contextualSpacing/>
        <w:jc w:val="left"/>
        <w:rPr>
          <w:rFonts w:hint="eastAsia"/>
          <w:szCs w:val="32"/>
        </w:rPr>
      </w:pP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zh-CN"/>
        </w:rPr>
        <w:t>三</w:t>
      </w:r>
      <w:r>
        <w:rPr>
          <w:rFonts w:eastAsia="楷体_GB2312"/>
          <w:b/>
          <w:bCs/>
          <w:color w:val="000000"/>
          <w:kern w:val="0"/>
          <w:szCs w:val="32"/>
          <w:shd w:val="clear" w:color="auto" w:fill="FFFFFF"/>
          <w:lang w:val="zh-CN"/>
        </w:rPr>
        <w:t>）</w:t>
      </w:r>
      <w:r>
        <w:rPr>
          <w:rFonts w:eastAsia="楷体_GB2312"/>
          <w:b/>
          <w:szCs w:val="32"/>
        </w:rPr>
        <w:t>结余分配和结转结余情况</w:t>
      </w:r>
    </w:p>
    <w:p>
      <w:pPr>
        <w:spacing w:line="560" w:lineRule="exact"/>
        <w:ind w:firstLine="640" w:firstLineChars="200"/>
        <w:rPr>
          <w:rFonts w:hint="eastAsia" w:ascii="仿宋_GB2312" w:hAnsi="黑体" w:cs="黑体"/>
          <w:bCs/>
          <w:szCs w:val="32"/>
        </w:rPr>
      </w:pPr>
      <w:r>
        <w:rPr>
          <w:rFonts w:hint="eastAsia" w:ascii="仿宋_GB2312" w:hAnsi="黑体" w:cs="黑体"/>
          <w:bCs/>
          <w:szCs w:val="32"/>
          <w:lang w:eastAsia="zh-CN"/>
        </w:rPr>
        <w:t>2025</w:t>
      </w:r>
      <w:r>
        <w:rPr>
          <w:rFonts w:hint="eastAsia" w:ascii="仿宋_GB2312" w:hAnsi="黑体" w:cs="黑体"/>
          <w:bCs/>
          <w:szCs w:val="32"/>
        </w:rPr>
        <w:t>年年末无财政应返还额度。</w:t>
      </w:r>
    </w:p>
    <w:p>
      <w:pPr>
        <w:spacing w:line="560" w:lineRule="exact"/>
        <w:ind w:firstLine="640" w:firstLineChars="200"/>
        <w:rPr>
          <w:rFonts w:eastAsia="黑体"/>
          <w:color w:val="000000" w:themeColor="text1"/>
          <w:kern w:val="0"/>
          <w:szCs w:val="32"/>
          <w:shd w:val="clear" w:color="auto" w:fill="FFFFFF"/>
        </w:rPr>
      </w:pPr>
      <w:r>
        <w:rPr>
          <w:rFonts w:eastAsia="黑体"/>
          <w:color w:val="000000"/>
          <w:kern w:val="0"/>
          <w:szCs w:val="32"/>
          <w:shd w:val="clear" w:color="auto" w:fill="FFFFFF"/>
        </w:rPr>
        <w:t>三、部门预算绩效分析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321" w:firstLineChars="100"/>
        <w:contextualSpacing/>
        <w:jc w:val="left"/>
        <w:textAlignment w:val="auto"/>
        <w:outlineLvl w:val="9"/>
        <w:rPr>
          <w:rFonts w:hint="default" w:ascii="Times New Roman" w:hAnsi="Times New Roman" w:cs="Times New Roman"/>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部门预算</w:t>
      </w:r>
      <w:r>
        <w:rPr>
          <w:rFonts w:hint="default" w:ascii="Times New Roman" w:hAnsi="Times New Roman" w:eastAsia="楷体_GB2312" w:cs="Times New Roman"/>
          <w:b/>
          <w:bCs/>
          <w:color w:val="000000"/>
          <w:kern w:val="0"/>
          <w:szCs w:val="32"/>
          <w:highlight w:val="none"/>
          <w:shd w:val="clear" w:color="auto" w:fill="FFFFFF"/>
          <w:lang w:val="zh-CN"/>
        </w:rPr>
        <w:t>总体绩效分析</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Times New Roman" w:eastAsia="楷体_GB2312" w:cs="楷体_GB2312"/>
          <w:b/>
          <w:bCs w:val="0"/>
          <w:color w:val="000000"/>
          <w:sz w:val="32"/>
          <w:szCs w:val="32"/>
          <w:lang w:val="en-US" w:eastAsia="zh-CN"/>
        </w:rPr>
      </w:pPr>
      <w:r>
        <w:rPr>
          <w:rFonts w:hint="eastAsia" w:ascii="楷体_GB2312" w:hAnsi="Times New Roman" w:eastAsia="楷体_GB2312" w:cs="楷体_GB2312"/>
          <w:b/>
          <w:bCs w:val="0"/>
          <w:color w:val="000000"/>
          <w:sz w:val="32"/>
          <w:szCs w:val="32"/>
          <w:lang w:val="en-US" w:eastAsia="zh-CN"/>
        </w:rPr>
        <w:t>1.</w:t>
      </w:r>
      <w:r>
        <w:rPr>
          <w:rFonts w:hint="eastAsia" w:ascii="楷体_GB2312" w:hAnsi="Times New Roman" w:eastAsia="楷体_GB2312" w:cs="楷体_GB2312"/>
          <w:b/>
          <w:bCs w:val="0"/>
          <w:color w:val="000000"/>
          <w:sz w:val="32"/>
          <w:szCs w:val="32"/>
          <w:lang w:val="zh-CN" w:eastAsia="zh-CN"/>
        </w:rPr>
        <w:t>履职效能</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Times New Roman" w:hAnsi="Times New Roman" w:eastAsia="方正仿宋_GBK" w:cs="Times New Roman"/>
          <w:kern w:val="2"/>
          <w:sz w:val="32"/>
          <w:szCs w:val="32"/>
          <w:lang w:val="en-US" w:eastAsia="zh-CN"/>
        </w:rPr>
      </w:pPr>
      <w:r>
        <w:rPr>
          <w:rFonts w:hint="default" w:ascii="Times New Roman" w:hAnsi="Times New Roman" w:eastAsia="方正楷体_GBK" w:cs="Times New Roman"/>
          <w:b/>
          <w:bCs w:val="0"/>
          <w:color w:val="000000"/>
          <w:sz w:val="32"/>
          <w:szCs w:val="32"/>
          <w:lang w:val="en-US" w:eastAsia="zh-CN"/>
        </w:rPr>
        <w:t>（一）</w:t>
      </w:r>
      <w:r>
        <w:rPr>
          <w:rFonts w:hint="eastAsia" w:eastAsia="方正楷体_GBK" w:cs="Times New Roman"/>
          <w:b/>
          <w:bCs w:val="0"/>
          <w:color w:val="000000"/>
          <w:sz w:val="32"/>
          <w:szCs w:val="32"/>
          <w:lang w:val="en-US" w:eastAsia="zh-CN"/>
        </w:rPr>
        <w:t>新闻</w:t>
      </w:r>
      <w:r>
        <w:rPr>
          <w:rFonts w:hint="default" w:ascii="Times New Roman" w:hAnsi="Times New Roman" w:eastAsia="方正楷体_GBK" w:cs="Times New Roman"/>
          <w:b/>
          <w:bCs w:val="0"/>
          <w:color w:val="000000"/>
          <w:sz w:val="32"/>
          <w:szCs w:val="32"/>
          <w:lang w:val="en-US" w:eastAsia="zh-CN"/>
        </w:rPr>
        <w:t>宣传方面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firstLineChars="200"/>
        <w:textAlignment w:val="auto"/>
        <w:rPr>
          <w:rFonts w:hint="default" w:ascii="Times New Roman" w:hAnsi="Times New Roman" w:eastAsia="方正仿宋_GBK" w:cs="Times New Roman"/>
          <w:b/>
          <w:bCs/>
          <w:kern w:val="2"/>
          <w:sz w:val="32"/>
          <w:szCs w:val="32"/>
          <w:lang w:val="en-US" w:eastAsia="zh-CN" w:bidi="ar-SA"/>
        </w:rPr>
      </w:pPr>
      <w:r>
        <w:rPr>
          <w:rFonts w:hint="eastAsia" w:eastAsia="方正仿宋_GBK" w:cs="Times New Roman"/>
          <w:b/>
          <w:bCs/>
          <w:kern w:val="2"/>
          <w:sz w:val="32"/>
          <w:szCs w:val="32"/>
          <w:lang w:val="en-US" w:eastAsia="zh-CN" w:bidi="ar-SA"/>
        </w:rPr>
        <w:t>1</w:t>
      </w:r>
      <w:r>
        <w:rPr>
          <w:rFonts w:hint="eastAsia" w:ascii="Times New Roman" w:hAnsi="Times New Roman" w:eastAsia="方正仿宋_GBK" w:cs="Times New Roman"/>
          <w:b/>
          <w:bCs/>
          <w:kern w:val="2"/>
          <w:sz w:val="32"/>
          <w:szCs w:val="32"/>
          <w:lang w:val="en-US" w:eastAsia="zh-CN" w:bidi="ar-SA"/>
        </w:rPr>
        <w:t>.</w:t>
      </w:r>
      <w:r>
        <w:rPr>
          <w:rFonts w:hint="default" w:ascii="Times New Roman" w:hAnsi="Times New Roman" w:eastAsia="方正仿宋_GBK" w:cs="Times New Roman"/>
          <w:b/>
          <w:bCs/>
          <w:kern w:val="2"/>
          <w:sz w:val="32"/>
          <w:szCs w:val="32"/>
          <w:lang w:val="en-US" w:eastAsia="zh-CN" w:bidi="ar-SA"/>
        </w:rPr>
        <w:t>高举思想旗帜，奏响主流强音</w:t>
      </w:r>
    </w:p>
    <w:p>
      <w:pPr>
        <w:spacing w:line="560" w:lineRule="exact"/>
        <w:ind w:firstLine="640" w:firstLineChars="200"/>
        <w:rPr>
          <w:rFonts w:hint="default" w:ascii="仿宋_GB2312" w:hAnsi="黑体" w:cs="黑体"/>
          <w:bCs/>
          <w:szCs w:val="32"/>
          <w:lang w:val="en-US" w:eastAsia="zh-CN"/>
        </w:rPr>
      </w:pPr>
      <w:r>
        <w:rPr>
          <w:rFonts w:hint="default" w:ascii="仿宋_GB2312" w:hAnsi="黑体" w:cs="黑体"/>
          <w:bCs/>
          <w:szCs w:val="32"/>
          <w:lang w:val="en-US" w:eastAsia="zh-CN"/>
        </w:rPr>
        <w:t>紧紧围绕党的二十大和二十届</w:t>
      </w:r>
      <w:r>
        <w:rPr>
          <w:rFonts w:hint="eastAsia" w:ascii="仿宋_GB2312" w:hAnsi="黑体" w:cs="黑体"/>
          <w:bCs/>
          <w:szCs w:val="32"/>
          <w:lang w:val="en-US" w:eastAsia="zh-CN"/>
        </w:rPr>
        <w:t>三</w:t>
      </w:r>
      <w:r>
        <w:rPr>
          <w:rFonts w:hint="default" w:ascii="仿宋_GB2312" w:hAnsi="黑体" w:cs="黑体"/>
          <w:bCs/>
          <w:szCs w:val="32"/>
          <w:lang w:val="en-US" w:eastAsia="zh-CN"/>
        </w:rPr>
        <w:t>中、</w:t>
      </w:r>
      <w:r>
        <w:rPr>
          <w:rFonts w:hint="eastAsia" w:ascii="仿宋_GB2312" w:hAnsi="黑体" w:cs="黑体"/>
          <w:bCs/>
          <w:szCs w:val="32"/>
          <w:lang w:val="en-US" w:eastAsia="zh-CN"/>
        </w:rPr>
        <w:t>四</w:t>
      </w:r>
      <w:r>
        <w:rPr>
          <w:rFonts w:hint="default" w:ascii="仿宋_GB2312" w:hAnsi="黑体" w:cs="黑体"/>
          <w:bCs/>
          <w:szCs w:val="32"/>
          <w:lang w:val="en-US" w:eastAsia="zh-CN"/>
        </w:rPr>
        <w:t>中全会精神，认真落实省委</w:t>
      </w:r>
      <w:r>
        <w:rPr>
          <w:rFonts w:hint="eastAsia" w:ascii="仿宋_GB2312" w:hAnsi="黑体" w:cs="黑体"/>
          <w:bCs/>
          <w:szCs w:val="32"/>
          <w:lang w:val="en-US" w:eastAsia="zh-CN"/>
        </w:rPr>
        <w:t>、</w:t>
      </w:r>
      <w:r>
        <w:rPr>
          <w:rFonts w:hint="default" w:ascii="仿宋_GB2312" w:hAnsi="黑体" w:cs="黑体"/>
          <w:bCs/>
          <w:szCs w:val="32"/>
          <w:lang w:val="en-US" w:eastAsia="zh-CN"/>
        </w:rPr>
        <w:t>州委十二届七次全会和</w:t>
      </w:r>
      <w:r>
        <w:rPr>
          <w:rFonts w:hint="eastAsia" w:ascii="仿宋_GB2312" w:hAnsi="黑体" w:cs="黑体"/>
          <w:bCs/>
          <w:szCs w:val="32"/>
          <w:lang w:val="en-US" w:eastAsia="zh-CN"/>
        </w:rPr>
        <w:t>县委十四</w:t>
      </w:r>
      <w:r>
        <w:rPr>
          <w:rFonts w:hint="default" w:ascii="仿宋_GB2312" w:hAnsi="黑体" w:cs="黑体"/>
          <w:bCs/>
          <w:szCs w:val="32"/>
          <w:lang w:val="en-US" w:eastAsia="zh-CN"/>
        </w:rPr>
        <w:t>届</w:t>
      </w:r>
      <w:r>
        <w:rPr>
          <w:rFonts w:hint="eastAsia" w:ascii="仿宋_GB2312" w:hAnsi="黑体" w:cs="黑体"/>
          <w:bCs/>
          <w:szCs w:val="32"/>
          <w:lang w:val="en-US" w:eastAsia="zh-CN"/>
        </w:rPr>
        <w:t>九</w:t>
      </w:r>
      <w:r>
        <w:rPr>
          <w:rFonts w:hint="default" w:ascii="仿宋_GB2312" w:hAnsi="黑体" w:cs="黑体"/>
          <w:bCs/>
          <w:szCs w:val="32"/>
          <w:lang w:val="en-US" w:eastAsia="zh-CN"/>
        </w:rPr>
        <w:t>次全会部署要求，</w:t>
      </w:r>
      <w:r>
        <w:rPr>
          <w:rFonts w:hint="eastAsia" w:ascii="仿宋_GB2312" w:hAnsi="黑体" w:cs="黑体"/>
          <w:bCs/>
          <w:szCs w:val="32"/>
          <w:lang w:val="en-US" w:eastAsia="zh-CN"/>
        </w:rPr>
        <w:t>持续推进媒体深度融合发展，让主流媒体牢牢占据舆论引导、思想引领的传播制高点。围绕州委</w:t>
      </w:r>
      <w:r>
        <w:rPr>
          <w:rFonts w:hint="default" w:ascii="仿宋_GB2312" w:hAnsi="黑体" w:cs="黑体"/>
          <w:bCs/>
          <w:szCs w:val="32"/>
          <w:lang w:val="en-US" w:eastAsia="zh-CN"/>
        </w:rPr>
        <w:t>“暖心、同心、贴心、齐心、安心、连心”六大行动要求</w:t>
      </w:r>
      <w:r>
        <w:rPr>
          <w:rFonts w:hint="eastAsia" w:ascii="仿宋_GB2312" w:hAnsi="黑体" w:cs="黑体"/>
          <w:bCs/>
          <w:szCs w:val="32"/>
          <w:lang w:val="en-US" w:eastAsia="zh-CN"/>
        </w:rPr>
        <w:t>和</w:t>
      </w:r>
      <w:r>
        <w:rPr>
          <w:rFonts w:hint="default" w:ascii="仿宋_GB2312" w:hAnsi="黑体" w:cs="黑体"/>
          <w:bCs/>
          <w:szCs w:val="32"/>
          <w:lang w:val="en-US" w:eastAsia="zh-CN"/>
        </w:rPr>
        <w:t>县委确定的“畅行、希望、便捷”三项重点工作任务，</w:t>
      </w:r>
      <w:r>
        <w:rPr>
          <w:rFonts w:hint="eastAsia" w:ascii="仿宋_GB2312" w:hAnsi="黑体" w:cs="黑体"/>
          <w:bCs/>
          <w:szCs w:val="32"/>
          <w:lang w:val="en-US" w:eastAsia="zh-CN"/>
        </w:rPr>
        <w:t>创新开展群众工作</w:t>
      </w:r>
      <w:r>
        <w:rPr>
          <w:rFonts w:hint="default" w:ascii="仿宋_GB2312" w:hAnsi="黑体" w:cs="黑体"/>
          <w:bCs/>
          <w:szCs w:val="32"/>
          <w:lang w:val="en-US" w:eastAsia="zh-CN"/>
        </w:rPr>
        <w:t>“石榴籽”工程</w:t>
      </w:r>
      <w:r>
        <w:rPr>
          <w:rFonts w:hint="eastAsia" w:ascii="仿宋_GB2312" w:hAnsi="黑体" w:cs="黑体"/>
          <w:bCs/>
          <w:szCs w:val="32"/>
          <w:lang w:val="en-US" w:eastAsia="zh-CN"/>
        </w:rPr>
        <w:t>宣传工作；</w:t>
      </w:r>
      <w:r>
        <w:rPr>
          <w:rFonts w:hint="default" w:ascii="仿宋_GB2312" w:hAnsi="黑体" w:cs="黑体"/>
          <w:bCs/>
          <w:szCs w:val="32"/>
          <w:lang w:val="en-US" w:eastAsia="zh-CN"/>
        </w:rPr>
        <w:t>聚焦</w:t>
      </w:r>
      <w:r>
        <w:rPr>
          <w:rFonts w:hint="eastAsia" w:ascii="仿宋_GB2312" w:hAnsi="黑体" w:cs="黑体"/>
          <w:bCs/>
          <w:szCs w:val="32"/>
          <w:lang w:val="en-US" w:eastAsia="zh-CN"/>
        </w:rPr>
        <w:t>生态保护、</w:t>
      </w:r>
      <w:r>
        <w:rPr>
          <w:rFonts w:hint="default" w:ascii="仿宋_GB2312" w:hAnsi="黑体" w:cs="黑体"/>
          <w:bCs/>
          <w:szCs w:val="32"/>
          <w:lang w:val="en-US" w:eastAsia="zh-CN"/>
        </w:rPr>
        <w:t>民族团结、民生保障、项目建设、环境整治等重点领域，</w:t>
      </w:r>
      <w:r>
        <w:rPr>
          <w:rFonts w:hint="eastAsia" w:ascii="仿宋_GB2312" w:hAnsi="黑体" w:cs="黑体"/>
          <w:bCs/>
          <w:szCs w:val="32"/>
          <w:lang w:val="en-US" w:eastAsia="zh-CN"/>
        </w:rPr>
        <w:t>开设</w:t>
      </w:r>
      <w:r>
        <w:rPr>
          <w:rFonts w:hint="default" w:ascii="仿宋_GB2312" w:hAnsi="黑体" w:cs="黑体"/>
          <w:bCs/>
          <w:szCs w:val="32"/>
          <w:lang w:val="en-US" w:eastAsia="zh-CN"/>
        </w:rPr>
        <w:t>《阿坝发展万象新》《大环境 大整治 大提升》《聚焦民生 办好实事》等</w:t>
      </w:r>
      <w:r>
        <w:rPr>
          <w:rFonts w:hint="eastAsia" w:ascii="仿宋_GB2312" w:hAnsi="黑体" w:cs="黑体"/>
          <w:bCs/>
          <w:szCs w:val="32"/>
          <w:lang w:val="en-US" w:eastAsia="zh-CN"/>
        </w:rPr>
        <w:t>专题专栏。截至10月底，共发布图文稿件1800余条，发布短视频500余条。其中，我中心自采新闻</w:t>
      </w:r>
      <w:r>
        <w:rPr>
          <w:rFonts w:hint="default" w:ascii="仿宋_GB2312" w:hAnsi="黑体" w:cs="黑体"/>
          <w:bCs/>
          <w:szCs w:val="32"/>
          <w:lang w:val="en-US" w:eastAsia="zh-CN"/>
        </w:rPr>
        <w:t>“羊茸哈德”藏寨依托资源优势发展民宿产业、带动群众增收的</w:t>
      </w:r>
      <w:r>
        <w:rPr>
          <w:rFonts w:hint="eastAsia" w:ascii="仿宋_GB2312" w:hAnsi="黑体" w:cs="黑体"/>
          <w:bCs/>
          <w:szCs w:val="32"/>
          <w:lang w:val="en-US" w:eastAsia="zh-CN"/>
        </w:rPr>
        <w:t>稿件</w:t>
      </w:r>
      <w:r>
        <w:rPr>
          <w:rFonts w:hint="default" w:ascii="仿宋_GB2312" w:hAnsi="黑体" w:cs="黑体"/>
          <w:bCs/>
          <w:szCs w:val="32"/>
          <w:lang w:val="en-US" w:eastAsia="zh-CN"/>
        </w:rPr>
        <w:t>，</w:t>
      </w:r>
      <w:r>
        <w:rPr>
          <w:rFonts w:hint="eastAsia" w:ascii="仿宋_GB2312" w:hAnsi="黑体" w:cs="黑体"/>
          <w:bCs/>
          <w:szCs w:val="32"/>
          <w:lang w:val="en-US" w:eastAsia="zh-CN"/>
        </w:rPr>
        <w:t>国庆期间</w:t>
      </w:r>
      <w:r>
        <w:rPr>
          <w:rFonts w:hint="default" w:ascii="仿宋_GB2312" w:hAnsi="黑体" w:cs="黑体"/>
          <w:bCs/>
          <w:szCs w:val="32"/>
          <w:lang w:val="en-US" w:eastAsia="zh-CN"/>
        </w:rPr>
        <w:t>在央视《新闻联播》</w:t>
      </w:r>
      <w:r>
        <w:rPr>
          <w:rFonts w:hint="eastAsia" w:ascii="仿宋_GB2312" w:hAnsi="黑体" w:cs="黑体"/>
          <w:bCs/>
          <w:szCs w:val="32"/>
          <w:lang w:val="en-US" w:eastAsia="zh-CN"/>
        </w:rPr>
        <w:t>“‘</w:t>
      </w:r>
      <w:r>
        <w:rPr>
          <w:rFonts w:hint="default" w:ascii="仿宋_GB2312" w:hAnsi="黑体" w:cs="黑体"/>
          <w:bCs/>
          <w:szCs w:val="32"/>
          <w:lang w:val="en-US" w:eastAsia="zh-CN"/>
        </w:rPr>
        <w:t>十四五</w:t>
      </w:r>
      <w:r>
        <w:rPr>
          <w:rFonts w:hint="eastAsia" w:ascii="仿宋_GB2312" w:hAnsi="黑体" w:cs="黑体"/>
          <w:bCs/>
          <w:szCs w:val="32"/>
          <w:lang w:val="en-US" w:eastAsia="zh-CN"/>
        </w:rPr>
        <w:t>’</w:t>
      </w:r>
      <w:r>
        <w:rPr>
          <w:rFonts w:hint="default" w:ascii="仿宋_GB2312" w:hAnsi="黑体" w:cs="黑体"/>
          <w:bCs/>
          <w:szCs w:val="32"/>
          <w:lang w:val="en-US" w:eastAsia="zh-CN"/>
        </w:rPr>
        <w:t>这五年</w:t>
      </w:r>
      <w:r>
        <w:rPr>
          <w:rFonts w:hint="eastAsia" w:ascii="仿宋_GB2312" w:hAnsi="黑体" w:cs="黑体"/>
          <w:bCs/>
          <w:szCs w:val="32"/>
          <w:lang w:val="en-US" w:eastAsia="zh-CN"/>
        </w:rPr>
        <w:t>”</w:t>
      </w:r>
      <w:r>
        <w:rPr>
          <w:rFonts w:hint="default" w:ascii="仿宋_GB2312" w:hAnsi="黑体" w:cs="黑体"/>
          <w:bCs/>
          <w:szCs w:val="32"/>
          <w:lang w:val="en-US" w:eastAsia="zh-CN"/>
        </w:rPr>
        <w:t>专题中</w:t>
      </w:r>
      <w:r>
        <w:rPr>
          <w:rFonts w:hint="eastAsia" w:ascii="仿宋_GB2312" w:hAnsi="黑体" w:cs="黑体"/>
          <w:bCs/>
          <w:szCs w:val="32"/>
          <w:lang w:val="en-US" w:eastAsia="zh-CN"/>
        </w:rPr>
        <w:t>播出，向全国观众展现了我县发展文旅产业带动群众增收的生动实践。富有成效的新闻</w:t>
      </w:r>
      <w:r>
        <w:rPr>
          <w:rFonts w:hint="default" w:ascii="仿宋_GB2312" w:hAnsi="黑体" w:cs="黑体"/>
          <w:bCs/>
          <w:szCs w:val="32"/>
          <w:lang w:val="en-US" w:eastAsia="zh-CN"/>
        </w:rPr>
        <w:t>宣传</w:t>
      </w:r>
      <w:r>
        <w:rPr>
          <w:rFonts w:hint="eastAsia" w:ascii="仿宋_GB2312" w:hAnsi="黑体" w:cs="黑体"/>
          <w:bCs/>
          <w:szCs w:val="32"/>
          <w:lang w:val="en-US" w:eastAsia="zh-CN"/>
        </w:rPr>
        <w:t>，</w:t>
      </w:r>
      <w:r>
        <w:rPr>
          <w:rFonts w:hint="default" w:ascii="仿宋_GB2312" w:hAnsi="黑体" w:cs="黑体"/>
          <w:bCs/>
          <w:szCs w:val="32"/>
          <w:lang w:val="en-US" w:eastAsia="zh-CN"/>
        </w:rPr>
        <w:t>有效引导全县干部群众增进“听党话、感党恩、跟党走”的思想情感认同，营造了民族团结、干群同心、共谋发展的良好氛围，为全县高质量发展提供了有力舆论支撑。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eastAsia="方正仿宋_GBK" w:cs="Times New Roman"/>
          <w:kern w:val="2"/>
          <w:sz w:val="32"/>
          <w:szCs w:val="32"/>
          <w:lang w:val="en-US" w:eastAsia="zh-CN" w:bidi="ar-SA"/>
        </w:rPr>
      </w:pPr>
      <w:r>
        <w:rPr>
          <w:rFonts w:hint="eastAsia" w:eastAsia="方正仿宋_GBK" w:cs="Times New Roman"/>
          <w:kern w:val="2"/>
          <w:sz w:val="32"/>
          <w:szCs w:val="32"/>
          <w:lang w:val="en-US" w:eastAsia="zh-CN" w:bidi="ar-SA"/>
        </w:rPr>
        <w:t>2</w:t>
      </w:r>
      <w:r>
        <w:rPr>
          <w:rFonts w:hint="eastAsia" w:ascii="Times New Roman" w:hAnsi="Times New Roman" w:eastAsia="方正仿宋_GBK" w:cs="Times New Roman"/>
          <w:b/>
          <w:bCs/>
          <w:kern w:val="2"/>
          <w:sz w:val="32"/>
          <w:szCs w:val="32"/>
          <w:lang w:val="en-US" w:eastAsia="zh-CN" w:bidi="ar-SA"/>
        </w:rPr>
        <w:t>.</w:t>
      </w:r>
      <w:r>
        <w:rPr>
          <w:rFonts w:hint="default" w:ascii="Times New Roman" w:hAnsi="Times New Roman" w:eastAsia="方正仿宋_GBK" w:cs="Times New Roman"/>
          <w:b/>
          <w:bCs/>
          <w:kern w:val="2"/>
          <w:sz w:val="32"/>
          <w:szCs w:val="32"/>
          <w:lang w:val="en-US" w:eastAsia="zh-CN" w:bidi="ar-SA"/>
        </w:rPr>
        <w:t>汇聚融媒之力</w:t>
      </w:r>
      <w:r>
        <w:rPr>
          <w:rFonts w:hint="eastAsia" w:eastAsia="方正仿宋_GBK" w:cs="Times New Roman"/>
          <w:b/>
          <w:bCs/>
          <w:kern w:val="2"/>
          <w:sz w:val="32"/>
          <w:szCs w:val="32"/>
          <w:lang w:val="en-US" w:eastAsia="zh-CN" w:bidi="ar-SA"/>
        </w:rPr>
        <w:t>，</w:t>
      </w:r>
      <w:r>
        <w:rPr>
          <w:rFonts w:hint="default" w:ascii="Times New Roman" w:hAnsi="Times New Roman" w:eastAsia="方正仿宋_GBK" w:cs="Times New Roman"/>
          <w:b/>
          <w:bCs/>
          <w:kern w:val="2"/>
          <w:sz w:val="32"/>
          <w:szCs w:val="32"/>
          <w:lang w:val="en-US" w:eastAsia="zh-CN" w:bidi="ar-SA"/>
        </w:rPr>
        <w:t>唱响文旅之声</w:t>
      </w: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黑体" w:eastAsia="仿宋_GB2312" w:cs="黑体"/>
          <w:bCs/>
          <w:kern w:val="2"/>
          <w:sz w:val="32"/>
          <w:szCs w:val="32"/>
          <w:lang w:val="en-US" w:eastAsia="zh-CN" w:bidi="ar-SA"/>
        </w:rPr>
      </w:pPr>
      <w:r>
        <w:rPr>
          <w:rFonts w:hint="default" w:ascii="仿宋_GB2312" w:hAnsi="黑体" w:eastAsia="仿宋_GB2312" w:cs="黑体"/>
          <w:bCs/>
          <w:kern w:val="2"/>
          <w:sz w:val="32"/>
          <w:szCs w:val="32"/>
          <w:lang w:val="en-US" w:eastAsia="zh-CN" w:bidi="ar-SA"/>
        </w:rPr>
        <w:t>我中心紧扣全县文旅发展大局，</w:t>
      </w:r>
      <w:r>
        <w:rPr>
          <w:rFonts w:hint="eastAsia" w:ascii="仿宋_GB2312" w:hAnsi="黑体" w:eastAsia="仿宋_GB2312" w:cs="黑体"/>
          <w:bCs/>
          <w:kern w:val="2"/>
          <w:sz w:val="32"/>
          <w:szCs w:val="32"/>
          <w:lang w:val="en-US" w:eastAsia="zh-CN" w:bidi="ar-SA"/>
        </w:rPr>
        <w:t>按照“全年有主题，季度有专题，月月有话题”工作要求，</w:t>
      </w:r>
      <w:r>
        <w:rPr>
          <w:rFonts w:hint="default" w:ascii="仿宋_GB2312" w:hAnsi="黑体" w:eastAsia="仿宋_GB2312" w:cs="黑体"/>
          <w:bCs/>
          <w:kern w:val="2"/>
          <w:sz w:val="32"/>
          <w:szCs w:val="32"/>
          <w:lang w:val="en-US" w:eastAsia="zh-CN" w:bidi="ar-SA"/>
        </w:rPr>
        <w:t>充分发挥融媒体传播优势，成功策划并开展了一系列主题鲜明、形式多样的宣传报道活动，有效提升了黑水文旅品牌的传播声量与影响力。</w:t>
      </w:r>
      <w:r>
        <w:rPr>
          <w:rFonts w:hint="eastAsia" w:ascii="仿宋_GB2312" w:hAnsi="黑体" w:eastAsia="仿宋_GB2312" w:cs="黑体"/>
          <w:bCs/>
          <w:kern w:val="2"/>
          <w:sz w:val="32"/>
          <w:szCs w:val="32"/>
          <w:lang w:val="en-US" w:eastAsia="zh-CN" w:bidi="ar-SA"/>
        </w:rPr>
        <w:t>围绕“消夏避暑游”、“冰川彩林游”、“冰雪游”持续持推出文旅推介短视频，全年发布文旅类宣传视频 条，全网浏览量突破2亿人次。中心推出的“圣洁冰川·多彩黑水”“冰川下的彩林小城”“川西黑水美如画·冰川彩林冠天下”等网宣话题，全网浏览量达到了8000万。在冰川彩林季、</w:t>
      </w:r>
      <w:r>
        <w:rPr>
          <w:rFonts w:hint="default" w:ascii="仿宋_GB2312" w:hAnsi="黑体" w:eastAsia="仿宋_GB2312" w:cs="黑体"/>
          <w:bCs/>
          <w:kern w:val="2"/>
          <w:sz w:val="32"/>
          <w:szCs w:val="32"/>
          <w:lang w:val="en-US" w:eastAsia="zh-CN" w:bidi="ar-SA"/>
        </w:rPr>
        <w:t>羊茸哈德开寨十周年</w:t>
      </w:r>
      <w:r>
        <w:rPr>
          <w:rFonts w:hint="eastAsia" w:ascii="仿宋_GB2312" w:hAnsi="黑体" w:eastAsia="仿宋_GB2312" w:cs="黑体"/>
          <w:bCs/>
          <w:kern w:val="2"/>
          <w:sz w:val="32"/>
          <w:szCs w:val="32"/>
          <w:lang w:val="en-US" w:eastAsia="zh-CN" w:bidi="ar-SA"/>
        </w:rPr>
        <w:t>等</w:t>
      </w:r>
      <w:r>
        <w:rPr>
          <w:rFonts w:hint="default" w:ascii="仿宋_GB2312" w:hAnsi="黑体" w:eastAsia="仿宋_GB2312" w:cs="黑体"/>
          <w:bCs/>
          <w:kern w:val="2"/>
          <w:sz w:val="32"/>
          <w:szCs w:val="32"/>
          <w:lang w:val="en-US" w:eastAsia="zh-CN" w:bidi="ar-SA"/>
        </w:rPr>
        <w:t>主题宣传中，我中心系统部署、</w:t>
      </w:r>
      <w:r>
        <w:rPr>
          <w:rFonts w:hint="eastAsia" w:ascii="仿宋_GB2312" w:hAnsi="黑体" w:eastAsia="仿宋_GB2312" w:cs="黑体"/>
          <w:bCs/>
          <w:kern w:val="2"/>
          <w:sz w:val="32"/>
          <w:szCs w:val="32"/>
          <w:lang w:val="en-US" w:eastAsia="zh-CN" w:bidi="ar-SA"/>
        </w:rPr>
        <w:t>精心</w:t>
      </w:r>
      <w:r>
        <w:rPr>
          <w:rFonts w:hint="default" w:ascii="仿宋_GB2312" w:hAnsi="黑体" w:eastAsia="仿宋_GB2312" w:cs="黑体"/>
          <w:bCs/>
          <w:kern w:val="2"/>
          <w:sz w:val="32"/>
          <w:szCs w:val="32"/>
          <w:lang w:val="en-US" w:eastAsia="zh-CN" w:bidi="ar-SA"/>
        </w:rPr>
        <w:t>策划，构建了“预热造势+核心报道+深度解读”的立体化宣传方案。前期通过</w:t>
      </w:r>
      <w:r>
        <w:rPr>
          <w:rFonts w:hint="eastAsia" w:ascii="仿宋_GB2312" w:hAnsi="黑体" w:eastAsia="仿宋_GB2312" w:cs="黑体"/>
          <w:bCs/>
          <w:kern w:val="2"/>
          <w:sz w:val="32"/>
          <w:szCs w:val="32"/>
          <w:lang w:val="en-US" w:eastAsia="zh-CN" w:bidi="ar-SA"/>
        </w:rPr>
        <w:t>活动预告</w:t>
      </w:r>
      <w:r>
        <w:rPr>
          <w:rFonts w:hint="default" w:ascii="仿宋_GB2312" w:hAnsi="黑体" w:eastAsia="仿宋_GB2312" w:cs="黑体"/>
          <w:bCs/>
          <w:kern w:val="2"/>
          <w:sz w:val="32"/>
          <w:szCs w:val="32"/>
          <w:lang w:val="en-US" w:eastAsia="zh-CN" w:bidi="ar-SA"/>
        </w:rPr>
        <w:t>、</w:t>
      </w:r>
      <w:r>
        <w:rPr>
          <w:rFonts w:hint="eastAsia" w:ascii="仿宋_GB2312" w:hAnsi="黑体" w:eastAsia="仿宋_GB2312" w:cs="黑体"/>
          <w:bCs/>
          <w:kern w:val="2"/>
          <w:sz w:val="32"/>
          <w:szCs w:val="32"/>
          <w:lang w:val="en-US" w:eastAsia="zh-CN" w:bidi="ar-SA"/>
        </w:rPr>
        <w:t>名人推介</w:t>
      </w:r>
      <w:r>
        <w:rPr>
          <w:rFonts w:hint="default" w:ascii="仿宋_GB2312" w:hAnsi="黑体" w:eastAsia="仿宋_GB2312" w:cs="黑体"/>
          <w:bCs/>
          <w:kern w:val="2"/>
          <w:sz w:val="32"/>
          <w:szCs w:val="32"/>
          <w:lang w:val="en-US" w:eastAsia="zh-CN" w:bidi="ar-SA"/>
        </w:rPr>
        <w:t>等</w:t>
      </w:r>
      <w:r>
        <w:rPr>
          <w:rFonts w:hint="eastAsia" w:ascii="仿宋_GB2312" w:hAnsi="黑体" w:eastAsia="仿宋_GB2312" w:cs="黑体"/>
          <w:bCs/>
          <w:kern w:val="2"/>
          <w:sz w:val="32"/>
          <w:szCs w:val="32"/>
          <w:lang w:val="en-US" w:eastAsia="zh-CN" w:bidi="ar-SA"/>
        </w:rPr>
        <w:t>形式</w:t>
      </w:r>
      <w:r>
        <w:rPr>
          <w:rFonts w:hint="default" w:ascii="仿宋_GB2312" w:hAnsi="黑体" w:eastAsia="仿宋_GB2312" w:cs="黑体"/>
          <w:bCs/>
          <w:kern w:val="2"/>
          <w:sz w:val="32"/>
          <w:szCs w:val="32"/>
          <w:lang w:val="en-US" w:eastAsia="zh-CN" w:bidi="ar-SA"/>
        </w:rPr>
        <w:t>多平台预热；</w:t>
      </w:r>
      <w:r>
        <w:rPr>
          <w:rFonts w:hint="eastAsia" w:ascii="仿宋_GB2312" w:hAnsi="黑体" w:eastAsia="仿宋_GB2312" w:cs="黑体"/>
          <w:bCs/>
          <w:kern w:val="2"/>
          <w:sz w:val="32"/>
          <w:szCs w:val="32"/>
          <w:lang w:val="en-US" w:eastAsia="zh-CN" w:bidi="ar-SA"/>
        </w:rPr>
        <w:t>活动</w:t>
      </w:r>
      <w:r>
        <w:rPr>
          <w:rFonts w:hint="default" w:ascii="仿宋_GB2312" w:hAnsi="黑体" w:eastAsia="仿宋_GB2312" w:cs="黑体"/>
          <w:bCs/>
          <w:kern w:val="2"/>
          <w:sz w:val="32"/>
          <w:szCs w:val="32"/>
          <w:lang w:val="en-US" w:eastAsia="zh-CN" w:bidi="ar-SA"/>
        </w:rPr>
        <w:t>期间集中推出专题图文、短视频纪实与直播报道，后续结合政策解读、文化溯源等深度内容延伸传播链条，成功打造</w:t>
      </w:r>
      <w:r>
        <w:rPr>
          <w:rFonts w:hint="eastAsia" w:ascii="仿宋_GB2312" w:hAnsi="黑体" w:eastAsia="仿宋_GB2312" w:cs="黑体"/>
          <w:bCs/>
          <w:kern w:val="2"/>
          <w:sz w:val="32"/>
          <w:szCs w:val="32"/>
          <w:lang w:val="en-US" w:eastAsia="zh-CN" w:bidi="ar-SA"/>
        </w:rPr>
        <w:t>文旅产业</w:t>
      </w:r>
      <w:r>
        <w:rPr>
          <w:rFonts w:hint="default" w:ascii="仿宋_GB2312" w:hAnsi="黑体" w:eastAsia="仿宋_GB2312" w:cs="黑体"/>
          <w:bCs/>
          <w:kern w:val="2"/>
          <w:sz w:val="32"/>
          <w:szCs w:val="32"/>
          <w:lang w:val="en-US" w:eastAsia="zh-CN" w:bidi="ar-SA"/>
        </w:rPr>
        <w:t>主题宣传的典型案例</w:t>
      </w:r>
      <w:r>
        <w:rPr>
          <w:rFonts w:hint="eastAsia" w:ascii="仿宋_GB2312" w:hAnsi="黑体" w:eastAsia="仿宋_GB2312" w:cs="黑体"/>
          <w:bCs/>
          <w:kern w:val="2"/>
          <w:sz w:val="32"/>
          <w:szCs w:val="32"/>
          <w:lang w:val="en-US" w:eastAsia="zh-CN" w:bidi="ar-SA"/>
        </w:rPr>
        <w:t>，仅“</w:t>
      </w:r>
      <w:r>
        <w:rPr>
          <w:rFonts w:hint="default" w:ascii="仿宋_GB2312" w:hAnsi="黑体" w:eastAsia="仿宋_GB2312" w:cs="黑体"/>
          <w:bCs/>
          <w:kern w:val="2"/>
          <w:sz w:val="32"/>
          <w:szCs w:val="32"/>
          <w:lang w:val="en-US" w:eastAsia="zh-CN" w:bidi="ar-SA"/>
        </w:rPr>
        <w:t>羊茸哈德开寨十周年</w:t>
      </w:r>
      <w:r>
        <w:rPr>
          <w:rFonts w:hint="eastAsia" w:ascii="仿宋_GB2312" w:hAnsi="黑体" w:eastAsia="仿宋_GB2312" w:cs="黑体"/>
          <w:bCs/>
          <w:kern w:val="2"/>
          <w:sz w:val="32"/>
          <w:szCs w:val="32"/>
          <w:lang w:val="en-US" w:eastAsia="zh-CN" w:bidi="ar-SA"/>
        </w:rPr>
        <w:t>庆典”全流程宣传报道，就发布图文视频30条，全网浏览量超2千万人次。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2" w:firstLineChars="200"/>
        <w:textAlignment w:val="auto"/>
        <w:rPr>
          <w:rFonts w:hint="eastAsia" w:ascii="方正楷体_GBK" w:hAnsi="方正楷体_GBK" w:eastAsia="方正楷体_GBK" w:cs="方正楷体_GBK"/>
          <w:b/>
          <w:bCs w:val="0"/>
          <w:color w:val="000000"/>
          <w:sz w:val="32"/>
          <w:szCs w:val="32"/>
          <w:lang w:val="en-US" w:eastAsia="zh-CN"/>
        </w:rPr>
      </w:pPr>
      <w:r>
        <w:rPr>
          <w:rFonts w:hint="eastAsia" w:ascii="方正楷体_GBK" w:hAnsi="方正楷体_GBK" w:eastAsia="方正楷体_GBK" w:cs="方正楷体_GBK"/>
          <w:b/>
          <w:bCs/>
          <w:kern w:val="2"/>
          <w:sz w:val="32"/>
          <w:szCs w:val="32"/>
          <w:lang w:val="en-US" w:eastAsia="zh-CN" w:bidi="ar-SA"/>
        </w:rPr>
        <w:t>（二）</w:t>
      </w:r>
      <w:r>
        <w:rPr>
          <w:rFonts w:hint="eastAsia" w:ascii="方正楷体_GBK" w:hAnsi="方正楷体_GBK" w:eastAsia="方正楷体_GBK" w:cs="方正楷体_GBK"/>
          <w:b/>
          <w:bCs w:val="0"/>
          <w:color w:val="000000"/>
          <w:sz w:val="32"/>
          <w:szCs w:val="32"/>
          <w:lang w:val="en-US" w:eastAsia="zh-CN"/>
        </w:rPr>
        <w:t>网络运维方面</w:t>
      </w:r>
    </w:p>
    <w:p>
      <w:pPr>
        <w:pStyle w:val="1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仿宋_GB2312" w:hAnsi="黑体" w:eastAsia="仿宋_GB2312" w:cs="黑体"/>
          <w:bCs/>
          <w:kern w:val="2"/>
          <w:sz w:val="32"/>
          <w:szCs w:val="32"/>
          <w:lang w:val="en-US" w:eastAsia="zh-CN" w:bidi="ar-SA"/>
        </w:rPr>
      </w:pPr>
      <w:r>
        <w:rPr>
          <w:rFonts w:hint="default" w:ascii="仿宋_GB2312" w:hAnsi="黑体" w:eastAsia="仿宋_GB2312" w:cs="黑体"/>
          <w:bCs/>
          <w:kern w:val="2"/>
          <w:sz w:val="32"/>
          <w:szCs w:val="32"/>
          <w:lang w:val="en-US" w:eastAsia="zh-CN" w:bidi="ar-SA"/>
        </w:rPr>
        <w:t>本年度，我</w:t>
      </w:r>
      <w:r>
        <w:rPr>
          <w:rFonts w:hint="eastAsia" w:ascii="仿宋_GB2312" w:hAnsi="黑体" w:eastAsia="仿宋_GB2312" w:cs="黑体"/>
          <w:bCs/>
          <w:kern w:val="2"/>
          <w:sz w:val="32"/>
          <w:szCs w:val="32"/>
          <w:lang w:val="en-US" w:eastAsia="zh-CN" w:bidi="ar-SA"/>
        </w:rPr>
        <w:t>中心</w:t>
      </w:r>
      <w:r>
        <w:rPr>
          <w:rFonts w:hint="default" w:ascii="仿宋_GB2312" w:hAnsi="黑体" w:eastAsia="仿宋_GB2312" w:cs="黑体"/>
          <w:bCs/>
          <w:kern w:val="2"/>
          <w:sz w:val="32"/>
          <w:szCs w:val="32"/>
          <w:lang w:val="en-US" w:eastAsia="zh-CN" w:bidi="ar-SA"/>
        </w:rPr>
        <w:t>投入23万余元对核心机房实施全面升级改造，重点完成全部隐患电力线路及弱电线缆更换，并对</w:t>
      </w:r>
      <w:r>
        <w:rPr>
          <w:rFonts w:hint="eastAsia" w:ascii="仿宋_GB2312" w:hAnsi="黑体" w:eastAsia="仿宋_GB2312" w:cs="黑体"/>
          <w:bCs/>
          <w:kern w:val="2"/>
          <w:sz w:val="32"/>
          <w:szCs w:val="32"/>
          <w:lang w:val="en-US" w:eastAsia="zh-CN" w:bidi="ar-SA"/>
        </w:rPr>
        <w:t>U</w:t>
      </w:r>
      <w:r>
        <w:rPr>
          <w:rFonts w:hint="default" w:ascii="仿宋_GB2312" w:hAnsi="黑体" w:eastAsia="仿宋_GB2312" w:cs="黑体"/>
          <w:bCs/>
          <w:kern w:val="2"/>
          <w:sz w:val="32"/>
          <w:szCs w:val="32"/>
          <w:lang w:val="en-US" w:eastAsia="zh-CN" w:bidi="ar-SA"/>
        </w:rPr>
        <w:t>PS主机等关键设备进行更新，有效筑牢安全运行根基。面对汛期挑战，迅速启动应急机制，累计完成广播电视线路应急抢修6处，修复更换线路</w:t>
      </w:r>
      <w:r>
        <w:rPr>
          <w:rFonts w:hint="eastAsia" w:ascii="仿宋_GB2312" w:hAnsi="黑体" w:eastAsia="仿宋_GB2312" w:cs="黑体"/>
          <w:bCs/>
          <w:kern w:val="2"/>
          <w:sz w:val="32"/>
          <w:szCs w:val="32"/>
          <w:lang w:val="en-US" w:eastAsia="zh-CN" w:bidi="ar-SA"/>
        </w:rPr>
        <w:t>600余</w:t>
      </w:r>
      <w:r>
        <w:rPr>
          <w:rFonts w:hint="default" w:ascii="仿宋_GB2312" w:hAnsi="黑体" w:eastAsia="仿宋_GB2312" w:cs="黑体"/>
          <w:bCs/>
          <w:kern w:val="2"/>
          <w:sz w:val="32"/>
          <w:szCs w:val="32"/>
          <w:lang w:val="en-US" w:eastAsia="zh-CN" w:bidi="ar-SA"/>
        </w:rPr>
        <w:t>米，维修各类设备</w:t>
      </w:r>
      <w:r>
        <w:rPr>
          <w:rFonts w:hint="eastAsia" w:ascii="仿宋_GB2312" w:hAnsi="黑体" w:eastAsia="仿宋_GB2312" w:cs="黑体"/>
          <w:bCs/>
          <w:kern w:val="2"/>
          <w:sz w:val="32"/>
          <w:szCs w:val="32"/>
          <w:lang w:val="en-US" w:eastAsia="zh-CN" w:bidi="ar-SA"/>
        </w:rPr>
        <w:t>100</w:t>
      </w:r>
      <w:r>
        <w:rPr>
          <w:rFonts w:hint="default" w:ascii="仿宋_GB2312" w:hAnsi="黑体" w:eastAsia="仿宋_GB2312" w:cs="黑体"/>
          <w:bCs/>
          <w:kern w:val="2"/>
          <w:sz w:val="32"/>
          <w:szCs w:val="32"/>
          <w:lang w:val="en-US" w:eastAsia="zh-CN" w:bidi="ar-SA"/>
        </w:rPr>
        <w:t>余台（件），最大限度保障信号畅通，降低对用户影响。积极服务市政建设，完成通信管线新建与迁改任务，新建主干光缆1500余米，配套安装光交箱、接续盒等设施，进一步优化网络架构。深化对外合作，与中国联通建立战略协作，通过资源共享丰富数字业务供给，为用户提供多元化、高品质综合信息服务，提升市场竞争力。高度重视网络安全，通过专题学习完善内部管理制度与技术资料，系统部署信息安全等级保护工作，扎实做好</w:t>
      </w:r>
      <w:r>
        <w:rPr>
          <w:rFonts w:hint="eastAsia" w:ascii="仿宋_GB2312" w:hAnsi="黑体" w:eastAsia="仿宋_GB2312" w:cs="黑体"/>
          <w:bCs/>
          <w:kern w:val="2"/>
          <w:sz w:val="32"/>
          <w:szCs w:val="32"/>
          <w:lang w:val="en-US" w:eastAsia="zh-CN" w:bidi="ar-SA"/>
        </w:rPr>
        <w:t>网络安全保护</w:t>
      </w:r>
      <w:r>
        <w:rPr>
          <w:rFonts w:hint="default" w:ascii="仿宋_GB2312" w:hAnsi="黑体" w:eastAsia="仿宋_GB2312" w:cs="黑体"/>
          <w:bCs/>
          <w:kern w:val="2"/>
          <w:sz w:val="32"/>
          <w:szCs w:val="32"/>
          <w:lang w:val="en-US" w:eastAsia="zh-CN" w:bidi="ar-SA"/>
        </w:rPr>
        <w:t>。严守安全底线，通过制定专项方案、加强值守监测、开展应急演练等措施，圆满完成“中国人民抗日战争暨世界反法西斯战争胜利80周年”等重要保障期安全播出任务，全年未发生安全播出及责任性网络安全事故。</w:t>
      </w:r>
    </w:p>
    <w:p>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黑体" w:eastAsia="仿宋_GB2312" w:cs="黑体"/>
          <w:bCs/>
          <w:kern w:val="2"/>
          <w:sz w:val="32"/>
          <w:szCs w:val="32"/>
          <w:lang w:val="en-US" w:eastAsia="zh-CN" w:bidi="ar-SA"/>
        </w:rPr>
        <w:t>结合实际支付自</w:t>
      </w:r>
      <w:r>
        <w:rPr>
          <w:rFonts w:hint="eastAsia" w:ascii="仿宋_GB2312" w:hAnsi="仿宋_GB2312" w:eastAsia="仿宋_GB2312" w:cs="仿宋_GB2312"/>
          <w:color w:val="auto"/>
          <w:kern w:val="2"/>
          <w:sz w:val="32"/>
          <w:szCs w:val="32"/>
          <w:lang w:val="en-US" w:eastAsia="zh-CN" w:bidi="ar-SA"/>
        </w:rPr>
        <w:t>评得分：</w:t>
      </w:r>
      <w:r>
        <w:rPr>
          <w:rFonts w:hint="eastAsia" w:ascii="仿宋_GB2312" w:hAnsi="仿宋_GB2312" w:cs="仿宋_GB2312"/>
          <w:color w:val="auto"/>
          <w:kern w:val="2"/>
          <w:sz w:val="32"/>
          <w:szCs w:val="32"/>
          <w:lang w:val="en-US" w:eastAsia="zh-CN" w:bidi="ar-SA"/>
        </w:rPr>
        <w:t>15</w:t>
      </w:r>
      <w:r>
        <w:rPr>
          <w:rFonts w:hint="eastAsia" w:ascii="仿宋_GB2312" w:hAnsi="仿宋_GB2312" w:eastAsia="仿宋_GB2312" w:cs="仿宋_GB2312"/>
          <w:color w:val="auto"/>
          <w:kern w:val="2"/>
          <w:sz w:val="32"/>
          <w:szCs w:val="32"/>
          <w:lang w:val="en-US" w:eastAsia="zh-CN" w:bidi="ar-SA"/>
        </w:rPr>
        <w:t>分</w:t>
      </w:r>
      <w:r>
        <w:rPr>
          <w:rFonts w:hint="eastAsia" w:ascii="仿宋_GB2312" w:hAnsi="仿宋_GB2312" w:cs="仿宋_GB2312"/>
          <w:color w:val="auto"/>
          <w:kern w:val="2"/>
          <w:sz w:val="32"/>
          <w:szCs w:val="32"/>
          <w:lang w:val="en-US" w:eastAsia="zh-CN" w:bidi="ar-SA"/>
        </w:rPr>
        <w:t>。</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Times New Roman" w:eastAsia="楷体_GB2312" w:cs="楷体_GB2312"/>
          <w:b/>
          <w:bCs w:val="0"/>
          <w:color w:val="000000"/>
          <w:sz w:val="32"/>
          <w:szCs w:val="32"/>
          <w:lang w:val="en-US" w:eastAsia="zh-CN"/>
        </w:rPr>
        <w:t>2.</w:t>
      </w:r>
      <w:r>
        <w:rPr>
          <w:rFonts w:hint="default" w:ascii="楷体_GB2312" w:hAnsi="Times New Roman" w:eastAsia="楷体_GB2312" w:cs="楷体_GB2312"/>
          <w:b/>
          <w:bCs w:val="0"/>
          <w:color w:val="000000"/>
          <w:sz w:val="32"/>
          <w:szCs w:val="32"/>
          <w:lang w:val="zh-CN" w:eastAsia="zh-CN"/>
        </w:rPr>
        <w:t>预算管理</w:t>
      </w:r>
      <w:r>
        <w:rPr>
          <w:rFonts w:hint="eastAsia" w:ascii="楷体_GB2312" w:hAnsi="Times New Roman" w:eastAsia="楷体_GB2312" w:cs="楷体_GB2312"/>
          <w:b/>
          <w:bCs w:val="0"/>
          <w:color w:val="000000"/>
          <w:sz w:val="32"/>
          <w:szCs w:val="32"/>
          <w:lang w:val="zh-CN" w:eastAsia="zh-CN"/>
        </w:rPr>
        <w:t>。</w:t>
      </w:r>
      <w:r>
        <w:rPr>
          <w:rFonts w:hint="eastAsia" w:ascii="仿宋_GB2312" w:hAnsi="仿宋_GB2312" w:eastAsia="仿宋_GB2312" w:cs="仿宋_GB2312"/>
          <w:sz w:val="32"/>
          <w:szCs w:val="32"/>
          <w:lang w:val="zh-CN" w:eastAsia="zh-CN"/>
        </w:rPr>
        <w:t>一是预算编制质量，</w:t>
      </w:r>
      <w:r>
        <w:rPr>
          <w:rFonts w:hint="eastAsia" w:ascii="仿宋_GB2312" w:hAnsi="仿宋_GB2312" w:eastAsia="仿宋_GB2312" w:cs="仿宋_GB2312"/>
          <w:sz w:val="32"/>
          <w:szCs w:val="32"/>
          <w:lang w:val="en-US" w:eastAsia="zh-CN"/>
        </w:rPr>
        <w:t>部门预算编制目标制定清晰，部门整体绩效目标编制完整、合理部门整体绩效目标能完整、合理反映部门年度职责履行情况，项目绩效目标编制明确，并通过了预算草案审查，审查后未提出确需修改的问题，自评得分8分；二是单位收入统筹，单位全年收入均属财政拨款收入，纳入预算管理，结息收入按规定上缴财政，自评得分4分；三是支出执行进度，我中心及时支付资金，自评得分4分。四是预算年终结余，年末结余为零，收支平衡，自评得分4分；五是严控一般性支出，</w:t>
      </w:r>
      <w:r>
        <w:rPr>
          <w:rFonts w:hint="eastAsia" w:ascii="仿宋_GB2312" w:hAnsi="仿宋_GB2312" w:cs="仿宋_GB2312"/>
          <w:sz w:val="32"/>
          <w:szCs w:val="32"/>
          <w:lang w:val="en-US" w:eastAsia="zh-CN"/>
        </w:rPr>
        <w:t>2025</w:t>
      </w:r>
      <w:r>
        <w:rPr>
          <w:rFonts w:hint="eastAsia" w:ascii="仿宋_GB2312" w:hAnsi="仿宋_GB2312" w:eastAsia="仿宋_GB2312" w:cs="仿宋_GB2312"/>
          <w:sz w:val="32"/>
          <w:szCs w:val="32"/>
          <w:lang w:val="en-US" w:eastAsia="zh-CN"/>
        </w:rPr>
        <w:t>年部门厉行节约，一般性支出办公费、会议费、差旅费、培训费、“三公</w:t>
      </w:r>
      <w:r>
        <w:rPr>
          <w:rFonts w:hint="default"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经费等支出决算数</w:t>
      </w:r>
      <w:r>
        <w:rPr>
          <w:rFonts w:hint="eastAsia" w:ascii="仿宋_GB2312" w:hAnsi="仿宋_GB2312" w:cs="仿宋_GB2312"/>
          <w:sz w:val="32"/>
          <w:szCs w:val="32"/>
          <w:lang w:val="en-US" w:eastAsia="zh-CN"/>
        </w:rPr>
        <w:t>低</w:t>
      </w:r>
      <w:r>
        <w:rPr>
          <w:rFonts w:hint="eastAsia" w:ascii="仿宋_GB2312" w:hAnsi="仿宋_GB2312" w:eastAsia="仿宋_GB2312" w:cs="仿宋_GB2312"/>
          <w:sz w:val="32"/>
          <w:szCs w:val="32"/>
          <w:lang w:val="en-US" w:eastAsia="zh-CN"/>
        </w:rPr>
        <w:t>于202</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lang w:val="en-US" w:eastAsia="zh-CN"/>
        </w:rPr>
        <w:t>年度决算数，自评得分</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lang w:val="en-US" w:eastAsia="zh-CN"/>
        </w:rPr>
        <w:t>分，扣1分。预算管理总体自评得分：</w:t>
      </w:r>
      <w:r>
        <w:rPr>
          <w:rFonts w:hint="eastAsia" w:ascii="仿宋_GB2312" w:hAnsi="仿宋_GB2312" w:cs="仿宋_GB2312"/>
          <w:sz w:val="32"/>
          <w:szCs w:val="32"/>
          <w:lang w:val="en-US" w:eastAsia="zh-CN"/>
        </w:rPr>
        <w:t>23</w:t>
      </w:r>
      <w:r>
        <w:rPr>
          <w:rFonts w:hint="eastAsia" w:ascii="仿宋_GB2312" w:hAnsi="仿宋_GB2312" w:eastAsia="仿宋_GB2312" w:cs="仿宋_GB2312"/>
          <w:sz w:val="32"/>
          <w:szCs w:val="32"/>
          <w:lang w:val="en-US" w:eastAsia="zh-CN"/>
        </w:rPr>
        <w:t>分。</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Times New Roman" w:eastAsia="楷体_GB2312" w:cs="楷体_GB2312"/>
          <w:b/>
          <w:bCs w:val="0"/>
          <w:color w:val="000000"/>
          <w:sz w:val="32"/>
          <w:szCs w:val="32"/>
          <w:lang w:val="en-US" w:eastAsia="zh-CN"/>
        </w:rPr>
        <w:t>3.</w:t>
      </w:r>
      <w:r>
        <w:rPr>
          <w:rFonts w:hint="default" w:ascii="楷体_GB2312" w:hAnsi="Times New Roman" w:eastAsia="楷体_GB2312" w:cs="楷体_GB2312"/>
          <w:b/>
          <w:bCs w:val="0"/>
          <w:color w:val="000000"/>
          <w:sz w:val="32"/>
          <w:szCs w:val="32"/>
          <w:lang w:val="zh-CN" w:eastAsia="zh-CN"/>
        </w:rPr>
        <w:t>财务管理</w:t>
      </w:r>
      <w:r>
        <w:rPr>
          <w:rFonts w:hint="eastAsia" w:ascii="楷体_GB2312" w:hAnsi="Times New Roman" w:eastAsia="楷体_GB2312" w:cs="楷体_GB2312"/>
          <w:b/>
          <w:bCs w:val="0"/>
          <w:color w:val="000000"/>
          <w:sz w:val="32"/>
          <w:szCs w:val="32"/>
          <w:lang w:val="zh-CN" w:eastAsia="zh-CN"/>
        </w:rPr>
        <w:t>。</w:t>
      </w:r>
      <w:r>
        <w:rPr>
          <w:rFonts w:hint="eastAsia" w:ascii="仿宋_GB2312" w:hAnsi="仿宋_GB2312" w:eastAsia="仿宋_GB2312" w:cs="仿宋_GB2312"/>
          <w:b/>
          <w:bCs/>
          <w:sz w:val="32"/>
          <w:szCs w:val="32"/>
          <w:lang w:val="zh-CN" w:eastAsia="zh-CN"/>
        </w:rPr>
        <w:t>一是</w:t>
      </w:r>
      <w:r>
        <w:rPr>
          <w:rFonts w:hint="eastAsia" w:ascii="仿宋_GB2312" w:hAnsi="仿宋_GB2312" w:eastAsia="仿宋_GB2312" w:cs="仿宋_GB2312"/>
          <w:sz w:val="32"/>
          <w:szCs w:val="32"/>
          <w:lang w:val="zh-CN" w:eastAsia="zh-CN"/>
        </w:rPr>
        <w:t>财务管理制度，</w:t>
      </w:r>
      <w:r>
        <w:rPr>
          <w:rFonts w:hint="eastAsia" w:ascii="仿宋_GB2312" w:hAnsi="仿宋_GB2312" w:eastAsia="仿宋_GB2312" w:cs="仿宋_GB2312"/>
          <w:sz w:val="32"/>
          <w:szCs w:val="32"/>
          <w:lang w:val="en-US" w:eastAsia="zh-CN"/>
        </w:rPr>
        <w:t>融媒体中心</w:t>
      </w:r>
      <w:r>
        <w:rPr>
          <w:rFonts w:hint="eastAsia" w:ascii="仿宋_GB2312" w:hAnsi="仿宋_GB2312" w:eastAsia="仿宋_GB2312" w:cs="仿宋_GB2312"/>
          <w:sz w:val="32"/>
          <w:szCs w:val="32"/>
          <w:lang w:val="zh-CN" w:eastAsia="zh-CN"/>
        </w:rPr>
        <w:t>严格规范内控制度，按照财务管理制度执行各项资金支付，自评得</w:t>
      </w:r>
      <w:r>
        <w:rPr>
          <w:rFonts w:hint="eastAsia" w:ascii="仿宋_GB2312" w:hAnsi="仿宋_GB2312" w:eastAsia="仿宋_GB2312" w:cs="仿宋_GB2312"/>
          <w:sz w:val="32"/>
          <w:szCs w:val="32"/>
          <w:lang w:val="en-US" w:eastAsia="zh-CN"/>
        </w:rPr>
        <w:t>4分；</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财务岗位设置，</w:t>
      </w:r>
      <w:r>
        <w:rPr>
          <w:rFonts w:hint="eastAsia" w:ascii="仿宋_GB2312" w:hAnsi="仿宋_GB2312" w:eastAsia="仿宋_GB2312" w:cs="仿宋_GB2312"/>
          <w:sz w:val="32"/>
          <w:szCs w:val="32"/>
          <w:lang w:val="zh-CN" w:eastAsia="zh-CN"/>
        </w:rPr>
        <w:t>财务岗位设置明确，会计出纳分设，自评得</w:t>
      </w:r>
      <w:r>
        <w:rPr>
          <w:rFonts w:hint="eastAsia" w:ascii="仿宋_GB2312" w:hAnsi="仿宋_GB2312" w:eastAsia="仿宋_GB2312" w:cs="仿宋_GB2312"/>
          <w:sz w:val="32"/>
          <w:szCs w:val="32"/>
          <w:lang w:val="en-US" w:eastAsia="zh-CN"/>
        </w:rPr>
        <w:t>2分；</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资金使用规范，</w:t>
      </w:r>
      <w:r>
        <w:rPr>
          <w:rFonts w:hint="eastAsia" w:ascii="仿宋_GB2312" w:hAnsi="仿宋_GB2312" w:eastAsia="仿宋_GB2312" w:cs="仿宋_GB2312"/>
          <w:sz w:val="32"/>
          <w:szCs w:val="32"/>
          <w:lang w:val="zh-CN" w:eastAsia="zh-CN"/>
        </w:rPr>
        <w:t>财政资金使用明确资金支付审核流程，按照内控制度严格拨付，做到规范有效，自评</w:t>
      </w:r>
      <w:r>
        <w:rPr>
          <w:rFonts w:hint="eastAsia" w:ascii="仿宋_GB2312" w:hAnsi="仿宋_GB2312" w:eastAsia="仿宋_GB2312" w:cs="仿宋_GB2312"/>
          <w:sz w:val="32"/>
          <w:szCs w:val="32"/>
          <w:lang w:val="en-US" w:eastAsia="zh-CN"/>
        </w:rPr>
        <w:t>4分。</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宋体" w:cs="仿宋_GB2312"/>
          <w:color w:val="auto"/>
          <w:kern w:val="2"/>
          <w:sz w:val="32"/>
          <w:szCs w:val="32"/>
          <w:lang w:val="zh-CN" w:eastAsia="zh-CN" w:bidi="ar-SA"/>
        </w:rPr>
      </w:pPr>
      <w:r>
        <w:rPr>
          <w:rFonts w:hint="eastAsia" w:ascii="仿宋_GB2312" w:hAnsi="仿宋_GB2312" w:eastAsia="仿宋_GB2312" w:cs="仿宋_GB2312"/>
          <w:sz w:val="32"/>
          <w:szCs w:val="32"/>
          <w:lang w:val="en-US" w:eastAsia="zh-CN"/>
        </w:rPr>
        <w:t>财务管理自评得分：10分。</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仿宋_GB2312" w:hAnsi="仿宋_GB2312" w:eastAsia="仿宋_GB2312" w:cs="仿宋_GB2312"/>
          <w:sz w:val="32"/>
          <w:szCs w:val="32"/>
          <w:lang w:val="en-US" w:eastAsia="zh-CN"/>
        </w:rPr>
      </w:pPr>
      <w:r>
        <w:rPr>
          <w:rFonts w:hint="default" w:ascii="楷体_GB2312" w:hAnsi="Times New Roman" w:eastAsia="楷体_GB2312" w:cs="楷体_GB2312"/>
          <w:b/>
          <w:bCs w:val="0"/>
          <w:color w:val="000000"/>
          <w:sz w:val="32"/>
          <w:szCs w:val="32"/>
          <w:lang w:val="zh-CN" w:eastAsia="zh-CN"/>
        </w:rPr>
        <w:t>资产管理</w:t>
      </w:r>
      <w:r>
        <w:rPr>
          <w:rFonts w:hint="eastAsia" w:ascii="楷体_GB2312" w:hAnsi="Times New Roman" w:eastAsia="楷体_GB2312" w:cs="楷体_GB2312"/>
          <w:b/>
          <w:bCs w:val="0"/>
          <w:color w:val="000000"/>
          <w:sz w:val="32"/>
          <w:szCs w:val="32"/>
          <w:lang w:val="zh-CN" w:eastAsia="zh-CN"/>
        </w:rPr>
        <w:t>。</w:t>
      </w:r>
      <w:r>
        <w:rPr>
          <w:rFonts w:hint="eastAsia" w:ascii="仿宋_GB2312" w:hAnsi="仿宋_GB2312" w:eastAsia="仿宋_GB2312" w:cs="仿宋_GB2312"/>
          <w:b/>
          <w:bCs/>
          <w:sz w:val="32"/>
          <w:szCs w:val="32"/>
          <w:lang w:val="zh-CN" w:eastAsia="zh-CN"/>
        </w:rPr>
        <w:t>一是</w:t>
      </w:r>
      <w:r>
        <w:rPr>
          <w:rFonts w:hint="eastAsia" w:ascii="仿宋_GB2312" w:hAnsi="仿宋_GB2312" w:eastAsia="仿宋_GB2312" w:cs="仿宋_GB2312"/>
          <w:sz w:val="32"/>
          <w:szCs w:val="32"/>
          <w:lang w:val="zh-CN" w:eastAsia="zh-CN"/>
        </w:rPr>
        <w:t>人均资产变化率，严格按照资产管理制度执行，购买物资达到规定金额做入账登记，人均资产变化率底，自评得</w:t>
      </w:r>
      <w:r>
        <w:rPr>
          <w:rFonts w:hint="eastAsia" w:ascii="仿宋_GB2312" w:hAnsi="仿宋_GB2312" w:eastAsia="仿宋_GB2312" w:cs="仿宋_GB2312"/>
          <w:sz w:val="32"/>
          <w:szCs w:val="32"/>
          <w:lang w:val="en-US" w:eastAsia="zh-CN"/>
        </w:rPr>
        <w:t>3分；</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zh-CN" w:eastAsia="zh-CN"/>
        </w:rPr>
        <w:t>资产利用率高，使用率达</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val="zh-CN" w:eastAsia="zh-CN"/>
        </w:rPr>
        <w:t>人均资产利用率较高，自评得</w:t>
      </w:r>
      <w:r>
        <w:rPr>
          <w:rFonts w:hint="eastAsia" w:ascii="仿宋_GB2312" w:hAnsi="仿宋_GB2312" w:eastAsia="仿宋_GB2312" w:cs="仿宋_GB2312"/>
          <w:sz w:val="32"/>
          <w:szCs w:val="32"/>
          <w:lang w:val="en-US" w:eastAsia="zh-CN"/>
        </w:rPr>
        <w:t>3分。</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资产管理，部门</w:t>
      </w:r>
      <w:r>
        <w:rPr>
          <w:rFonts w:hint="eastAsia" w:ascii="仿宋_GB2312" w:hAnsi="仿宋_GB2312" w:cs="仿宋_GB2312"/>
          <w:sz w:val="32"/>
          <w:szCs w:val="32"/>
          <w:lang w:val="en-US" w:eastAsia="zh-CN"/>
        </w:rPr>
        <w:t>原广播局为</w:t>
      </w:r>
      <w:r>
        <w:rPr>
          <w:rFonts w:hint="eastAsia" w:ascii="仿宋_GB2312" w:hAnsi="仿宋_GB2312" w:eastAsia="仿宋_GB2312" w:cs="仿宋_GB2312"/>
          <w:sz w:val="32"/>
          <w:szCs w:val="32"/>
          <w:lang w:val="en-US" w:eastAsia="zh-CN"/>
        </w:rPr>
        <w:t>闲置资产</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zh-CN" w:eastAsia="zh-CN"/>
        </w:rPr>
        <w:t>自评得</w:t>
      </w:r>
      <w:r>
        <w:rPr>
          <w:rFonts w:hint="eastAsia" w:ascii="仿宋_GB2312" w:hAnsi="仿宋_GB2312" w:cs="仿宋_GB2312"/>
          <w:sz w:val="32"/>
          <w:szCs w:val="32"/>
          <w:lang w:val="en-US" w:eastAsia="zh-CN"/>
        </w:rPr>
        <w:t>0</w:t>
      </w:r>
      <w:r>
        <w:rPr>
          <w:rFonts w:hint="eastAsia" w:ascii="仿宋_GB2312" w:hAnsi="仿宋_GB2312" w:eastAsia="仿宋_GB2312" w:cs="仿宋_GB2312"/>
          <w:sz w:val="32"/>
          <w:szCs w:val="32"/>
          <w:lang w:val="en-US" w:eastAsia="zh-CN"/>
        </w:rPr>
        <w:t>分</w:t>
      </w:r>
      <w:r>
        <w:rPr>
          <w:rFonts w:hint="eastAsia" w:ascii="仿宋_GB2312" w:hAnsi="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640" w:firstLineChars="200"/>
        <w:contextualSpacing/>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资产管理总体得分：</w:t>
      </w:r>
      <w:r>
        <w:rPr>
          <w:rFonts w:hint="eastAsia" w:ascii="仿宋_GB2312" w:hAnsi="仿宋_GB2312" w:cs="仿宋_GB2312"/>
          <w:sz w:val="32"/>
          <w:szCs w:val="32"/>
          <w:lang w:val="en-US" w:eastAsia="zh-CN"/>
        </w:rPr>
        <w:t>6</w:t>
      </w:r>
      <w:r>
        <w:rPr>
          <w:rFonts w:hint="eastAsia" w:ascii="仿宋_GB2312" w:hAnsi="仿宋_GB2312" w:eastAsia="仿宋_GB2312" w:cs="仿宋_GB2312"/>
          <w:sz w:val="32"/>
          <w:szCs w:val="32"/>
          <w:lang w:val="en-US" w:eastAsia="zh-CN"/>
        </w:rPr>
        <w:t>分。</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Times New Roman" w:eastAsia="楷体_GB2312" w:cs="楷体_GB2312"/>
          <w:b/>
          <w:bCs w:val="0"/>
          <w:color w:val="000000"/>
          <w:sz w:val="32"/>
          <w:szCs w:val="32"/>
          <w:lang w:val="en-US" w:eastAsia="zh-CN"/>
        </w:rPr>
        <w:t>5.</w:t>
      </w:r>
      <w:r>
        <w:rPr>
          <w:rFonts w:hint="default" w:ascii="楷体_GB2312" w:hAnsi="Times New Roman" w:eastAsia="楷体_GB2312" w:cs="楷体_GB2312"/>
          <w:b/>
          <w:bCs w:val="0"/>
          <w:color w:val="000000"/>
          <w:sz w:val="32"/>
          <w:szCs w:val="32"/>
          <w:lang w:val="zh-CN" w:eastAsia="zh-CN"/>
        </w:rPr>
        <w:t>采购管理</w:t>
      </w:r>
      <w:r>
        <w:rPr>
          <w:rFonts w:hint="eastAsia" w:ascii="楷体_GB2312" w:hAnsi="Times New Roman" w:eastAsia="楷体_GB2312" w:cs="楷体_GB2312"/>
          <w:b/>
          <w:bCs w:val="0"/>
          <w:color w:val="000000"/>
          <w:sz w:val="32"/>
          <w:szCs w:val="32"/>
          <w:lang w:val="zh-CN" w:eastAsia="zh-CN"/>
        </w:rPr>
        <w:t>。</w:t>
      </w:r>
      <w:r>
        <w:rPr>
          <w:rFonts w:hint="eastAsia" w:ascii="仿宋_GB2312" w:hAnsi="仿宋_GB2312" w:cs="仿宋_GB2312"/>
          <w:sz w:val="32"/>
          <w:szCs w:val="32"/>
          <w:lang w:val="en-US" w:eastAsia="zh-CN"/>
        </w:rPr>
        <w:t>2025</w:t>
      </w:r>
      <w:r>
        <w:rPr>
          <w:rFonts w:hint="eastAsia" w:ascii="仿宋_GB2312" w:hAnsi="仿宋_GB2312" w:eastAsia="仿宋_GB2312" w:cs="仿宋_GB2312"/>
          <w:sz w:val="32"/>
          <w:szCs w:val="32"/>
          <w:lang w:val="en-US" w:eastAsia="zh-CN"/>
        </w:rPr>
        <w:t>年融媒体中心无政府采购，未达到政府采购的标准项目均按照融媒体中心政府采购内控制度执行，均在中小企业采购，执行率100%。</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640" w:firstLineChars="200"/>
        <w:contextualSpacing/>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自评得分：6分。</w:t>
      </w:r>
    </w:p>
    <w:p>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方正楷体_GBK" w:hAnsi="方正楷体_GBK" w:eastAsia="方正楷体_GBK" w:cs="方正楷体_GBK"/>
          <w:b/>
          <w:bCs/>
          <w:color w:val="000000"/>
          <w:kern w:val="0"/>
          <w:szCs w:val="32"/>
          <w:highlight w:val="none"/>
          <w:shd w:val="clear" w:color="auto" w:fill="FFFFFF"/>
          <w:lang w:val="en-US" w:eastAsia="zh-CN"/>
        </w:rPr>
      </w:pPr>
      <w:r>
        <w:rPr>
          <w:rFonts w:hint="eastAsia" w:ascii="方正楷体_GBK" w:hAnsi="方正楷体_GBK" w:eastAsia="方正楷体_GBK" w:cs="方正楷体_GBK"/>
          <w:b/>
          <w:bCs/>
          <w:color w:val="000000"/>
          <w:kern w:val="0"/>
          <w:szCs w:val="32"/>
          <w:highlight w:val="none"/>
          <w:shd w:val="clear" w:color="auto" w:fill="FFFFFF"/>
          <w:lang w:val="zh-CN"/>
        </w:rPr>
        <w:t>（二）部门预算项目绩效分析。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zh-CN" w:eastAsia="zh-CN"/>
        </w:rPr>
      </w:pPr>
      <w:r>
        <w:rPr>
          <w:rFonts w:hint="default" w:cs="Times New Roman"/>
          <w:color w:val="000000"/>
          <w:kern w:val="0"/>
          <w:szCs w:val="32"/>
          <w:highlight w:val="none"/>
          <w:shd w:val="clear" w:color="auto" w:fill="FFFFFF"/>
          <w:lang w:val="en-US" w:eastAsia="zh-CN"/>
        </w:rPr>
        <w:t>常年项目绩效分析。</w:t>
      </w:r>
      <w:r>
        <w:rPr>
          <w:rFonts w:hint="default" w:cs="Times New Roman"/>
          <w:color w:val="000000"/>
          <w:kern w:val="0"/>
          <w:szCs w:val="32"/>
          <w:highlight w:val="none"/>
          <w:shd w:val="clear" w:color="auto" w:fill="FFFFFF"/>
          <w:lang w:val="zh-CN" w:eastAsia="zh-CN"/>
        </w:rPr>
        <w:t>该类项目总数</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3</w:t>
      </w:r>
      <w:r>
        <w:rPr>
          <w:rFonts w:hint="default" w:cs="Times New Roman"/>
          <w:color w:val="000000"/>
          <w:kern w:val="0"/>
          <w:szCs w:val="32"/>
          <w:highlight w:val="none"/>
          <w:shd w:val="clear" w:color="auto" w:fill="FFFFFF"/>
          <w:lang w:val="zh-CN" w:eastAsia="zh-CN"/>
        </w:rPr>
        <w:t>个，涉及预算总金额</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115.09</w:t>
      </w:r>
      <w:r>
        <w:rPr>
          <w:rFonts w:hint="default" w:cs="Times New Roman"/>
          <w:color w:val="000000"/>
          <w:kern w:val="0"/>
          <w:szCs w:val="32"/>
          <w:highlight w:val="none"/>
          <w:shd w:val="clear" w:color="auto" w:fill="FFFFFF"/>
          <w:lang w:val="zh-CN" w:eastAsia="zh-CN"/>
        </w:rPr>
        <w:t>万元，</w:t>
      </w:r>
      <w:r>
        <w:rPr>
          <w:rFonts w:hint="default" w:cs="Times New Roman"/>
          <w:color w:val="000000"/>
          <w:kern w:val="0"/>
          <w:szCs w:val="32"/>
          <w:highlight w:val="none"/>
          <w:shd w:val="clear" w:color="auto" w:fill="FFFFFF"/>
          <w:lang w:val="zh-CN"/>
        </w:rPr>
        <w:t>1</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rPr>
        <w:t>1</w:t>
      </w:r>
      <w:r>
        <w:rPr>
          <w:rFonts w:hint="default" w:cs="Times New Roman"/>
          <w:color w:val="000000"/>
          <w:kern w:val="0"/>
          <w:szCs w:val="32"/>
          <w:highlight w:val="none"/>
          <w:shd w:val="clear" w:color="auto" w:fill="FFFFFF"/>
          <w:lang w:val="en-US" w:eastAsia="zh-CN"/>
        </w:rPr>
        <w:t>2</w:t>
      </w:r>
      <w:r>
        <w:rPr>
          <w:rFonts w:hint="default" w:cs="Times New Roman"/>
          <w:color w:val="000000"/>
          <w:kern w:val="0"/>
          <w:szCs w:val="32"/>
          <w:highlight w:val="none"/>
          <w:shd w:val="clear" w:color="auto" w:fill="FFFFFF"/>
          <w:lang w:val="zh-CN"/>
        </w:rPr>
        <w:t>月预算执行总体进度为</w:t>
      </w:r>
      <w:r>
        <w:rPr>
          <w:rFonts w:hint="eastAsia" w:cs="Times New Roman"/>
          <w:color w:val="000000"/>
          <w:kern w:val="0"/>
          <w:szCs w:val="32"/>
          <w:highlight w:val="none"/>
          <w:shd w:val="clear" w:color="auto" w:fill="FFFFFF"/>
          <w:lang w:val="en-US" w:eastAsia="zh-CN"/>
        </w:rPr>
        <w:t>100</w:t>
      </w:r>
      <w:r>
        <w:rPr>
          <w:rFonts w:hint="default" w:cs="Times New Roman"/>
          <w:color w:val="000000"/>
          <w:kern w:val="0"/>
          <w:szCs w:val="32"/>
          <w:highlight w:val="none"/>
          <w:shd w:val="clear" w:color="auto" w:fill="FFFFFF"/>
          <w:lang w:val="zh-CN"/>
        </w:rPr>
        <w:t>%，其中：</w:t>
      </w:r>
      <w:r>
        <w:rPr>
          <w:rFonts w:hint="default" w:cs="Times New Roman"/>
          <w:color w:val="000000"/>
          <w:kern w:val="0"/>
          <w:szCs w:val="32"/>
          <w:highlight w:val="none"/>
          <w:shd w:val="clear" w:color="auto" w:fill="FFFFFF"/>
          <w:lang w:val="zh-CN" w:eastAsia="zh-CN"/>
        </w:rPr>
        <w:t>预算结余率大于</w:t>
      </w:r>
      <w:r>
        <w:rPr>
          <w:rFonts w:hint="default" w:cs="Times New Roman"/>
          <w:color w:val="000000"/>
          <w:kern w:val="0"/>
          <w:szCs w:val="32"/>
          <w:highlight w:val="none"/>
          <w:shd w:val="clear" w:color="auto" w:fill="FFFFFF"/>
          <w:lang w:val="en-US" w:eastAsia="zh-CN"/>
        </w:rPr>
        <w:t>10%</w:t>
      </w:r>
      <w:r>
        <w:rPr>
          <w:rFonts w:hint="default" w:cs="Times New Roman"/>
          <w:color w:val="000000"/>
          <w:kern w:val="0"/>
          <w:szCs w:val="32"/>
          <w:highlight w:val="none"/>
          <w:shd w:val="clear" w:color="auto" w:fill="FFFFFF"/>
          <w:lang w:val="zh-CN" w:eastAsia="zh-CN"/>
        </w:rPr>
        <w:t>的项目共计</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en-US" w:eastAsia="zh-CN"/>
        </w:rPr>
        <w:t xml:space="preserve"> </w:t>
      </w:r>
      <w:r>
        <w:rPr>
          <w:rFonts w:hint="default" w:cs="Times New Roman"/>
          <w:color w:val="000000"/>
          <w:kern w:val="0"/>
          <w:szCs w:val="32"/>
          <w:highlight w:val="none"/>
          <w:shd w:val="clear" w:color="auto" w:fill="FFFFFF"/>
          <w:lang w:val="zh-CN" w:eastAsia="zh-CN"/>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zh-CN" w:eastAsia="zh-CN"/>
        </w:rPr>
      </w:pPr>
      <w:r>
        <w:rPr>
          <w:rFonts w:hint="default" w:cs="Times New Roman"/>
          <w:color w:val="000000"/>
          <w:kern w:val="0"/>
          <w:szCs w:val="32"/>
          <w:highlight w:val="none"/>
          <w:shd w:val="clear" w:color="auto" w:fill="FFFFFF"/>
          <w:lang w:val="en-US" w:eastAsia="zh-CN"/>
        </w:rPr>
        <w:t>阶段</w:t>
      </w:r>
      <w:r>
        <w:rPr>
          <w:rFonts w:hint="eastAsia" w:cs="Times New Roman"/>
          <w:color w:val="000000"/>
          <w:kern w:val="0"/>
          <w:szCs w:val="32"/>
          <w:highlight w:val="none"/>
          <w:shd w:val="clear" w:color="auto" w:fill="FFFFFF"/>
          <w:lang w:val="en-US" w:eastAsia="zh-CN"/>
        </w:rPr>
        <w:t>（</w:t>
      </w:r>
      <w:r>
        <w:rPr>
          <w:rFonts w:hint="default" w:cs="Times New Roman"/>
          <w:color w:val="000000"/>
          <w:kern w:val="0"/>
          <w:szCs w:val="32"/>
          <w:highlight w:val="none"/>
          <w:shd w:val="clear" w:color="auto" w:fill="FFFFFF"/>
          <w:lang w:val="en-US" w:eastAsia="zh-CN"/>
        </w:rPr>
        <w:t>一次性</w:t>
      </w:r>
      <w:r>
        <w:rPr>
          <w:rFonts w:hint="eastAsia" w:cs="Times New Roman"/>
          <w:color w:val="000000"/>
          <w:kern w:val="0"/>
          <w:szCs w:val="32"/>
          <w:highlight w:val="none"/>
          <w:shd w:val="clear" w:color="auto" w:fill="FFFFFF"/>
          <w:lang w:val="en-US" w:eastAsia="zh-CN"/>
        </w:rPr>
        <w:t>）</w:t>
      </w:r>
      <w:r>
        <w:rPr>
          <w:rFonts w:hint="default" w:cs="Times New Roman"/>
          <w:color w:val="000000"/>
          <w:kern w:val="0"/>
          <w:szCs w:val="32"/>
          <w:highlight w:val="none"/>
          <w:shd w:val="clear" w:color="auto" w:fill="FFFFFF"/>
          <w:lang w:val="en-US" w:eastAsia="zh-CN"/>
        </w:rPr>
        <w:t>项目绩效分析。</w:t>
      </w:r>
      <w:r>
        <w:rPr>
          <w:rFonts w:hint="default" w:cs="Times New Roman"/>
          <w:color w:val="000000"/>
          <w:kern w:val="0"/>
          <w:szCs w:val="32"/>
          <w:highlight w:val="none"/>
          <w:shd w:val="clear" w:color="auto" w:fill="FFFFFF"/>
          <w:lang w:val="zh-CN" w:eastAsia="zh-CN"/>
        </w:rPr>
        <w:t>该类项目总数</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zh-CN" w:eastAsia="zh-CN"/>
        </w:rPr>
        <w:t>个，涉及预算总金额</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zh-CN" w:eastAsia="zh-CN"/>
        </w:rPr>
        <w:t>万元，</w:t>
      </w:r>
      <w:r>
        <w:rPr>
          <w:rFonts w:hint="default" w:cs="Times New Roman"/>
          <w:color w:val="000000"/>
          <w:kern w:val="0"/>
          <w:szCs w:val="32"/>
          <w:highlight w:val="none"/>
          <w:shd w:val="clear" w:color="auto" w:fill="FFFFFF"/>
          <w:lang w:val="zh-CN"/>
        </w:rPr>
        <w:t>1</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rPr>
        <w:t>1</w:t>
      </w:r>
      <w:r>
        <w:rPr>
          <w:rFonts w:hint="default" w:cs="Times New Roman"/>
          <w:color w:val="000000"/>
          <w:kern w:val="0"/>
          <w:szCs w:val="32"/>
          <w:highlight w:val="none"/>
          <w:shd w:val="clear" w:color="auto" w:fill="FFFFFF"/>
          <w:lang w:val="en-US" w:eastAsia="zh-CN"/>
        </w:rPr>
        <w:t>2</w:t>
      </w:r>
      <w:r>
        <w:rPr>
          <w:rFonts w:hint="default" w:cs="Times New Roman"/>
          <w:color w:val="000000"/>
          <w:kern w:val="0"/>
          <w:szCs w:val="32"/>
          <w:highlight w:val="none"/>
          <w:shd w:val="clear" w:color="auto" w:fill="FFFFFF"/>
          <w:lang w:val="zh-CN"/>
        </w:rPr>
        <w:t>月预算执行总体进度为</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en-US" w:eastAsia="zh-CN"/>
        </w:rPr>
        <w:t xml:space="preserve"> </w:t>
      </w:r>
      <w:r>
        <w:rPr>
          <w:rFonts w:hint="default" w:cs="Times New Roman"/>
          <w:color w:val="000000"/>
          <w:kern w:val="0"/>
          <w:szCs w:val="32"/>
          <w:highlight w:val="none"/>
          <w:shd w:val="clear" w:color="auto" w:fill="FFFFFF"/>
          <w:lang w:val="zh-CN"/>
        </w:rPr>
        <w:t>%，其中：</w:t>
      </w:r>
      <w:r>
        <w:rPr>
          <w:rFonts w:hint="default" w:cs="Times New Roman"/>
          <w:color w:val="000000"/>
          <w:kern w:val="0"/>
          <w:szCs w:val="32"/>
          <w:highlight w:val="none"/>
          <w:shd w:val="clear" w:color="auto" w:fill="FFFFFF"/>
          <w:lang w:val="zh-CN" w:eastAsia="zh-CN"/>
        </w:rPr>
        <w:t>预算结余率大于</w:t>
      </w:r>
      <w:r>
        <w:rPr>
          <w:rFonts w:hint="default" w:cs="Times New Roman"/>
          <w:color w:val="000000"/>
          <w:kern w:val="0"/>
          <w:szCs w:val="32"/>
          <w:highlight w:val="none"/>
          <w:shd w:val="clear" w:color="auto" w:fill="FFFFFF"/>
          <w:lang w:val="en-US" w:eastAsia="zh-CN"/>
        </w:rPr>
        <w:t>10%</w:t>
      </w:r>
      <w:r>
        <w:rPr>
          <w:rFonts w:hint="default" w:cs="Times New Roman"/>
          <w:color w:val="000000"/>
          <w:kern w:val="0"/>
          <w:szCs w:val="32"/>
          <w:highlight w:val="none"/>
          <w:shd w:val="clear" w:color="auto" w:fill="FFFFFF"/>
          <w:lang w:val="zh-CN" w:eastAsia="zh-CN"/>
        </w:rPr>
        <w:t>的项目共计</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en-US" w:eastAsia="zh-CN"/>
        </w:rPr>
        <w:t xml:space="preserve"> </w:t>
      </w:r>
      <w:r>
        <w:rPr>
          <w:rFonts w:hint="default" w:cs="Times New Roman"/>
          <w:color w:val="000000"/>
          <w:kern w:val="0"/>
          <w:szCs w:val="32"/>
          <w:highlight w:val="none"/>
          <w:shd w:val="clear" w:color="auto" w:fill="FFFFFF"/>
          <w:lang w:val="zh-CN" w:eastAsia="zh-CN"/>
        </w:rPr>
        <w:t>个。</w:t>
      </w:r>
    </w:p>
    <w:p>
      <w:pPr>
        <w:pStyle w:val="10"/>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105" w:beforeAutospacing="0" w:after="105" w:afterAutospacing="0" w:line="560" w:lineRule="exact"/>
        <w:ind w:left="0" w:right="0" w:firstLine="742" w:firstLineChars="231"/>
        <w:rPr>
          <w:rFonts w:hint="eastAsia" w:ascii="仿宋_GB2312" w:hAnsi="仿宋_GB2312" w:eastAsia="仿宋_GB2312" w:cs="仿宋_GB2312"/>
          <w:kern w:val="2"/>
          <w:sz w:val="32"/>
          <w:szCs w:val="32"/>
          <w:lang w:val="en-US" w:eastAsia="zh-CN" w:bidi="ar-SA"/>
        </w:rPr>
      </w:pP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项目决策。</w:t>
      </w:r>
      <w:r>
        <w:rPr>
          <w:rFonts w:hint="eastAsia" w:ascii="仿宋_GB2312" w:hAnsi="仿宋_GB2312" w:eastAsia="仿宋_GB2312" w:cs="仿宋_GB2312"/>
          <w:b/>
          <w:bCs/>
          <w:kern w:val="2"/>
          <w:sz w:val="32"/>
          <w:szCs w:val="32"/>
          <w:lang w:val="zh-CN" w:eastAsia="zh-CN" w:bidi="ar-SA"/>
        </w:rPr>
        <w:t>一是</w:t>
      </w:r>
      <w:r>
        <w:rPr>
          <w:rFonts w:hint="eastAsia" w:ascii="仿宋_GB2312" w:hAnsi="仿宋_GB2312" w:eastAsia="仿宋_GB2312" w:cs="仿宋_GB2312"/>
          <w:kern w:val="2"/>
          <w:sz w:val="32"/>
          <w:szCs w:val="32"/>
          <w:lang w:val="zh-CN" w:eastAsia="zh-CN" w:bidi="ar-SA"/>
        </w:rPr>
        <w:t>决算程序。根据部门实际需要编制预算，经过单位集体决策，项目绩效目标编制明确，并通过了预算草案审查，审查后未提出确需修改的问题，自评得</w:t>
      </w:r>
      <w:r>
        <w:rPr>
          <w:rFonts w:hint="eastAsia" w:ascii="仿宋_GB2312" w:hAnsi="仿宋_GB2312" w:eastAsia="仿宋_GB2312" w:cs="仿宋_GB2312"/>
          <w:kern w:val="2"/>
          <w:sz w:val="32"/>
          <w:szCs w:val="32"/>
          <w:lang w:val="en-US" w:eastAsia="zh-CN" w:bidi="ar-SA"/>
        </w:rPr>
        <w:t>4</w:t>
      </w:r>
      <w:r>
        <w:rPr>
          <w:rFonts w:hint="eastAsia" w:ascii="仿宋_GB2312" w:hAnsi="仿宋_GB2312" w:eastAsia="仿宋_GB2312" w:cs="仿宋_GB2312"/>
          <w:kern w:val="2"/>
          <w:sz w:val="32"/>
          <w:szCs w:val="32"/>
          <w:lang w:val="zh-CN" w:eastAsia="zh-CN" w:bidi="ar-SA"/>
        </w:rPr>
        <w:t>分。</w:t>
      </w:r>
      <w:r>
        <w:rPr>
          <w:rFonts w:hint="eastAsia" w:ascii="仿宋_GB2312" w:hAnsi="仿宋_GB2312" w:eastAsia="仿宋_GB2312" w:cs="仿宋_GB2312"/>
          <w:b/>
          <w:bCs/>
          <w:kern w:val="2"/>
          <w:sz w:val="32"/>
          <w:szCs w:val="32"/>
          <w:lang w:val="zh-CN" w:eastAsia="zh-CN" w:bidi="ar-SA"/>
        </w:rPr>
        <w:t>二是</w:t>
      </w:r>
      <w:r>
        <w:rPr>
          <w:rFonts w:hint="eastAsia" w:ascii="仿宋_GB2312" w:hAnsi="仿宋_GB2312" w:eastAsia="仿宋_GB2312" w:cs="仿宋_GB2312"/>
          <w:kern w:val="2"/>
          <w:sz w:val="32"/>
          <w:szCs w:val="32"/>
          <w:lang w:val="zh-CN" w:eastAsia="zh-CN" w:bidi="ar-SA"/>
        </w:rPr>
        <w:t>目标设置：</w:t>
      </w:r>
      <w:r>
        <w:rPr>
          <w:rFonts w:hint="eastAsia" w:ascii="仿宋_GB2312" w:hAnsi="仿宋_GB2312" w:eastAsia="仿宋_GB2312" w:cs="仿宋_GB2312"/>
          <w:kern w:val="2"/>
          <w:sz w:val="32"/>
          <w:szCs w:val="32"/>
          <w:lang w:val="en-US" w:eastAsia="zh-CN" w:bidi="ar-SA"/>
        </w:rPr>
        <w:t>中央少数民族地区和边疆地区文化安全（广播电视）补助资金项目52.36万元，支付差旅费3.94万元、购买专用设备共计1.77万元、支付劳务费4.94万元、支付电费12万元、支付机房维修维护费用23.41万元、支付线路维修公务用车专用燃料费0.42万元、支付委托业务费0.82万元、支付机房网络维护费用5万元。2025年中央和省级公共文化服务体系建设（广电项目）补助资金，购买专用设备11.62万元、维修维护费18.11万元。2025年中央支持地方公共文化服务体系建设补助资金，购买专用设备2.2万元、委托办理业务费8.8万元、信息网络及软件购置更新22万元（点靓黑水APP及IPV6升级改造）。目标设置科学合理、规范完整、量化细化、预算匹配。自评得4分；</w:t>
      </w:r>
      <w:r>
        <w:rPr>
          <w:rFonts w:hint="eastAsia" w:ascii="仿宋_GB2312" w:hAnsi="仿宋_GB2312" w:eastAsia="仿宋_GB2312" w:cs="仿宋_GB2312"/>
          <w:b/>
          <w:bCs/>
          <w:kern w:val="2"/>
          <w:sz w:val="32"/>
          <w:szCs w:val="32"/>
          <w:lang w:val="en-US" w:eastAsia="zh-CN" w:bidi="ar-SA"/>
        </w:rPr>
        <w:t>三是</w:t>
      </w:r>
      <w:r>
        <w:rPr>
          <w:rFonts w:hint="eastAsia" w:ascii="仿宋_GB2312" w:hAnsi="仿宋_GB2312" w:eastAsia="仿宋_GB2312" w:cs="仿宋_GB2312"/>
          <w:kern w:val="2"/>
          <w:sz w:val="32"/>
          <w:szCs w:val="32"/>
          <w:lang w:val="en-US" w:eastAsia="zh-CN" w:bidi="ar-SA"/>
        </w:rPr>
        <w:t>项目入库：各项目按照预期目标完整、经济活动真实入库管理。在规定时间内完成项目入库，自评得4分。项目决策总体得12分。</w:t>
      </w:r>
    </w:p>
    <w:p>
      <w:pPr>
        <w:keepNext w:val="0"/>
        <w:keepLines w:val="0"/>
        <w:pageBreakBefore w:val="0"/>
        <w:numPr>
          <w:ilvl w:val="0"/>
          <w:numId w:val="0"/>
        </w:numPr>
        <w:kinsoku/>
        <w:wordWrap/>
        <w:overflowPunct/>
        <w:topLinePunct w:val="0"/>
        <w:autoSpaceDE/>
        <w:autoSpaceDN/>
        <w:bidi w:val="0"/>
        <w:spacing w:beforeAutospacing="0" w:afterAutospacing="0" w:line="560" w:lineRule="exact"/>
        <w:ind w:firstLine="642"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Times New Roman" w:hAnsi="Times New Roman" w:eastAsia="楷体_GB2312" w:cs="Times New Roman"/>
          <w:b/>
          <w:bCs/>
          <w:color w:val="000000"/>
          <w:kern w:val="0"/>
          <w:sz w:val="32"/>
          <w:szCs w:val="32"/>
          <w:highlight w:val="none"/>
          <w:shd w:val="clear" w:color="auto" w:fill="FFFFFF"/>
          <w:lang w:val="en-US" w:eastAsia="zh-CN" w:bidi="ar-SA"/>
        </w:rPr>
        <w:t>2.项目执行</w:t>
      </w: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w:t>
      </w:r>
      <w:r>
        <w:rPr>
          <w:rFonts w:hint="eastAsia" w:ascii="仿宋_GB2312" w:hAnsi="仿宋_GB2312" w:cs="仿宋_GB2312"/>
          <w:b/>
          <w:bCs/>
          <w:color w:val="auto"/>
          <w:sz w:val="32"/>
          <w:szCs w:val="32"/>
          <w:lang w:val="zh-CN" w:eastAsia="zh-CN"/>
        </w:rPr>
        <w:t>一是</w:t>
      </w:r>
      <w:r>
        <w:rPr>
          <w:rFonts w:hint="eastAsia" w:ascii="仿宋_GB2312" w:hAnsi="仿宋_GB2312" w:cs="仿宋_GB2312"/>
          <w:color w:val="auto"/>
          <w:sz w:val="32"/>
          <w:szCs w:val="32"/>
          <w:lang w:val="zh-CN" w:eastAsia="zh-CN"/>
        </w:rPr>
        <w:t>执行同向。</w:t>
      </w:r>
      <w:r>
        <w:rPr>
          <w:rFonts w:hint="eastAsia" w:ascii="仿宋_GB2312" w:hAnsi="仿宋_GB2312" w:cs="仿宋_GB2312"/>
          <w:color w:val="auto"/>
          <w:sz w:val="32"/>
          <w:szCs w:val="32"/>
          <w:lang w:val="en-US" w:eastAsia="zh-CN"/>
        </w:rPr>
        <w:t>2025年度我部门实际列支项目与绩效预算阶段项目相符，预算节约率小于10%，得3分；</w:t>
      </w:r>
      <w:r>
        <w:rPr>
          <w:rFonts w:hint="eastAsia" w:ascii="仿宋_GB2312" w:hAnsi="仿宋_GB2312" w:cs="仿宋_GB2312"/>
          <w:b/>
          <w:bCs/>
          <w:color w:val="auto"/>
          <w:sz w:val="32"/>
          <w:szCs w:val="32"/>
          <w:lang w:val="en-US" w:eastAsia="zh-CN"/>
        </w:rPr>
        <w:t>二是</w:t>
      </w:r>
      <w:r>
        <w:rPr>
          <w:rFonts w:hint="eastAsia" w:ascii="仿宋_GB2312" w:hAnsi="仿宋_GB2312" w:cs="仿宋_GB2312"/>
          <w:color w:val="auto"/>
          <w:sz w:val="32"/>
          <w:szCs w:val="32"/>
          <w:lang w:val="en-US" w:eastAsia="zh-CN"/>
        </w:rPr>
        <w:t>项目调整：项目执行进度有序推进，完成绩效目标100%，无应采取未采取收回预算、年末根据资金使用进度调整结余资金为其他项目报财政审核后执行，得3分；</w:t>
      </w:r>
      <w:r>
        <w:rPr>
          <w:rFonts w:hint="eastAsia" w:ascii="仿宋_GB2312" w:hAnsi="仿宋_GB2312" w:cs="仿宋_GB2312"/>
          <w:b/>
          <w:bCs/>
          <w:color w:val="auto"/>
          <w:sz w:val="32"/>
          <w:szCs w:val="32"/>
          <w:lang w:val="en-US" w:eastAsia="zh-CN"/>
        </w:rPr>
        <w:t>三是</w:t>
      </w:r>
      <w:r>
        <w:rPr>
          <w:rFonts w:hint="eastAsia" w:ascii="仿宋_GB2312" w:hAnsi="仿宋_GB2312" w:cs="仿宋_GB2312"/>
          <w:color w:val="auto"/>
          <w:sz w:val="32"/>
          <w:szCs w:val="32"/>
          <w:lang w:val="en-US" w:eastAsia="zh-CN"/>
        </w:rPr>
        <w:t>执行结果：预算执行完成各项目标，</w:t>
      </w:r>
      <w:r>
        <w:rPr>
          <w:rFonts w:hint="eastAsia"/>
          <w:lang w:val="en-US" w:eastAsia="zh-CN"/>
        </w:rPr>
        <w:t>但</w:t>
      </w:r>
      <w:r>
        <w:rPr>
          <w:rFonts w:hint="eastAsia" w:ascii="仿宋_GB2312" w:hAnsi="仿宋_GB2312" w:cs="仿宋_GB2312"/>
          <w:color w:val="auto"/>
          <w:sz w:val="32"/>
          <w:szCs w:val="32"/>
          <w:lang w:val="en-US" w:eastAsia="zh-CN"/>
        </w:rPr>
        <w:t>部门项目多涉及人员补助类项目，导致资金支付进度上半年支付进度慢，下半年集中支付率较高，故扣1分，得3分。项目执行总体自评得分9分。</w:t>
      </w: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105" w:beforeAutospacing="0" w:after="105" w:afterAutospacing="0" w:line="560" w:lineRule="exact"/>
        <w:ind w:left="0" w:right="0" w:firstLine="420"/>
        <w:rPr>
          <w:rFonts w:hint="eastAsia" w:ascii="仿宋_GB2312" w:hAnsi="仿宋_GB2312" w:eastAsia="仿宋_GB2312" w:cs="仿宋_GB2312"/>
          <w:color w:val="auto"/>
          <w:kern w:val="2"/>
          <w:sz w:val="32"/>
          <w:szCs w:val="32"/>
          <w:lang w:val="en-US" w:eastAsia="zh-CN" w:bidi="ar-SA"/>
        </w:rPr>
      </w:pPr>
      <w:r>
        <w:rPr>
          <w:rFonts w:hint="eastAsia" w:ascii="Times New Roman" w:hAnsi="Times New Roman" w:eastAsia="楷体_GB2312" w:cs="Times New Roman"/>
          <w:b/>
          <w:bCs/>
          <w:color w:val="000000"/>
          <w:kern w:val="0"/>
          <w:sz w:val="32"/>
          <w:szCs w:val="32"/>
          <w:highlight w:val="none"/>
          <w:shd w:val="clear" w:color="auto" w:fill="FFFFFF"/>
          <w:lang w:val="en-US" w:eastAsia="zh-CN" w:bidi="ar-SA"/>
        </w:rPr>
        <w:t>3.</w:t>
      </w: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目标实现。</w:t>
      </w:r>
      <w:r>
        <w:rPr>
          <w:rFonts w:hint="eastAsia" w:ascii="仿宋_GB2312" w:hAnsi="仿宋_GB2312" w:eastAsia="仿宋_GB2312" w:cs="仿宋_GB2312"/>
          <w:b/>
          <w:bCs/>
          <w:color w:val="auto"/>
          <w:kern w:val="2"/>
          <w:sz w:val="32"/>
          <w:szCs w:val="32"/>
          <w:lang w:val="en-US" w:eastAsia="zh-CN" w:bidi="ar-SA"/>
        </w:rPr>
        <w:t>一是</w:t>
      </w:r>
      <w:r>
        <w:rPr>
          <w:rFonts w:hint="eastAsia" w:ascii="仿宋_GB2312" w:hAnsi="仿宋_GB2312" w:eastAsia="仿宋_GB2312" w:cs="仿宋_GB2312"/>
          <w:color w:val="auto"/>
          <w:kern w:val="2"/>
          <w:sz w:val="32"/>
          <w:szCs w:val="32"/>
          <w:lang w:val="en-US" w:eastAsia="zh-CN" w:bidi="ar-SA"/>
        </w:rPr>
        <w:t>目标完成。目标设立清晰，完成率为100%，得3分，</w:t>
      </w:r>
      <w:r>
        <w:rPr>
          <w:rFonts w:hint="eastAsia" w:ascii="仿宋_GB2312" w:hAnsi="仿宋_GB2312" w:eastAsia="仿宋_GB2312" w:cs="仿宋_GB2312"/>
          <w:b/>
          <w:bCs/>
          <w:color w:val="auto"/>
          <w:kern w:val="2"/>
          <w:sz w:val="32"/>
          <w:szCs w:val="32"/>
          <w:lang w:val="en-US" w:eastAsia="zh-CN" w:bidi="ar-SA"/>
        </w:rPr>
        <w:t>二是</w:t>
      </w:r>
      <w:r>
        <w:rPr>
          <w:rFonts w:hint="eastAsia" w:ascii="仿宋_GB2312" w:hAnsi="仿宋_GB2312" w:eastAsia="仿宋_GB2312" w:cs="仿宋_GB2312"/>
          <w:color w:val="auto"/>
          <w:kern w:val="2"/>
          <w:sz w:val="32"/>
          <w:szCs w:val="32"/>
          <w:lang w:val="en-US" w:eastAsia="zh-CN" w:bidi="ar-SA"/>
        </w:rPr>
        <w:t>目标偏离。</w:t>
      </w:r>
      <w:r>
        <w:rPr>
          <w:rFonts w:hint="eastAsia" w:ascii="仿宋_GB2312" w:hAnsi="仿宋_GB2312" w:eastAsia="仿宋_GB2312" w:cs="仿宋_GB2312"/>
          <w:color w:val="auto"/>
          <w:kern w:val="2"/>
          <w:sz w:val="32"/>
          <w:szCs w:val="32"/>
          <w:lang w:val="zh-CN" w:eastAsia="zh-CN" w:bidi="ar-SA"/>
        </w:rPr>
        <w:t>预算项目绩效目标与实际有偏差，</w:t>
      </w:r>
      <w:r>
        <w:rPr>
          <w:rFonts w:hint="eastAsia" w:ascii="仿宋_GB2312" w:hAnsi="仿宋_GB2312" w:eastAsia="仿宋_GB2312" w:cs="仿宋_GB2312"/>
          <w:color w:val="auto"/>
          <w:kern w:val="2"/>
          <w:sz w:val="32"/>
          <w:szCs w:val="32"/>
          <w:lang w:val="en-US" w:eastAsia="zh-CN" w:bidi="ar-SA"/>
        </w:rPr>
        <w:t>其余项目均按目标完成无偏差，故扣1分，得3分。</w:t>
      </w:r>
      <w:r>
        <w:rPr>
          <w:rFonts w:hint="eastAsia" w:ascii="仿宋_GB2312" w:hAnsi="仿宋_GB2312" w:eastAsia="仿宋_GB2312" w:cs="仿宋_GB2312"/>
          <w:b/>
          <w:bCs/>
          <w:color w:val="auto"/>
          <w:kern w:val="2"/>
          <w:sz w:val="32"/>
          <w:szCs w:val="32"/>
          <w:lang w:val="en-US" w:eastAsia="zh-CN" w:bidi="ar-SA"/>
        </w:rPr>
        <w:t>三是</w:t>
      </w:r>
      <w:r>
        <w:rPr>
          <w:rFonts w:hint="eastAsia" w:ascii="仿宋_GB2312" w:hAnsi="仿宋_GB2312" w:eastAsia="仿宋_GB2312" w:cs="仿宋_GB2312"/>
          <w:color w:val="auto"/>
          <w:kern w:val="2"/>
          <w:sz w:val="32"/>
          <w:szCs w:val="32"/>
          <w:lang w:val="en-US" w:eastAsia="zh-CN" w:bidi="ar-SA"/>
        </w:rPr>
        <w:t>实现效果。项目实现效果好，项目执行好评率高、目标完成率高，得3分。4</w:t>
      </w:r>
      <w:r>
        <w:rPr>
          <w:rFonts w:hint="eastAsia" w:ascii="仿宋_GB2312" w:hAnsi="仿宋_GB2312" w:eastAsia="仿宋_GB2312" w:cs="仿宋_GB2312"/>
          <w:color w:val="auto"/>
          <w:kern w:val="2"/>
          <w:sz w:val="32"/>
          <w:szCs w:val="32"/>
          <w:lang w:val="zh-CN" w:eastAsia="zh-CN" w:bidi="ar-SA"/>
        </w:rPr>
        <w:t>个项目指标实际完成均达到预期指标，目标实现总体自评得分：</w:t>
      </w:r>
      <w:r>
        <w:rPr>
          <w:rFonts w:hint="eastAsia" w:ascii="仿宋_GB2312" w:hAnsi="仿宋_GB2312" w:eastAsia="仿宋_GB2312" w:cs="仿宋_GB2312"/>
          <w:color w:val="auto"/>
          <w:kern w:val="2"/>
          <w:sz w:val="32"/>
          <w:szCs w:val="32"/>
          <w:lang w:val="en-US" w:eastAsia="zh-CN" w:bidi="ar-SA"/>
        </w:rPr>
        <w:t>9</w:t>
      </w:r>
      <w:r>
        <w:rPr>
          <w:rFonts w:hint="eastAsia" w:ascii="仿宋_GB2312" w:hAnsi="仿宋_GB2312" w:eastAsia="仿宋_GB2312" w:cs="仿宋_GB2312"/>
          <w:color w:val="auto"/>
          <w:kern w:val="2"/>
          <w:sz w:val="32"/>
          <w:szCs w:val="32"/>
          <w:lang w:val="zh-CN" w:eastAsia="zh-CN" w:bidi="ar-SA"/>
        </w:rPr>
        <w:t>分。</w:t>
      </w:r>
    </w:p>
    <w:p>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方正楷体_GBK" w:hAnsi="方正楷体_GBK" w:eastAsia="方正楷体_GBK" w:cs="方正楷体_GBK"/>
          <w:b/>
          <w:bCs/>
          <w:color w:val="000000"/>
          <w:kern w:val="0"/>
          <w:szCs w:val="32"/>
          <w:highlight w:val="none"/>
          <w:shd w:val="clear" w:color="auto" w:fill="FFFFFF"/>
          <w:lang w:val="zh-CN"/>
        </w:rPr>
      </w:pPr>
      <w:r>
        <w:rPr>
          <w:rFonts w:hint="default" w:ascii="方正楷体_GBK" w:hAnsi="方正楷体_GBK" w:eastAsia="方正楷体_GBK" w:cs="方正楷体_GBK"/>
          <w:b/>
          <w:bCs/>
          <w:color w:val="000000"/>
          <w:kern w:val="0"/>
          <w:szCs w:val="32"/>
          <w:highlight w:val="none"/>
          <w:shd w:val="clear" w:color="auto" w:fill="FFFFFF"/>
          <w:lang w:val="zh-CN"/>
        </w:rPr>
        <w:t>（</w:t>
      </w:r>
      <w:r>
        <w:rPr>
          <w:rFonts w:hint="eastAsia" w:ascii="方正楷体_GBK" w:hAnsi="方正楷体_GBK" w:eastAsia="方正楷体_GBK" w:cs="方正楷体_GBK"/>
          <w:b/>
          <w:bCs/>
          <w:color w:val="000000"/>
          <w:kern w:val="0"/>
          <w:szCs w:val="32"/>
          <w:highlight w:val="none"/>
          <w:shd w:val="clear" w:color="auto" w:fill="FFFFFF"/>
          <w:lang w:val="zh-CN"/>
        </w:rPr>
        <w:t>三</w:t>
      </w:r>
      <w:r>
        <w:rPr>
          <w:rFonts w:hint="default" w:ascii="方正楷体_GBK" w:hAnsi="方正楷体_GBK" w:eastAsia="方正楷体_GBK" w:cs="方正楷体_GBK"/>
          <w:b/>
          <w:bCs/>
          <w:color w:val="000000"/>
          <w:kern w:val="0"/>
          <w:szCs w:val="32"/>
          <w:highlight w:val="none"/>
          <w:shd w:val="clear" w:color="auto" w:fill="FFFFFF"/>
          <w:lang w:val="zh-CN"/>
        </w:rPr>
        <w:t>）绩效结果应用情况</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2" w:firstLineChars="200"/>
        <w:textAlignment w:val="auto"/>
        <w:rPr>
          <w:rFonts w:hint="eastAsia" w:cs="Times New Roman"/>
          <w:color w:val="000000"/>
          <w:kern w:val="0"/>
          <w:szCs w:val="32"/>
          <w:highlight w:val="none"/>
          <w:shd w:val="clear" w:color="auto" w:fill="FFFFFF"/>
          <w:lang w:val="zh-CN" w:eastAsia="zh-CN"/>
        </w:rPr>
      </w:pPr>
      <w:r>
        <w:rPr>
          <w:rFonts w:hint="eastAsia" w:ascii="方正仿宋_GBK" w:hAnsi="方正仿宋_GBK" w:eastAsia="方正仿宋_GBK" w:cs="方正仿宋_GBK"/>
          <w:b/>
          <w:bCs/>
          <w:color w:val="000000"/>
          <w:kern w:val="0"/>
          <w:sz w:val="32"/>
          <w:szCs w:val="32"/>
          <w:highlight w:val="none"/>
          <w:shd w:val="clear" w:color="auto" w:fill="FFFFFF"/>
          <w:lang w:val="en-US" w:eastAsia="zh-CN" w:bidi="ar-SA"/>
        </w:rPr>
        <w:t>1.</w:t>
      </w:r>
      <w:r>
        <w:rPr>
          <w:rFonts w:hint="eastAsia" w:ascii="Times New Roman" w:hAnsi="Times New Roman" w:cs="Times New Roman"/>
          <w:color w:val="000000"/>
          <w:kern w:val="0"/>
          <w:szCs w:val="32"/>
          <w:highlight w:val="none"/>
          <w:shd w:val="clear" w:color="auto" w:fill="FFFFFF"/>
          <w:lang w:val="zh-CN" w:eastAsia="zh-CN"/>
        </w:rPr>
        <w:t>围绕内部应用情况</w:t>
      </w:r>
      <w:r>
        <w:rPr>
          <w:rFonts w:hint="eastAsia" w:cs="Times New Roman"/>
          <w:color w:val="000000"/>
          <w:kern w:val="0"/>
          <w:szCs w:val="32"/>
          <w:highlight w:val="none"/>
          <w:shd w:val="clear" w:color="auto" w:fill="FFFFFF"/>
          <w:lang w:val="zh-CN" w:eastAsia="zh-CN"/>
        </w:rPr>
        <w:t>：通过绩效目标的制定和评定，逐步完善部门的内控制度。</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2" w:firstLineChars="200"/>
        <w:textAlignment w:val="auto"/>
        <w:rPr>
          <w:rFonts w:hint="eastAsia" w:cs="Times New Roman"/>
          <w:color w:val="000000"/>
          <w:kern w:val="0"/>
          <w:szCs w:val="32"/>
          <w:highlight w:val="none"/>
          <w:shd w:val="clear" w:color="auto" w:fill="FFFFFF"/>
          <w:lang w:val="zh-CN" w:eastAsia="zh-CN"/>
        </w:rPr>
      </w:pPr>
      <w:r>
        <w:rPr>
          <w:rFonts w:hint="eastAsia" w:ascii="方正仿宋_GBK" w:hAnsi="方正仿宋_GBK" w:eastAsia="方正仿宋_GBK" w:cs="方正仿宋_GBK"/>
          <w:b/>
          <w:bCs/>
          <w:color w:val="000000"/>
          <w:kern w:val="0"/>
          <w:sz w:val="32"/>
          <w:szCs w:val="32"/>
          <w:highlight w:val="none"/>
          <w:shd w:val="clear" w:color="auto" w:fill="FFFFFF"/>
          <w:lang w:val="en-US" w:eastAsia="zh-CN" w:bidi="ar-SA"/>
        </w:rPr>
        <w:t>2.</w:t>
      </w:r>
      <w:r>
        <w:rPr>
          <w:rFonts w:hint="default" w:ascii="Times New Roman" w:hAnsi="Times New Roman" w:cs="Times New Roman"/>
          <w:color w:val="000000"/>
          <w:kern w:val="0"/>
          <w:szCs w:val="32"/>
          <w:highlight w:val="none"/>
          <w:shd w:val="clear" w:color="auto" w:fill="FFFFFF"/>
          <w:lang w:val="zh-CN" w:eastAsia="zh-CN"/>
        </w:rPr>
        <w:t>信息公开情况</w:t>
      </w:r>
      <w:r>
        <w:rPr>
          <w:rFonts w:hint="eastAsia" w:cs="Times New Roman"/>
          <w:color w:val="000000"/>
          <w:kern w:val="0"/>
          <w:szCs w:val="32"/>
          <w:highlight w:val="none"/>
          <w:shd w:val="clear" w:color="auto" w:fill="FFFFFF"/>
          <w:lang w:val="zh-CN" w:eastAsia="zh-CN"/>
        </w:rPr>
        <w:t>：信息公开完整真实，均按照财政要求及时公开预决算等信息。</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2" w:firstLineChars="200"/>
        <w:textAlignment w:val="auto"/>
        <w:rPr>
          <w:rFonts w:hint="default" w:ascii="仿宋_GB2312" w:hAnsi="仿宋_GB2312" w:eastAsia="仿宋_GB2312" w:cs="仿宋_GB2312"/>
          <w:b/>
          <w:bCs w:val="0"/>
          <w:szCs w:val="32"/>
          <w:lang w:val="en-US"/>
        </w:rPr>
      </w:pPr>
      <w:r>
        <w:rPr>
          <w:rFonts w:hint="eastAsia" w:ascii="方正仿宋_GBK" w:hAnsi="方正仿宋_GBK" w:eastAsia="方正仿宋_GBK" w:cs="方正仿宋_GBK"/>
          <w:b/>
          <w:bCs/>
          <w:color w:val="000000"/>
          <w:kern w:val="0"/>
          <w:sz w:val="32"/>
          <w:szCs w:val="32"/>
          <w:highlight w:val="none"/>
          <w:shd w:val="clear" w:color="auto" w:fill="FFFFFF"/>
          <w:lang w:val="en-US" w:eastAsia="zh-CN" w:bidi="ar-SA"/>
        </w:rPr>
        <w:t>3.</w:t>
      </w:r>
      <w:r>
        <w:rPr>
          <w:rFonts w:hint="default" w:ascii="Times New Roman" w:hAnsi="Times New Roman" w:cs="Times New Roman"/>
          <w:color w:val="000000"/>
          <w:kern w:val="0"/>
          <w:szCs w:val="32"/>
          <w:highlight w:val="none"/>
          <w:shd w:val="clear" w:color="auto" w:fill="FFFFFF"/>
          <w:lang w:val="zh-CN" w:eastAsia="zh-CN"/>
        </w:rPr>
        <w:t>整改反馈情况</w:t>
      </w:r>
      <w:r>
        <w:rPr>
          <w:rFonts w:hint="eastAsia" w:cs="Times New Roman"/>
          <w:color w:val="000000"/>
          <w:kern w:val="0"/>
          <w:szCs w:val="32"/>
          <w:highlight w:val="none"/>
          <w:shd w:val="clear" w:color="auto" w:fill="FFFFFF"/>
          <w:lang w:val="zh-CN" w:eastAsia="zh-CN"/>
        </w:rPr>
        <w:t>进行分析：我单位</w:t>
      </w:r>
      <w:r>
        <w:rPr>
          <w:rFonts w:hint="eastAsia" w:cs="Times New Roman"/>
          <w:color w:val="000000"/>
          <w:kern w:val="0"/>
          <w:szCs w:val="32"/>
          <w:highlight w:val="none"/>
          <w:shd w:val="clear" w:color="auto" w:fill="FFFFFF"/>
          <w:lang w:val="en-US" w:eastAsia="zh-CN"/>
        </w:rPr>
        <w:t>2025年检查整体绩效自评，就自评发现的问题已整改完毕。</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方正楷体_GBK" w:hAnsi="方正楷体_GBK" w:eastAsia="方正楷体_GBK" w:cs="方正楷体_GBK"/>
          <w:b/>
          <w:bCs/>
          <w:color w:val="000000"/>
          <w:kern w:val="0"/>
          <w:szCs w:val="32"/>
          <w:highlight w:val="none"/>
          <w:shd w:val="clear" w:color="auto" w:fill="FFFFFF"/>
          <w:lang w:val="zh-CN"/>
        </w:rPr>
      </w:pPr>
      <w:r>
        <w:rPr>
          <w:rFonts w:hint="default" w:ascii="方正楷体_GBK" w:hAnsi="方正楷体_GBK" w:eastAsia="方正楷体_GBK" w:cs="方正楷体_GBK"/>
          <w:b/>
          <w:bCs/>
          <w:color w:val="000000"/>
          <w:kern w:val="0"/>
          <w:szCs w:val="32"/>
          <w:highlight w:val="none"/>
          <w:shd w:val="clear" w:color="auto" w:fill="FFFFFF"/>
          <w:lang w:val="zh-CN"/>
        </w:rPr>
        <w:t>（一）评价结论</w:t>
      </w:r>
    </w:p>
    <w:p>
      <w:pPr>
        <w:pStyle w:val="4"/>
        <w:adjustRightInd w:val="0"/>
        <w:snapToGrid w:val="0"/>
        <w:spacing w:before="72" w:line="580" w:lineRule="exact"/>
        <w:ind w:firstLine="640" w:firstLineChars="200"/>
        <w:rPr>
          <w:rFonts w:hAnsi="黑体" w:cs="黑体"/>
          <w:bCs/>
          <w:szCs w:val="32"/>
        </w:rPr>
      </w:pPr>
      <w:r>
        <w:rPr>
          <w:rFonts w:hint="eastAsia" w:hAnsi="黑体" w:cs="黑体"/>
          <w:bCs/>
          <w:szCs w:val="32"/>
        </w:rPr>
        <w:t>我中心部门预算支出在保障本中心工作运转、履行职能职责上整体情况良好，整体上完成了年初设定的绩效目标，保障了我中心工作的正常运转，促进了我中心的事业发展，充分发挥了财政资金的经济效益和社会效益，按照《</w:t>
      </w:r>
      <w:r>
        <w:rPr>
          <w:rFonts w:hint="eastAsia" w:hAnsi="黑体" w:cs="黑体"/>
          <w:bCs/>
          <w:szCs w:val="32"/>
          <w:lang w:eastAsia="zh-CN"/>
        </w:rPr>
        <w:t>2025</w:t>
      </w:r>
      <w:r>
        <w:rPr>
          <w:rFonts w:hint="eastAsia" w:hAnsi="黑体" w:cs="黑体"/>
          <w:bCs/>
          <w:szCs w:val="32"/>
        </w:rPr>
        <w:t>年县级部门预算绩效评价指标体系》，自评得分</w:t>
      </w:r>
      <w:r>
        <w:rPr>
          <w:rFonts w:hint="eastAsia" w:hAnsi="黑体" w:cs="黑体"/>
          <w:bCs/>
          <w:szCs w:val="32"/>
          <w:lang w:val="en-US" w:eastAsia="zh-CN"/>
        </w:rPr>
        <w:t>88</w:t>
      </w:r>
      <w:r>
        <w:rPr>
          <w:rFonts w:hint="eastAsia" w:hAnsi="黑体" w:cs="黑体"/>
          <w:bCs/>
          <w:szCs w:val="32"/>
        </w:rPr>
        <w:t>分。</w:t>
      </w:r>
    </w:p>
    <w:p>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方正楷体_GBK" w:hAnsi="方正楷体_GBK" w:eastAsia="方正楷体_GBK" w:cs="方正楷体_GBK"/>
          <w:b/>
          <w:bCs/>
          <w:color w:val="000000"/>
          <w:kern w:val="0"/>
          <w:szCs w:val="32"/>
          <w:highlight w:val="none"/>
          <w:shd w:val="clear" w:color="auto" w:fill="FFFFFF"/>
          <w:lang w:val="zh-CN"/>
        </w:rPr>
      </w:pPr>
      <w:r>
        <w:rPr>
          <w:rFonts w:hint="default" w:ascii="方正楷体_GBK" w:hAnsi="方正楷体_GBK" w:eastAsia="方正楷体_GBK" w:cs="方正楷体_GBK"/>
          <w:b/>
          <w:bCs/>
          <w:color w:val="000000"/>
          <w:kern w:val="0"/>
          <w:szCs w:val="32"/>
          <w:highlight w:val="none"/>
          <w:shd w:val="clear" w:color="auto" w:fill="FFFFFF"/>
          <w:lang w:val="zh-CN"/>
        </w:rPr>
        <w:t>（二）存在问题</w:t>
      </w:r>
    </w:p>
    <w:p>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640" w:firstLineChars="200"/>
        <w:contextualSpacing/>
        <w:jc w:val="left"/>
        <w:textAlignment w:val="auto"/>
        <w:outlineLvl w:val="9"/>
        <w:rPr>
          <w:rFonts w:hint="eastAsia" w:ascii="仿宋_GB2312" w:hAnsi="仿宋_GB2312" w:cs="仿宋_GB2312"/>
          <w:b w:val="0"/>
          <w:bCs w:val="0"/>
          <w:kern w:val="0"/>
          <w:position w:val="0"/>
          <w:sz w:val="32"/>
          <w:szCs w:val="32"/>
          <w:highlight w:val="none"/>
          <w:lang w:val="en-US" w:eastAsia="zh-CN" w:bidi="ar-SA"/>
        </w:rPr>
      </w:pPr>
      <w:r>
        <w:rPr>
          <w:rFonts w:hint="eastAsia" w:ascii="仿宋_GB2312" w:hAnsi="仿宋_GB2312" w:cs="仿宋_GB2312"/>
          <w:b w:val="0"/>
          <w:bCs w:val="0"/>
          <w:kern w:val="0"/>
          <w:position w:val="0"/>
          <w:sz w:val="32"/>
          <w:szCs w:val="32"/>
          <w:highlight w:val="none"/>
          <w:lang w:val="en-US" w:eastAsia="zh-CN" w:bidi="ar-SA"/>
        </w:rPr>
        <w:t>一是预算编制准确度有待提高，存在中期追加、期末追减情况；二是预算执行进度有待提高。</w:t>
      </w:r>
    </w:p>
    <w:p>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642" w:firstLineChars="200"/>
        <w:contextualSpacing/>
        <w:jc w:val="left"/>
        <w:textAlignment w:val="auto"/>
        <w:outlineLvl w:val="9"/>
        <w:rPr>
          <w:rFonts w:hint="eastAsia" w:ascii="方正楷体_GBK" w:hAnsi="方正楷体_GBK" w:eastAsia="方正楷体_GBK" w:cs="方正楷体_GBK"/>
          <w:b/>
          <w:bCs/>
          <w:color w:val="000000"/>
          <w:kern w:val="0"/>
          <w:szCs w:val="32"/>
          <w:highlight w:val="none"/>
          <w:shd w:val="clear" w:color="auto" w:fill="FFFFFF"/>
          <w:lang w:val="zh-CN"/>
        </w:rPr>
      </w:pPr>
      <w:r>
        <w:rPr>
          <w:rFonts w:hint="default" w:ascii="方正楷体_GBK" w:hAnsi="方正楷体_GBK" w:eastAsia="方正楷体_GBK" w:cs="方正楷体_GBK"/>
          <w:b/>
          <w:bCs/>
          <w:color w:val="000000"/>
          <w:kern w:val="0"/>
          <w:szCs w:val="32"/>
          <w:highlight w:val="none"/>
          <w:shd w:val="clear" w:color="auto" w:fill="FFFFFF"/>
          <w:lang w:val="zh-CN"/>
        </w:rPr>
        <w:t>（三）改进建议</w:t>
      </w:r>
    </w:p>
    <w:p>
      <w:pPr>
        <w:pStyle w:val="4"/>
        <w:adjustRightInd w:val="0"/>
        <w:snapToGrid w:val="0"/>
        <w:spacing w:before="72" w:line="580" w:lineRule="exact"/>
        <w:ind w:firstLine="640" w:firstLineChars="200"/>
        <w:rPr>
          <w:rFonts w:hint="eastAsia" w:hAnsi="黑体" w:cs="黑体"/>
          <w:bCs/>
          <w:szCs w:val="32"/>
        </w:rPr>
      </w:pPr>
      <w:r>
        <w:rPr>
          <w:rFonts w:hint="eastAsia" w:ascii="仿宋_GB2312" w:hAnsi="黑体" w:cs="黑体"/>
          <w:bCs/>
          <w:szCs w:val="32"/>
        </w:rPr>
        <w:t>　为了进一步提高本部门整体绩效水平，</w:t>
      </w:r>
      <w:r>
        <w:rPr>
          <w:rFonts w:hint="eastAsia" w:ascii="仿宋_GB2312" w:hAnsi="黑体" w:cs="黑体"/>
          <w:bCs/>
          <w:szCs w:val="32"/>
          <w:lang w:val="en-US" w:eastAsia="zh-CN"/>
        </w:rPr>
        <w:t>确保</w:t>
      </w:r>
      <w:r>
        <w:rPr>
          <w:rFonts w:hint="eastAsia" w:ascii="仿宋_GB2312" w:hAnsi="黑体" w:cs="黑体"/>
          <w:bCs/>
          <w:szCs w:val="32"/>
        </w:rPr>
        <w:t>预算编制和预算执行</w:t>
      </w:r>
      <w:r>
        <w:rPr>
          <w:rFonts w:hint="eastAsia" w:ascii="仿宋_GB2312" w:hAnsi="黑体" w:cs="黑体"/>
          <w:bCs/>
          <w:szCs w:val="32"/>
          <w:lang w:val="en-US" w:eastAsia="zh-CN"/>
        </w:rPr>
        <w:t>达到预期效果</w:t>
      </w:r>
      <w:r>
        <w:rPr>
          <w:rFonts w:hint="eastAsia" w:ascii="仿宋_GB2312" w:hAnsi="黑体" w:cs="黑体"/>
          <w:bCs/>
          <w:szCs w:val="32"/>
        </w:rPr>
        <w:t>，我们提出如下建议：</w:t>
      </w:r>
      <w:r>
        <w:rPr>
          <w:rFonts w:hint="eastAsia" w:ascii="仿宋_GB2312" w:hAnsi="黑体" w:cs="黑体"/>
          <w:b/>
          <w:bCs w:val="0"/>
          <w:szCs w:val="32"/>
          <w:lang w:val="en-US" w:eastAsia="zh-CN"/>
        </w:rPr>
        <w:t>一是</w:t>
      </w:r>
      <w:r>
        <w:rPr>
          <w:rFonts w:hint="eastAsia" w:ascii="仿宋_GB2312" w:hAnsi="黑体" w:cs="黑体"/>
          <w:bCs/>
          <w:szCs w:val="32"/>
        </w:rPr>
        <w:t>加强组织领导。统一思想，加强领导，明确责任，明确由相关部门牵头，各部门参与的绩效评价管理联席会议制度，为绩效评价工作开展创造好的条件。</w:t>
      </w:r>
      <w:r>
        <w:rPr>
          <w:rFonts w:hint="eastAsia" w:ascii="仿宋_GB2312" w:hAnsi="黑体" w:cs="黑体"/>
          <w:b/>
          <w:bCs w:val="0"/>
          <w:szCs w:val="32"/>
          <w:lang w:val="en-US" w:eastAsia="zh-CN"/>
        </w:rPr>
        <w:t>二是</w:t>
      </w:r>
      <w:r>
        <w:rPr>
          <w:rFonts w:hint="eastAsia" w:ascii="仿宋_GB2312" w:hAnsi="黑体" w:cs="黑体"/>
          <w:bCs/>
          <w:szCs w:val="32"/>
        </w:rPr>
        <w:t>加强队伍建设。要抓好绩效评价管理部门的队伍建设和业务指导，培育统计调查项目和部门的绩效评价管理队伍，组建专家队伍，并加强业务培训。</w:t>
      </w:r>
      <w:r>
        <w:rPr>
          <w:rFonts w:hint="eastAsia" w:ascii="仿宋_GB2312" w:hAnsi="黑体" w:cs="黑体"/>
          <w:b/>
          <w:bCs w:val="0"/>
          <w:szCs w:val="32"/>
          <w:lang w:val="en-US" w:eastAsia="zh-CN"/>
        </w:rPr>
        <w:t>三是</w:t>
      </w:r>
      <w:r>
        <w:rPr>
          <w:rFonts w:hint="eastAsia" w:ascii="仿宋_GB2312" w:hAnsi="黑体" w:cs="黑体"/>
          <w:bCs/>
          <w:szCs w:val="32"/>
        </w:rPr>
        <w:t>建议增加公务费及差旅费经费</w:t>
      </w:r>
      <w:r>
        <w:rPr>
          <w:rFonts w:hint="eastAsia" w:ascii="仿宋_GB2312" w:hAnsi="黑体" w:cs="黑体"/>
          <w:bCs/>
          <w:szCs w:val="32"/>
          <w:lang w:eastAsia="zh-CN"/>
        </w:rPr>
        <w:t>。</w:t>
      </w:r>
      <w:r>
        <w:rPr>
          <w:rFonts w:hint="eastAsia" w:ascii="仿宋_GB2312" w:hAnsi="黑体" w:cs="黑体"/>
          <w:b/>
          <w:bCs w:val="0"/>
          <w:szCs w:val="32"/>
          <w:lang w:val="en-US" w:eastAsia="zh-CN"/>
        </w:rPr>
        <w:t>四是</w:t>
      </w:r>
      <w:r>
        <w:rPr>
          <w:rFonts w:hint="eastAsia" w:hAnsi="黑体" w:cs="黑体"/>
          <w:bCs/>
          <w:szCs w:val="32"/>
        </w:rPr>
        <w:t>建议加强对绩效评价工作的培训和指导，进一步优化项目绩效考核指标体系，做到合理性与可操作性的有机统一。</w:t>
      </w:r>
    </w:p>
    <w:p>
      <w:pPr>
        <w:spacing w:line="560" w:lineRule="exact"/>
        <w:rPr>
          <w:rFonts w:ascii="仿宋_GB2312" w:hAnsi="黑体" w:cs="黑体"/>
          <w:bCs/>
          <w:szCs w:val="32"/>
        </w:rPr>
      </w:pPr>
    </w:p>
    <w:p>
      <w:pPr>
        <w:rPr>
          <w:rFonts w:ascii="仿宋_GB2312" w:hAnsi="黑体" w:cs="黑体"/>
          <w:bCs/>
          <w:szCs w:val="32"/>
        </w:rPr>
      </w:pPr>
    </w:p>
    <w:p>
      <w:pPr>
        <w:jc w:val="center"/>
        <w:rPr>
          <w:rFonts w:hint="eastAsia"/>
          <w:lang w:val="en-US" w:eastAsia="zh-CN"/>
        </w:rPr>
      </w:pPr>
      <w:r>
        <w:rPr>
          <w:rFonts w:hint="eastAsia"/>
          <w:lang w:val="en-US" w:eastAsia="zh-CN"/>
        </w:rPr>
        <w:t xml:space="preserve">                     黑水县融媒体中心</w:t>
      </w:r>
    </w:p>
    <w:p>
      <w:pPr>
        <w:jc w:val="center"/>
        <w:rPr>
          <w:rFonts w:hint="default"/>
          <w:lang w:val="en-US" w:eastAsia="zh-CN"/>
        </w:rPr>
      </w:pPr>
      <w:r>
        <w:rPr>
          <w:rFonts w:hint="eastAsia"/>
          <w:lang w:val="en-US" w:eastAsia="zh-CN"/>
        </w:rPr>
        <w:t xml:space="preserve">                    2026年8月18日</w:t>
      </w:r>
    </w:p>
    <w:p>
      <w:pPr>
        <w:spacing w:line="578" w:lineRule="exact"/>
        <w:rPr>
          <w:rFonts w:hint="eastAsia"/>
          <w:color w:val="000000"/>
          <w:kern w:val="0"/>
          <w:szCs w:val="32"/>
          <w:shd w:val="clear" w:color="auto" w:fill="FFFFFF"/>
        </w:rPr>
      </w:pPr>
    </w:p>
    <w:p>
      <w:pPr>
        <w:spacing w:line="578" w:lineRule="exact"/>
        <w:jc w:val="left"/>
        <w:rPr>
          <w:rFonts w:eastAsia="方正小标宋简体"/>
          <w:color w:val="000000"/>
          <w:kern w:val="0"/>
          <w:sz w:val="44"/>
          <w:szCs w:val="44"/>
        </w:rPr>
      </w:pPr>
      <w:r>
        <w:rPr>
          <w:rFonts w:hint="eastAsia"/>
          <w:color w:val="000000"/>
          <w:kern w:val="0"/>
          <w:szCs w:val="32"/>
          <w:shd w:val="clear" w:color="auto" w:fill="FFFFFF"/>
        </w:rPr>
        <w:t>附表：附表1部门预算绩效自评打分表</w:t>
      </w:r>
    </w:p>
    <w:p>
      <w:pPr>
        <w:spacing w:line="578" w:lineRule="exact"/>
        <w:jc w:val="left"/>
        <w:rPr>
          <w:rFonts w:hint="eastAsia"/>
          <w:color w:val="000000"/>
          <w:kern w:val="0"/>
          <w:szCs w:val="32"/>
          <w:shd w:val="clear" w:color="auto" w:fill="FFFFFF"/>
        </w:rPr>
      </w:pPr>
      <w:r>
        <w:rPr>
          <w:rFonts w:hint="eastAsia"/>
          <w:color w:val="000000"/>
          <w:kern w:val="0"/>
          <w:szCs w:val="32"/>
          <w:shd w:val="clear" w:color="auto" w:fill="FFFFFF"/>
          <w:lang w:val="en-US" w:eastAsia="zh-CN"/>
        </w:rPr>
        <w:t xml:space="preserve">      </w:t>
      </w:r>
      <w:r>
        <w:rPr>
          <w:rFonts w:hint="eastAsia"/>
          <w:color w:val="000000"/>
          <w:kern w:val="0"/>
          <w:szCs w:val="32"/>
          <w:shd w:val="clear" w:color="auto" w:fill="FFFFFF"/>
        </w:rPr>
        <w:t>附表2部门整体支出绩效目标完成情况自评表</w:t>
      </w:r>
    </w:p>
    <w:p>
      <w:pPr>
        <w:pStyle w:val="11"/>
        <w:spacing w:after="0" w:line="578" w:lineRule="exact"/>
        <w:ind w:left="0" w:leftChars="0" w:firstLine="0" w:firstLineChars="0"/>
        <w:rPr>
          <w:rFonts w:hint="eastAsia" w:ascii="Times New Roman" w:hAnsi="Times New Roman" w:eastAsia="仿宋_GB2312" w:cs="Times New Roman"/>
          <w:color w:val="000000"/>
          <w:kern w:val="0"/>
          <w:sz w:val="32"/>
          <w:szCs w:val="32"/>
          <w:shd w:val="clear" w:color="auto" w:fill="FFFFFF"/>
          <w:lang w:val="en-US" w:eastAsia="zh-CN" w:bidi="ar-SA"/>
        </w:rPr>
      </w:pPr>
      <w:r>
        <w:rPr>
          <w:rFonts w:hint="eastAsia"/>
          <w:color w:val="000000"/>
          <w:kern w:val="0"/>
          <w:szCs w:val="32"/>
          <w:shd w:val="clear" w:color="auto" w:fill="FFFFFF"/>
          <w:lang w:val="en-US" w:eastAsia="zh-CN"/>
        </w:rPr>
        <w:t xml:space="preserve">    </w:t>
      </w:r>
      <w:r>
        <w:rPr>
          <w:rFonts w:hint="eastAsia" w:ascii="Times New Roman" w:hAnsi="Times New Roman" w:eastAsia="仿宋_GB2312" w:cs="Times New Roman"/>
          <w:color w:val="000000"/>
          <w:kern w:val="0"/>
          <w:sz w:val="32"/>
          <w:szCs w:val="32"/>
          <w:shd w:val="clear" w:color="auto" w:fill="FFFFFF"/>
          <w:lang w:val="en-US" w:eastAsia="zh-CN" w:bidi="ar-SA"/>
        </w:rPr>
        <w:t xml:space="preserve">  </w:t>
      </w:r>
    </w:p>
    <w:p>
      <w:pPr>
        <w:spacing w:line="578" w:lineRule="exact"/>
        <w:jc w:val="left"/>
        <w:rPr>
          <w:rFonts w:hint="default" w:ascii="Times New Roman" w:hAnsi="Times New Roman" w:eastAsia="仿宋_GB2312" w:cs="Times New Roman"/>
          <w:color w:val="000000"/>
          <w:kern w:val="0"/>
          <w:sz w:val="32"/>
          <w:szCs w:val="32"/>
          <w:shd w:val="clear" w:color="auto" w:fill="FFFFFF"/>
          <w:lang w:val="en-US" w:eastAsia="zh-CN" w:bidi="ar-SA"/>
        </w:rPr>
      </w:pPr>
    </w:p>
    <w:p>
      <w:pPr>
        <w:pStyle w:val="11"/>
        <w:ind w:left="0" w:leftChars="0" w:firstLine="0" w:firstLineChars="0"/>
        <w:rPr>
          <w:rFonts w:hint="eastAsia"/>
          <w:color w:val="000000"/>
          <w:kern w:val="0"/>
          <w:szCs w:val="32"/>
          <w:shd w:val="clear" w:color="auto" w:fill="FFFFFF"/>
        </w:rPr>
      </w:pPr>
    </w:p>
    <w:p>
      <w:pPr>
        <w:pStyle w:val="11"/>
        <w:ind w:left="0" w:leftChars="0" w:firstLine="0" w:firstLineChars="0"/>
        <w:rPr>
          <w:rFonts w:hint="eastAsia"/>
          <w:color w:val="000000"/>
          <w:kern w:val="0"/>
          <w:szCs w:val="32"/>
          <w:shd w:val="clear" w:color="auto" w:fill="FFFFFF"/>
        </w:rPr>
      </w:pPr>
    </w:p>
    <w:p>
      <w:pPr>
        <w:pStyle w:val="11"/>
        <w:ind w:left="0" w:leftChars="0" w:firstLine="0" w:firstLineChars="0"/>
        <w:rPr>
          <w:rFonts w:hint="eastAsia"/>
          <w:color w:val="000000"/>
          <w:kern w:val="0"/>
          <w:szCs w:val="32"/>
          <w:shd w:val="clear" w:color="auto" w:fill="FFFFFF"/>
        </w:rPr>
      </w:pPr>
    </w:p>
    <w:p>
      <w:pPr>
        <w:pStyle w:val="11"/>
        <w:ind w:left="0" w:leftChars="0" w:firstLine="0" w:firstLineChars="0"/>
        <w:rPr>
          <w:rFonts w:hint="eastAsia"/>
          <w:color w:val="000000"/>
          <w:kern w:val="0"/>
          <w:szCs w:val="32"/>
          <w:shd w:val="clear" w:color="auto" w:fill="FFFFFF"/>
        </w:rPr>
      </w:pPr>
    </w:p>
    <w:p>
      <w:pPr>
        <w:pStyle w:val="11"/>
        <w:ind w:left="0" w:leftChars="0" w:firstLine="0" w:firstLineChars="0"/>
        <w:rPr>
          <w:rFonts w:hint="eastAsia"/>
          <w:color w:val="000000"/>
          <w:kern w:val="0"/>
          <w:szCs w:val="32"/>
          <w:shd w:val="clear" w:color="auto" w:fill="FFFFFF"/>
        </w:rPr>
      </w:pPr>
    </w:p>
    <w:p>
      <w:pPr>
        <w:spacing w:line="578" w:lineRule="exact"/>
        <w:jc w:val="left"/>
        <w:rPr>
          <w:rFonts w:eastAsia="黑体"/>
        </w:rPr>
      </w:pPr>
      <w:r>
        <w:rPr>
          <w:rFonts w:eastAsia="黑体"/>
        </w:rPr>
        <w:t>附表</w:t>
      </w:r>
      <w:r>
        <w:rPr>
          <w:rFonts w:hint="eastAsia" w:eastAsia="黑体"/>
        </w:rPr>
        <w:t>1</w:t>
      </w:r>
    </w:p>
    <w:p>
      <w:pPr>
        <w:widowControl/>
        <w:spacing w:line="600" w:lineRule="exact"/>
        <w:jc w:val="center"/>
        <w:textAlignment w:val="center"/>
        <w:rPr>
          <w:rFonts w:eastAsia="方正小标宋简体"/>
          <w:color w:val="000000"/>
          <w:kern w:val="0"/>
          <w:sz w:val="44"/>
          <w:szCs w:val="44"/>
        </w:rPr>
      </w:pPr>
      <w:r>
        <w:rPr>
          <w:rFonts w:hint="eastAsia" w:eastAsia="方正小标宋简体"/>
          <w:color w:val="000000"/>
          <w:kern w:val="0"/>
          <w:sz w:val="44"/>
          <w:szCs w:val="44"/>
        </w:rPr>
        <w:t>部门预算绩效自评打分表</w:t>
      </w:r>
    </w:p>
    <w:tbl>
      <w:tblPr>
        <w:tblStyle w:val="12"/>
        <w:tblW w:w="10912" w:type="dxa"/>
        <w:jc w:val="center"/>
        <w:tblLayout w:type="fixed"/>
        <w:tblCellMar>
          <w:top w:w="0" w:type="dxa"/>
          <w:left w:w="108" w:type="dxa"/>
          <w:bottom w:w="0" w:type="dxa"/>
          <w:right w:w="108" w:type="dxa"/>
        </w:tblCellMar>
      </w:tblPr>
      <w:tblGrid>
        <w:gridCol w:w="1097"/>
        <w:gridCol w:w="1201"/>
        <w:gridCol w:w="1929"/>
        <w:gridCol w:w="717"/>
        <w:gridCol w:w="4760"/>
        <w:gridCol w:w="730"/>
        <w:gridCol w:w="478"/>
      </w:tblGrid>
      <w:tr>
        <w:tblPrEx>
          <w:tblCellMar>
            <w:top w:w="0" w:type="dxa"/>
            <w:left w:w="108" w:type="dxa"/>
            <w:bottom w:w="0" w:type="dxa"/>
            <w:right w:w="108" w:type="dxa"/>
          </w:tblCellMar>
        </w:tblPrEx>
        <w:trPr>
          <w:trHeight w:val="23" w:hRule="atLeast"/>
          <w:jc w:val="center"/>
        </w:trPr>
        <w:tc>
          <w:tcPr>
            <w:tcW w:w="49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绩效评价指标指标分值</w:t>
            </w:r>
          </w:p>
        </w:tc>
        <w:tc>
          <w:tcPr>
            <w:tcW w:w="4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指标解释</w:t>
            </w:r>
          </w:p>
        </w:tc>
        <w:tc>
          <w:tcPr>
            <w:tcW w:w="730"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kern w:val="0"/>
                <w:sz w:val="24"/>
              </w:rPr>
            </w:pPr>
            <w:r>
              <w:rPr>
                <w:rFonts w:hint="eastAsia" w:ascii="黑体" w:hAnsi="宋体" w:eastAsia="黑体" w:cs="黑体"/>
                <w:color w:val="000000"/>
                <w:kern w:val="0"/>
                <w:sz w:val="24"/>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kern w:val="0"/>
                <w:sz w:val="24"/>
              </w:rPr>
            </w:pPr>
            <w:r>
              <w:rPr>
                <w:rFonts w:hint="eastAsia" w:ascii="黑体" w:hAnsi="宋体" w:eastAsia="黑体" w:cs="黑体"/>
                <w:color w:val="000000"/>
                <w:kern w:val="0"/>
                <w:sz w:val="24"/>
              </w:rPr>
              <w:t>备注</w:t>
            </w:r>
          </w:p>
        </w:tc>
      </w:tr>
      <w:tr>
        <w:tblPrEx>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nil"/>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一级指标</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二级指标</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三级指标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黑体" w:hAnsi="宋体" w:eastAsia="黑体" w:cs="黑体"/>
                <w:color w:val="000000"/>
                <w:sz w:val="24"/>
              </w:rPr>
            </w:pPr>
            <w:r>
              <w:rPr>
                <w:rFonts w:hint="eastAsia" w:ascii="黑体" w:hAnsi="宋体" w:eastAsia="黑体" w:cs="黑体"/>
                <w:color w:val="000000"/>
                <w:kern w:val="0"/>
                <w:sz w:val="24"/>
              </w:rPr>
              <w:t>指标</w:t>
            </w:r>
            <w:r>
              <w:rPr>
                <w:rFonts w:hint="eastAsia" w:ascii="黑体" w:hAnsi="宋体" w:eastAsia="黑体" w:cs="黑体"/>
                <w:color w:val="000000"/>
                <w:kern w:val="0"/>
                <w:sz w:val="24"/>
              </w:rPr>
              <w:br w:type="textWrapping"/>
            </w:r>
            <w:r>
              <w:rPr>
                <w:rFonts w:hint="eastAsia" w:ascii="黑体" w:hAnsi="宋体" w:eastAsia="黑体" w:cs="黑体"/>
                <w:color w:val="000000"/>
                <w:kern w:val="0"/>
                <w:sz w:val="24"/>
              </w:rPr>
              <w:t>分值</w:t>
            </w:r>
          </w:p>
        </w:tc>
        <w:tc>
          <w:tcPr>
            <w:tcW w:w="4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黑体" w:hAnsi="宋体" w:eastAsia="黑体" w:cs="黑体"/>
                <w:color w:val="000000"/>
                <w:sz w:val="24"/>
              </w:rPr>
            </w:pPr>
          </w:p>
        </w:tc>
        <w:tc>
          <w:tcPr>
            <w:tcW w:w="730"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黑体" w:hAnsi="宋体" w:eastAsia="黑体" w:cs="黑体"/>
                <w:color w:val="000000"/>
                <w:sz w:val="24"/>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黑体" w:hAnsi="宋体" w:eastAsia="黑体" w:cs="黑体"/>
                <w:color w:val="000000"/>
                <w:sz w:val="24"/>
              </w:rPr>
            </w:pPr>
          </w:p>
        </w:tc>
      </w:tr>
      <w:tr>
        <w:tblPrEx>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总体绩效（65分）</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履职效能</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lang w:val="en-US" w:eastAsia="zh-CN"/>
              </w:rPr>
              <w:t>融媒体中心</w:t>
            </w:r>
            <w:r>
              <w:rPr>
                <w:rFonts w:hint="eastAsia" w:ascii="宋体" w:hAnsi="宋体" w:eastAsia="宋体" w:cs="宋体"/>
                <w:color w:val="000000"/>
                <w:kern w:val="0"/>
                <w:sz w:val="24"/>
              </w:rPr>
              <w:t>履职效果</w:t>
            </w:r>
          </w:p>
        </w:tc>
        <w:tc>
          <w:tcPr>
            <w:tcW w:w="717" w:type="dxa"/>
            <w:tcBorders>
              <w:top w:val="nil"/>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15</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部门整体绩效目标中选定3-5个核心职能目标，反映该项职能目标完成效果情况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预算管理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（25分）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预算编制质量</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8</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部门是否严格按要求编制年初部门预算，年初预算编制的科学性和准确性</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单位收入统筹</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部门统筹自有收入努力程度</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支出执行管理</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6</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部门1至6月、1至10月预算执行情况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预算年终结余</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部门整体年终预算结余情况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74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严控一般性支出</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部门严控“三公”经费、会议、培训、差旅、办节办展、办公设备购置、信息化建设和运维、课题经费、竞赛活动、规划编制一般性支出情况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财务管理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（10分）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财务管理制度</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部门财务管理制度建立情况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财务岗位设置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部门财务岗位设置是否符合相关财务管理制度要求</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资金使用规范</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部门资金使用是否符合相关财务管理制度规定</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资产管理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人均资产变化率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部门人均资产变化情况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资产利用率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部门资产超最低使用年限情况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资产管理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资产盘活率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部门闲置一年以上的资产盘活情况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采购管理</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（6分）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支持中小企业发展</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部门是否严格执行政府采购促进中小企业发展相关管理办法</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176" w:hRule="atLeast"/>
          <w:jc w:val="center"/>
        </w:trPr>
        <w:tc>
          <w:tcPr>
            <w:tcW w:w="1097" w:type="dxa"/>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采购执行率</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部门政府采购项目资金支付比例情况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项目绩效（35分）</w:t>
            </w:r>
          </w:p>
        </w:tc>
        <w:tc>
          <w:tcPr>
            <w:tcW w:w="1201"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项目决策</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决策程序</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部门预算项目设立是否按规定履行评估论证、申报程序</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部门预算项目绩效目标与计划期内的任务量、预算安排的资金量匹配情况，绩效目标设置是否科学合理、规范完整、量化细化、预算匹配</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项目入库</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部门预算项目是否在规定时间完成项目入库</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项目执行</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执行同向</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部门预算项目实际列支内容是否与绩效目标设置方向相符</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项目调整</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部门预算项目是否采取对应调整措施</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nil"/>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执行结果</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目标实现</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（11分）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目标完成</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部门预算项目绩效目标数量指标完成情况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目标偏离</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部门预算项目绩效目标数量指标实现程度与预期目标的偏离情况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rPr>
                <w:rFonts w:ascii="宋体" w:hAnsi="宋体" w:eastAsia="宋体" w:cs="宋体"/>
                <w:b/>
                <w:color w:val="000000"/>
                <w:sz w:val="24"/>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实现效果</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部门预算项目绩效目标效益指标实施效果</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b/>
                <w:color w:val="000000"/>
                <w:sz w:val="24"/>
              </w:rPr>
            </w:pPr>
            <w:r>
              <w:rPr>
                <w:rFonts w:hint="eastAsia" w:ascii="宋体" w:hAnsi="宋体" w:eastAsia="宋体" w:cs="宋体"/>
                <w:b/>
                <w:color w:val="000000"/>
                <w:kern w:val="0"/>
                <w:sz w:val="24"/>
              </w:rPr>
              <w:t>扣分项</w:t>
            </w:r>
            <w:r>
              <w:rPr>
                <w:rFonts w:hint="eastAsia" w:ascii="宋体" w:hAnsi="宋体" w:eastAsia="宋体" w:cs="宋体"/>
                <w:b/>
                <w:color w:val="000000"/>
                <w:kern w:val="0"/>
                <w:sz w:val="24"/>
              </w:rPr>
              <w:br w:type="textWrapping"/>
            </w:r>
            <w:r>
              <w:rPr>
                <w:rFonts w:hint="eastAsia" w:ascii="宋体" w:hAnsi="宋体" w:eastAsia="宋体" w:cs="宋体"/>
                <w:b/>
                <w:color w:val="000000"/>
                <w:kern w:val="0"/>
                <w:sz w:val="24"/>
              </w:rPr>
              <w:t>（10分）</w:t>
            </w:r>
          </w:p>
        </w:tc>
        <w:tc>
          <w:tcPr>
            <w:tcW w:w="3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被评价部门配合度</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center"/>
              <w:textAlignment w:val="center"/>
              <w:rPr>
                <w:rFonts w:ascii="宋体" w:hAnsi="宋体" w:eastAsia="宋体" w:cs="宋体"/>
                <w:color w:val="000000"/>
                <w:sz w:val="24"/>
              </w:rPr>
            </w:pPr>
            <w:r>
              <w:rPr>
                <w:rFonts w:hint="eastAsia" w:ascii="宋体" w:hAnsi="宋体" w:eastAsia="宋体" w:cs="宋体"/>
                <w:color w:val="000000"/>
                <w:kern w:val="0"/>
                <w:sz w:val="24"/>
              </w:rPr>
              <w:t>-</w:t>
            </w:r>
          </w:p>
        </w:tc>
        <w:tc>
          <w:tcPr>
            <w:tcW w:w="47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sz w:val="24"/>
              </w:rPr>
            </w:pPr>
            <w:r>
              <w:rPr>
                <w:rFonts w:hint="eastAsia" w:ascii="宋体" w:hAnsi="宋体" w:eastAsia="宋体" w:cs="宋体"/>
                <w:color w:val="000000"/>
                <w:kern w:val="0"/>
                <w:sz w:val="24"/>
              </w:rPr>
              <w:t>被评价对象工作配合情况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default" w:ascii="宋体" w:hAnsi="宋体" w:eastAsia="宋体" w:cs="宋体"/>
                <w:color w:val="000000"/>
                <w:kern w:val="0"/>
                <w:sz w:val="24"/>
                <w:lang w:val="en-US" w:eastAsia="zh-CN"/>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ascii="宋体" w:hAnsi="宋体" w:eastAsia="宋体" w:cs="宋体"/>
                <w:color w:val="000000"/>
                <w:kern w:val="0"/>
                <w:sz w:val="24"/>
              </w:rPr>
            </w:pPr>
          </w:p>
        </w:tc>
      </w:tr>
    </w:tbl>
    <w:p>
      <w:pPr>
        <w:pStyle w:val="16"/>
        <w:spacing w:line="20" w:lineRule="exact"/>
      </w:pPr>
    </w:p>
    <w:p>
      <w:pPr>
        <w:spacing w:line="20" w:lineRule="exact"/>
        <w:rPr>
          <w:rFonts w:eastAsia="黑体"/>
        </w:rPr>
      </w:pPr>
      <w:r>
        <w:rPr>
          <w:rFonts w:eastAsia="黑体"/>
        </w:rPr>
        <w:br w:type="page"/>
      </w:r>
    </w:p>
    <w:p>
      <w:pPr>
        <w:spacing w:line="578" w:lineRule="exact"/>
        <w:jc w:val="left"/>
        <w:rPr>
          <w:rFonts w:eastAsia="黑体"/>
        </w:rPr>
      </w:pPr>
      <w:r>
        <w:rPr>
          <w:rFonts w:eastAsia="黑体"/>
        </w:rPr>
        <w:t>附表</w:t>
      </w:r>
      <w:r>
        <w:rPr>
          <w:rFonts w:hint="eastAsia" w:eastAsia="黑体"/>
        </w:rPr>
        <w:t>2</w:t>
      </w:r>
    </w:p>
    <w:p>
      <w:pPr>
        <w:widowControl/>
        <w:spacing w:line="578" w:lineRule="exact"/>
        <w:jc w:val="center"/>
        <w:textAlignment w:val="center"/>
        <w:rPr>
          <w:rFonts w:eastAsia="方正小标宋简体"/>
          <w:color w:val="000000"/>
          <w:kern w:val="0"/>
          <w:sz w:val="44"/>
          <w:szCs w:val="44"/>
        </w:rPr>
      </w:pPr>
      <w:r>
        <w:rPr>
          <w:rFonts w:eastAsia="方正小标宋简体"/>
          <w:color w:val="000000"/>
          <w:kern w:val="0"/>
          <w:sz w:val="44"/>
          <w:szCs w:val="44"/>
        </w:rPr>
        <w:t>部门整体</w:t>
      </w:r>
      <w:r>
        <w:rPr>
          <w:rFonts w:hint="eastAsia" w:eastAsia="方正小标宋简体"/>
          <w:color w:val="000000"/>
          <w:kern w:val="0"/>
          <w:sz w:val="44"/>
          <w:szCs w:val="44"/>
        </w:rPr>
        <w:t>支出</w:t>
      </w:r>
      <w:r>
        <w:rPr>
          <w:rFonts w:eastAsia="方正小标宋简体"/>
          <w:color w:val="000000"/>
          <w:kern w:val="0"/>
          <w:sz w:val="44"/>
          <w:szCs w:val="44"/>
        </w:rPr>
        <w:t>绩效目标完成情况自评表</w:t>
      </w:r>
    </w:p>
    <w:tbl>
      <w:tblPr>
        <w:tblStyle w:val="12"/>
        <w:tblW w:w="9658" w:type="dxa"/>
        <w:jc w:val="center"/>
        <w:tblLayout w:type="fixed"/>
        <w:tblCellMar>
          <w:top w:w="0" w:type="dxa"/>
          <w:left w:w="108" w:type="dxa"/>
          <w:bottom w:w="0" w:type="dxa"/>
          <w:right w:w="108" w:type="dxa"/>
        </w:tblCellMar>
      </w:tblPr>
      <w:tblGrid>
        <w:gridCol w:w="331"/>
        <w:gridCol w:w="593"/>
        <w:gridCol w:w="803"/>
        <w:gridCol w:w="1246"/>
        <w:gridCol w:w="803"/>
        <w:gridCol w:w="777"/>
        <w:gridCol w:w="1018"/>
        <w:gridCol w:w="1045"/>
        <w:gridCol w:w="1111"/>
        <w:gridCol w:w="1931"/>
      </w:tblGrid>
      <w:tr>
        <w:tblPrEx>
          <w:tblCellMar>
            <w:top w:w="0" w:type="dxa"/>
            <w:left w:w="108" w:type="dxa"/>
            <w:bottom w:w="0" w:type="dxa"/>
            <w:right w:w="108" w:type="dxa"/>
          </w:tblCellMar>
        </w:tblPrEx>
        <w:trPr>
          <w:trHeight w:val="465" w:hRule="atLeast"/>
          <w:jc w:val="center"/>
        </w:trPr>
        <w:tc>
          <w:tcPr>
            <w:tcW w:w="1727" w:type="dxa"/>
            <w:gridSpan w:val="3"/>
            <w:tcBorders>
              <w:top w:val="single" w:color="000000" w:sz="4" w:space="0"/>
              <w:left w:val="single" w:color="000000" w:sz="4" w:space="0"/>
              <w:bottom w:val="single" w:color="auto" w:sz="4" w:space="0"/>
              <w:right w:val="single" w:color="000000" w:sz="4" w:space="0"/>
            </w:tcBorders>
            <w:noWrap/>
            <w:vAlign w:val="center"/>
          </w:tcPr>
          <w:p>
            <w:pPr>
              <w:rPr>
                <w:rFonts w:ascii="宋体" w:hAnsi="宋体" w:eastAsia="宋体" w:cs="宋体"/>
                <w:color w:val="000000"/>
                <w:kern w:val="0"/>
                <w:sz w:val="24"/>
              </w:rPr>
            </w:pPr>
            <w:r>
              <w:rPr>
                <w:rFonts w:eastAsia="黑体"/>
                <w:sz w:val="24"/>
              </w:rPr>
              <w:br w:type="page"/>
            </w:r>
            <w:r>
              <w:rPr>
                <w:rFonts w:hint="eastAsia" w:ascii="宋体" w:hAnsi="宋体" w:eastAsia="宋体" w:cs="宋体"/>
                <w:color w:val="000000"/>
                <w:kern w:val="0"/>
                <w:sz w:val="24"/>
              </w:rPr>
              <w:t>部门名称</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eastAsia="zh-CN"/>
              </w:rPr>
              <w:t>黑水县</w:t>
            </w:r>
            <w:r>
              <w:rPr>
                <w:rFonts w:hint="eastAsia" w:ascii="宋体" w:hAnsi="宋体" w:eastAsia="宋体" w:cs="宋体"/>
                <w:color w:val="000000"/>
                <w:kern w:val="0"/>
                <w:sz w:val="24"/>
                <w:lang w:val="en-US" w:eastAsia="zh-CN"/>
              </w:rPr>
              <w:t>融媒体中心</w:t>
            </w:r>
            <w:r>
              <w:rPr>
                <w:rFonts w:hint="eastAsia" w:ascii="宋体" w:hAnsi="宋体" w:eastAsia="宋体" w:cs="宋体"/>
                <w:color w:val="000000"/>
                <w:kern w:val="0"/>
                <w:sz w:val="24"/>
              </w:rPr>
              <w:t>2025年度部门整体绩效目标</w:t>
            </w:r>
          </w:p>
        </w:tc>
      </w:tr>
      <w:tr>
        <w:tblPrEx>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年度部门整体预算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资金总额</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其他资金</w:t>
            </w:r>
          </w:p>
        </w:tc>
      </w:tr>
      <w:tr>
        <w:tblPrEx>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收入预算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4415647.71</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4415647.71</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96"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支出预算</w:t>
            </w:r>
          </w:p>
        </w:tc>
        <w:tc>
          <w:tcPr>
            <w:tcW w:w="2049" w:type="dxa"/>
            <w:gridSpan w:val="2"/>
            <w:tcBorders>
              <w:top w:val="single" w:color="000000" w:sz="4" w:space="0"/>
              <w:left w:val="single" w:color="auto"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4415647.71</w:t>
            </w:r>
          </w:p>
        </w:tc>
        <w:tc>
          <w:tcPr>
            <w:tcW w:w="1795" w:type="dxa"/>
            <w:gridSpan w:val="2"/>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4415647.71</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296" w:hRule="atLeast"/>
          <w:jc w:val="center"/>
        </w:trPr>
        <w:tc>
          <w:tcPr>
            <w:tcW w:w="172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年度总体目标</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both"/>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（一）新闻宣传方面</w:t>
            </w:r>
          </w:p>
          <w:p>
            <w:pPr>
              <w:widowControl/>
              <w:spacing w:line="240" w:lineRule="exact"/>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一是持续做好新闻宣传工作。坚持团结稳定鼓劲、正面宣传为主的方针，围绕县委县政府的中心工作，精心策划新闻选题、丰富宣传载体、报道方式，及时准确、全面深入地宣传报道我县经济和社会事业发展的新思路、新举措、新典型、新成效，不断壮大主流思想舆论，凝聚全县上下团结奋进的磅礴力量。二是</w:t>
            </w:r>
            <w:bookmarkStart w:id="0" w:name="_GoBack"/>
            <w:bookmarkEnd w:id="0"/>
            <w:r>
              <w:rPr>
                <w:rFonts w:hint="eastAsia" w:ascii="宋体" w:hAnsi="宋体" w:eastAsia="宋体" w:cs="宋体"/>
                <w:color w:val="000000"/>
                <w:kern w:val="0"/>
                <w:sz w:val="24"/>
              </w:rPr>
              <w:t>进一步优化县级融媒体中心的功能和布局，按照新闻+政务+服务功能定位，对标“四大功能”积极拓宽“融媒+行业服务”新版块、新业务。加强媒体资源融合和新闻生产融合，不断巩固壮大主流舆论阵地，推动县级融媒体中心提质增效再上新台阶。三是拓展对外宣传渠道。积极对接上级媒体，拓展对外宣传渠道和合作方式。通过加强与中央、省、州级媒体的联动合作，提升黑水县在更大范围内的知名度和影响力。四是创新宣传报道形式。积极探索和运用新媒体技术和手段，创新宣传报道形式和内容。通过短视频、直播、H5等新媒体产品，提升宣传报道的吸引力和传播力。同时，打造具有地方特色的个人IP，通过个人视角讲述黑水故事，增强与受众的互动性。五是加强互动与合作。通过增加与受众的互动环节，增加新媒体的黏性，提升受众的参与度，提升党媒传播力。六是加强队伍建设和管理。进一步完善落实安全播出、安全生产各项制度，严格执行“三审三校”制度，严把政治导向关、新闻出</w:t>
            </w:r>
            <w:r>
              <w:rPr>
                <w:rFonts w:hint="eastAsia" w:ascii="宋体" w:hAnsi="宋体" w:eastAsia="宋体" w:cs="宋体"/>
                <w:color w:val="000000"/>
                <w:kern w:val="0"/>
                <w:sz w:val="24"/>
                <w:lang w:eastAsia="zh-CN"/>
              </w:rPr>
              <w:t>版</w:t>
            </w:r>
            <w:r>
              <w:rPr>
                <w:rFonts w:hint="eastAsia" w:ascii="宋体" w:hAnsi="宋体" w:eastAsia="宋体" w:cs="宋体"/>
                <w:color w:val="000000"/>
                <w:kern w:val="0"/>
                <w:sz w:val="24"/>
              </w:rPr>
              <w:t>关，巩固意识形态阵地，确保舆论导向正确。通过培训、交流等方式，不断提高队伍的整体素质和水平，为新闻宣传工作提供有力的人才保障。同时，着重激发记者的主观能动性，鼓励其发挥个人特长和创意，共同推动新闻宣传工作再上新台阶。</w:t>
            </w:r>
          </w:p>
          <w:p>
            <w:pPr>
              <w:widowControl/>
              <w:spacing w:line="240" w:lineRule="exact"/>
              <w:jc w:val="both"/>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（二）网络运维方面</w:t>
            </w:r>
          </w:p>
          <w:p>
            <w:pPr>
              <w:widowControl/>
              <w:spacing w:line="240" w:lineRule="exact"/>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一是奋力推进高清化进程。完成500户有线电视用户“标转高”工作。完成5个酒店的“标转高”落地。二是积极争取政府购买有线电视服务政策，做好统计工作。实现有线电视免费覆盖。三是继续拓宽有条件的农村有线电视无线覆盖。减少覆盖盲区，做好发射基站运行维护。四是持续加强网络运维、安全播出专业技能培训，进一步提高职工的安全意识和操作技能。五是推进192广电号段推广工作，完善管理办法，突出个性定位，加快192广电电话号段推广工作。</w:t>
            </w:r>
          </w:p>
        </w:tc>
      </w:tr>
      <w:tr>
        <w:tblPrEx>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管理效率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二级指标</w:t>
            </w:r>
          </w:p>
        </w:tc>
        <w:tc>
          <w:tcPr>
            <w:tcW w:w="12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指标值</w:t>
            </w:r>
          </w:p>
        </w:tc>
        <w:tc>
          <w:tcPr>
            <w:tcW w:w="3951"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指标设置参考值</w:t>
            </w:r>
          </w:p>
        </w:tc>
        <w:tc>
          <w:tcPr>
            <w:tcW w:w="1931"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指标实际完成值</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777" w:type="dxa"/>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三年</w:t>
            </w:r>
          </w:p>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2023</w:t>
            </w:r>
            <w:r>
              <w:rPr>
                <w:rFonts w:ascii="宋体" w:hAnsi="宋体" w:eastAsia="宋体" w:cs="宋体"/>
                <w:color w:val="000000"/>
                <w:kern w:val="0"/>
                <w:sz w:val="24"/>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2024</w:t>
            </w:r>
            <w:r>
              <w:rPr>
                <w:rFonts w:ascii="宋体" w:hAnsi="宋体" w:eastAsia="宋体" w:cs="宋体"/>
                <w:color w:val="000000"/>
                <w:kern w:val="0"/>
                <w:sz w:val="24"/>
              </w:rPr>
              <w:t>年</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2025</w:t>
            </w:r>
            <w:r>
              <w:rPr>
                <w:rFonts w:ascii="宋体" w:hAnsi="宋体" w:eastAsia="宋体" w:cs="宋体"/>
                <w:color w:val="000000"/>
                <w:kern w:val="0"/>
                <w:sz w:val="24"/>
              </w:rPr>
              <w:t>年</w:t>
            </w:r>
          </w:p>
        </w:tc>
        <w:tc>
          <w:tcPr>
            <w:tcW w:w="19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成本指标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预算管理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财政拨款</w:t>
            </w:r>
            <w:r>
              <w:rPr>
                <w:rFonts w:ascii="宋体" w:hAnsi="宋体" w:eastAsia="宋体" w:cs="宋体"/>
                <w:color w:val="000000"/>
                <w:kern w:val="0"/>
                <w:sz w:val="24"/>
              </w:rPr>
              <w:t>预算编制偏离度</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69.82</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101.36%</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52.95%</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55.15%</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55.15%</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单位收入统筹度</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49.35</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48.71%</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预算年终结余</w:t>
            </w:r>
            <w:r>
              <w:rPr>
                <w:rFonts w:ascii="宋体" w:hAnsi="宋体" w:eastAsia="宋体" w:cs="宋体"/>
                <w:color w:val="000000"/>
                <w:kern w:val="0"/>
                <w:sz w:val="24"/>
              </w:rPr>
              <w:t>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一般性支出</w:t>
            </w:r>
            <w:r>
              <w:rPr>
                <w:rFonts w:ascii="宋体" w:hAnsi="宋体" w:eastAsia="宋体" w:cs="宋体"/>
                <w:color w:val="000000"/>
                <w:kern w:val="0"/>
                <w:sz w:val="24"/>
              </w:rPr>
              <w:t>金额</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万元</w:t>
            </w:r>
          </w:p>
        </w:tc>
        <w:tc>
          <w:tcPr>
            <w:tcW w:w="3951"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为上年一般性支出金额</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182042.95</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财务管理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财务管理规范</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p>
        </w:tc>
        <w:tc>
          <w:tcPr>
            <w:tcW w:w="3951"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为“优”“良”“中”或“差”</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优</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资产管理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资产配置预算偏离度</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采购管理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采购执行率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≥x%</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lang w:val="en-US" w:eastAsia="zh-CN"/>
              </w:rPr>
              <w:t>100</w:t>
            </w:r>
            <w:r>
              <w:rPr>
                <w:rFonts w:ascii="宋体" w:hAns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100%</w:t>
            </w:r>
          </w:p>
        </w:tc>
      </w:tr>
      <w:tr>
        <w:tblPrEx>
          <w:tblCellMar>
            <w:top w:w="0" w:type="dxa"/>
            <w:left w:w="108" w:type="dxa"/>
            <w:bottom w:w="0" w:type="dxa"/>
            <w:right w:w="108" w:type="dxa"/>
          </w:tblCellMar>
        </w:tblPrEx>
        <w:trPr>
          <w:trHeight w:val="468"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履职效能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一级指标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二级指标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三级指标</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指标值（包含数字及文字描述）</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r>
      <w:tr>
        <w:tblPrEx>
          <w:tblCellMar>
            <w:top w:w="0" w:type="dxa"/>
            <w:left w:w="108" w:type="dxa"/>
            <w:bottom w:w="0" w:type="dxa"/>
            <w:right w:w="108" w:type="dxa"/>
          </w:tblCellMar>
        </w:tblPrEx>
        <w:trPr>
          <w:trHeight w:val="186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产出指标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保障本单位19名在职职工工资、绩效以及单位缴费</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保障本单位19名在职职工工资、绩效以及单位缴费</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19名</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时效指标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保障年底本单位所有费用正常完成报账进度</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保障年底本单位所有费用正常完成报账进度</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12月</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质量指标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保障本单位19名在职职工的日常正常运行</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rPr>
            </w:pPr>
            <w:r>
              <w:rPr>
                <w:rFonts w:hint="eastAsia" w:ascii="宋体" w:hAnsi="宋体" w:eastAsia="宋体" w:cs="宋体"/>
                <w:i w:val="0"/>
                <w:iCs w:val="0"/>
                <w:color w:val="000000"/>
                <w:kern w:val="0"/>
                <w:sz w:val="22"/>
                <w:szCs w:val="22"/>
                <w:u w:val="none"/>
                <w:lang w:val="en-US" w:eastAsia="zh-CN" w:bidi="ar"/>
              </w:rPr>
              <w:t>保障本单位19名在职职工的日常正常运行</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19名</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时效指标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政府购买服务人员劳务报酬每月按时发放工资</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政府购买服务人员劳务报酬每月按时发放工资</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97%</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color w:val="000000"/>
                <w:kern w:val="0"/>
                <w:sz w:val="24"/>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购买广播电视节目专业器材设备1套</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购买广播电视节目专业器材设备1套</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1套</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视频拍摄制作服务13人</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视频拍摄制作服务13人</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rPr>
            </w:pPr>
            <w:r>
              <w:rPr>
                <w:rFonts w:hint="eastAsia" w:ascii="宋体" w:hAnsi="宋体" w:eastAsia="宋体" w:cs="宋体"/>
                <w:color w:val="000000"/>
                <w:kern w:val="0"/>
                <w:sz w:val="24"/>
                <w:lang w:val="en-US" w:eastAsia="zh-CN"/>
              </w:rPr>
              <w:t>≤13人</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vMerge w:val="continue"/>
            <w:tcBorders>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宣传片拍摄制作费用5万元</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宣传片拍摄制作费用5万元</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rPr>
            </w:pPr>
            <w:r>
              <w:rPr>
                <w:rFonts w:hint="eastAsia" w:ascii="宋体" w:hAnsi="宋体" w:eastAsia="宋体" w:cs="宋体"/>
                <w:color w:val="000000"/>
                <w:kern w:val="0"/>
                <w:sz w:val="24"/>
                <w:lang w:val="en-US" w:eastAsia="zh-CN"/>
              </w:rPr>
              <w:t>≤5万元</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效益指标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rPr>
              <w:t>社会效益指标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更好的、全方位的宣传党的民族政策、环保意识、促进社会稳定</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rPr>
            </w:pPr>
            <w:r>
              <w:rPr>
                <w:rFonts w:hint="eastAsia" w:ascii="宋体" w:hAnsi="宋体" w:eastAsia="宋体" w:cs="宋体"/>
                <w:color w:val="000000"/>
                <w:kern w:val="0"/>
                <w:sz w:val="24"/>
              </w:rPr>
              <w:t>更好的、全方位的宣传党的民族政策、环保意识、促进社会稳定</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98%</w:t>
            </w:r>
          </w:p>
        </w:tc>
      </w:tr>
    </w:tbl>
    <w:p>
      <w:pPr>
        <w:rPr>
          <w:rFonts w:eastAsia="黑体"/>
          <w:sz w:val="24"/>
        </w:rPr>
      </w:pPr>
    </w:p>
    <w:p/>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仿宋"/>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2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path/>
          <v:fill on="f" focussize="0,0"/>
          <v:stroke on="f" weight="0.5pt" joinstyle="miter"/>
          <v:imagedata o:title=""/>
          <o:lock v:ext="edit"/>
          <v:textbox inset="0mm,0mm,0mm,0mm" style="mso-fit-shape-to-text:t;">
            <w:txbxContent>
              <w:p>
                <w:pPr>
                  <w:pStyle w:val="7"/>
                  <w:ind w:right="451" w:rightChars="141"/>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FF8BAE"/>
    <w:multiLevelType w:val="singleLevel"/>
    <w:tmpl w:val="DCFF8BAE"/>
    <w:lvl w:ilvl="0" w:tentative="0">
      <w:start w:val="1"/>
      <w:numFmt w:val="decimal"/>
      <w:lvlText w:val="%1."/>
      <w:lvlJc w:val="left"/>
      <w:pPr>
        <w:tabs>
          <w:tab w:val="left" w:pos="312"/>
        </w:tabs>
      </w:pPr>
    </w:lvl>
  </w:abstractNum>
  <w:abstractNum w:abstractNumId="1">
    <w:nsid w:val="2ABFAFE4"/>
    <w:multiLevelType w:val="singleLevel"/>
    <w:tmpl w:val="2ABFAFE4"/>
    <w:lvl w:ilvl="0" w:tentative="0">
      <w:start w:val="4"/>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nforcement="0"/>
  <w:defaultTabStop w:val="420"/>
  <w:drawingGridHorizontalSpacing w:val="160"/>
  <w:drawingGridVerticalSpacing w:val="435"/>
  <w:displayHorizontalDrawingGridEvery w:val="1"/>
  <w:displayVerticalDrawingGridEvery w:val="1"/>
  <w:noPunctuationKerning w:val="true"/>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1224"/>
    <w:rsid w:val="004A4C9D"/>
    <w:rsid w:val="004C2078"/>
    <w:rsid w:val="004C228F"/>
    <w:rsid w:val="004E752F"/>
    <w:rsid w:val="004F1E37"/>
    <w:rsid w:val="00515198"/>
    <w:rsid w:val="00521C44"/>
    <w:rsid w:val="00527206"/>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D1F80"/>
    <w:rsid w:val="006E51AE"/>
    <w:rsid w:val="0070081F"/>
    <w:rsid w:val="007018F5"/>
    <w:rsid w:val="00710897"/>
    <w:rsid w:val="00712F45"/>
    <w:rsid w:val="00734305"/>
    <w:rsid w:val="007370E1"/>
    <w:rsid w:val="007732A1"/>
    <w:rsid w:val="00774C4A"/>
    <w:rsid w:val="00782BBB"/>
    <w:rsid w:val="007A0690"/>
    <w:rsid w:val="007A078F"/>
    <w:rsid w:val="007A0985"/>
    <w:rsid w:val="007B34D4"/>
    <w:rsid w:val="007C0633"/>
    <w:rsid w:val="007D086C"/>
    <w:rsid w:val="007F1BE1"/>
    <w:rsid w:val="007F707F"/>
    <w:rsid w:val="007F794C"/>
    <w:rsid w:val="007F7AC9"/>
    <w:rsid w:val="00803B42"/>
    <w:rsid w:val="008073EF"/>
    <w:rsid w:val="0081095C"/>
    <w:rsid w:val="00810C41"/>
    <w:rsid w:val="008212FF"/>
    <w:rsid w:val="0082593B"/>
    <w:rsid w:val="00827537"/>
    <w:rsid w:val="008468EA"/>
    <w:rsid w:val="00867140"/>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16EA"/>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B4EB4"/>
    <w:rsid w:val="00FD0228"/>
    <w:rsid w:val="00FD3BB7"/>
    <w:rsid w:val="00FE0D93"/>
    <w:rsid w:val="00FF2572"/>
    <w:rsid w:val="00FF32AD"/>
    <w:rsid w:val="07EA3388"/>
    <w:rsid w:val="0DC31556"/>
    <w:rsid w:val="13141F14"/>
    <w:rsid w:val="19FD2FB1"/>
    <w:rsid w:val="1A3D6143"/>
    <w:rsid w:val="1C013801"/>
    <w:rsid w:val="1C7F9B9E"/>
    <w:rsid w:val="1DFD8D3B"/>
    <w:rsid w:val="1FB79DC9"/>
    <w:rsid w:val="1FBFC3F2"/>
    <w:rsid w:val="1FFFE033"/>
    <w:rsid w:val="212D656F"/>
    <w:rsid w:val="27F352A6"/>
    <w:rsid w:val="284A2F83"/>
    <w:rsid w:val="2D527252"/>
    <w:rsid w:val="2DDC1740"/>
    <w:rsid w:val="2EAE55F2"/>
    <w:rsid w:val="2EDF4302"/>
    <w:rsid w:val="2EFE1A04"/>
    <w:rsid w:val="2FFF3854"/>
    <w:rsid w:val="35BBF80F"/>
    <w:rsid w:val="3B0B3937"/>
    <w:rsid w:val="3B736F08"/>
    <w:rsid w:val="3B7BA6C9"/>
    <w:rsid w:val="3BE3D531"/>
    <w:rsid w:val="3D431A40"/>
    <w:rsid w:val="3E476EBB"/>
    <w:rsid w:val="3EFF42CA"/>
    <w:rsid w:val="3F6FCA38"/>
    <w:rsid w:val="3F9F3E33"/>
    <w:rsid w:val="3FD5AF3D"/>
    <w:rsid w:val="3FFED8BE"/>
    <w:rsid w:val="3FFF43BB"/>
    <w:rsid w:val="3FFF8C20"/>
    <w:rsid w:val="3FFFFC14"/>
    <w:rsid w:val="433DCF8E"/>
    <w:rsid w:val="45FF973D"/>
    <w:rsid w:val="47550EBA"/>
    <w:rsid w:val="498D75D5"/>
    <w:rsid w:val="4BF7E09D"/>
    <w:rsid w:val="4CAE431E"/>
    <w:rsid w:val="4DC95E1B"/>
    <w:rsid w:val="537D7F0A"/>
    <w:rsid w:val="53BB74FC"/>
    <w:rsid w:val="55FDDF92"/>
    <w:rsid w:val="55FFBC03"/>
    <w:rsid w:val="56CDA72E"/>
    <w:rsid w:val="576F5916"/>
    <w:rsid w:val="577FDAE2"/>
    <w:rsid w:val="57FBE2C7"/>
    <w:rsid w:val="5B335734"/>
    <w:rsid w:val="5B7F322F"/>
    <w:rsid w:val="5BCAB023"/>
    <w:rsid w:val="5BEACB58"/>
    <w:rsid w:val="5CFBB71D"/>
    <w:rsid w:val="5D8649C7"/>
    <w:rsid w:val="5DDA9B94"/>
    <w:rsid w:val="5EAB810D"/>
    <w:rsid w:val="5EFA9846"/>
    <w:rsid w:val="5EFF9DA6"/>
    <w:rsid w:val="5F7751B9"/>
    <w:rsid w:val="5F9F7232"/>
    <w:rsid w:val="5F9F9588"/>
    <w:rsid w:val="5FBD32D2"/>
    <w:rsid w:val="5FD450B0"/>
    <w:rsid w:val="5FEF60CD"/>
    <w:rsid w:val="5FFB203D"/>
    <w:rsid w:val="5FFB8CF9"/>
    <w:rsid w:val="63DBAF21"/>
    <w:rsid w:val="6636451A"/>
    <w:rsid w:val="67DE80AA"/>
    <w:rsid w:val="697E3B47"/>
    <w:rsid w:val="69BF132E"/>
    <w:rsid w:val="6B7F84D8"/>
    <w:rsid w:val="6BFEE5F3"/>
    <w:rsid w:val="6C660558"/>
    <w:rsid w:val="6CAFF34E"/>
    <w:rsid w:val="6CFFCF4F"/>
    <w:rsid w:val="6DFFF8B6"/>
    <w:rsid w:val="6E9FE641"/>
    <w:rsid w:val="6EEDE807"/>
    <w:rsid w:val="6EEE4BE4"/>
    <w:rsid w:val="6EF65E9C"/>
    <w:rsid w:val="6F3D33C4"/>
    <w:rsid w:val="6F3D9197"/>
    <w:rsid w:val="6F6F75B6"/>
    <w:rsid w:val="6FAB3EC4"/>
    <w:rsid w:val="6FB6AF41"/>
    <w:rsid w:val="6FD52DA7"/>
    <w:rsid w:val="6FD894C8"/>
    <w:rsid w:val="6FE36A9E"/>
    <w:rsid w:val="6FEFB2D1"/>
    <w:rsid w:val="6FFF97E6"/>
    <w:rsid w:val="70893365"/>
    <w:rsid w:val="71397E03"/>
    <w:rsid w:val="71FB5B08"/>
    <w:rsid w:val="73FB87D9"/>
    <w:rsid w:val="75EF0FBA"/>
    <w:rsid w:val="7607C293"/>
    <w:rsid w:val="76793C4E"/>
    <w:rsid w:val="767B0EE7"/>
    <w:rsid w:val="76DF783A"/>
    <w:rsid w:val="76DFA4E8"/>
    <w:rsid w:val="771F844E"/>
    <w:rsid w:val="778720BD"/>
    <w:rsid w:val="77A7D615"/>
    <w:rsid w:val="77FF366A"/>
    <w:rsid w:val="77FF8C96"/>
    <w:rsid w:val="77FFA8F9"/>
    <w:rsid w:val="7976604B"/>
    <w:rsid w:val="79F3BC78"/>
    <w:rsid w:val="7A5B6CAA"/>
    <w:rsid w:val="7A9314AC"/>
    <w:rsid w:val="7B4F6850"/>
    <w:rsid w:val="7BABD5C4"/>
    <w:rsid w:val="7BB12055"/>
    <w:rsid w:val="7BBFADBA"/>
    <w:rsid w:val="7BF7F9C6"/>
    <w:rsid w:val="7BFF492D"/>
    <w:rsid w:val="7C631402"/>
    <w:rsid w:val="7C978C63"/>
    <w:rsid w:val="7CA35AD0"/>
    <w:rsid w:val="7CDF8BC3"/>
    <w:rsid w:val="7CEB72A5"/>
    <w:rsid w:val="7D18750B"/>
    <w:rsid w:val="7DDFDC39"/>
    <w:rsid w:val="7DF5BDEF"/>
    <w:rsid w:val="7DFDEECD"/>
    <w:rsid w:val="7E140770"/>
    <w:rsid w:val="7E5D92FB"/>
    <w:rsid w:val="7E635AE7"/>
    <w:rsid w:val="7EF51D64"/>
    <w:rsid w:val="7EFFF488"/>
    <w:rsid w:val="7F574612"/>
    <w:rsid w:val="7F7F4920"/>
    <w:rsid w:val="7F9D05A9"/>
    <w:rsid w:val="7FB7C299"/>
    <w:rsid w:val="7FBFFB92"/>
    <w:rsid w:val="7FD76ACB"/>
    <w:rsid w:val="7FD89DA2"/>
    <w:rsid w:val="7FDBD805"/>
    <w:rsid w:val="7FDEC14D"/>
    <w:rsid w:val="7FDF8B76"/>
    <w:rsid w:val="7FDFE693"/>
    <w:rsid w:val="7FEFB5DD"/>
    <w:rsid w:val="7FEFBBD9"/>
    <w:rsid w:val="7FFD6A57"/>
    <w:rsid w:val="7FFDA7EC"/>
    <w:rsid w:val="7FFDEA1E"/>
    <w:rsid w:val="7FFEC1F6"/>
    <w:rsid w:val="7FFF0917"/>
    <w:rsid w:val="7FFF2F52"/>
    <w:rsid w:val="8F7B4EC8"/>
    <w:rsid w:val="8FBD4480"/>
    <w:rsid w:val="8FF7AE96"/>
    <w:rsid w:val="955F5184"/>
    <w:rsid w:val="9F6311D7"/>
    <w:rsid w:val="9FF54399"/>
    <w:rsid w:val="A46D76C1"/>
    <w:rsid w:val="A7FF43C2"/>
    <w:rsid w:val="ABF66286"/>
    <w:rsid w:val="AD9E3F04"/>
    <w:rsid w:val="ADA70464"/>
    <w:rsid w:val="AFE97CD3"/>
    <w:rsid w:val="B1BF5C63"/>
    <w:rsid w:val="B1FF3A18"/>
    <w:rsid w:val="B3CDF284"/>
    <w:rsid w:val="B3E8107B"/>
    <w:rsid w:val="B579A608"/>
    <w:rsid w:val="B5F66F24"/>
    <w:rsid w:val="B7F5200A"/>
    <w:rsid w:val="BABDA1AA"/>
    <w:rsid w:val="BB1B4BF1"/>
    <w:rsid w:val="BBE5FE68"/>
    <w:rsid w:val="BBFEB9C1"/>
    <w:rsid w:val="BDF7406A"/>
    <w:rsid w:val="BE6FD8DB"/>
    <w:rsid w:val="BEEF57C2"/>
    <w:rsid w:val="BF6CD6FF"/>
    <w:rsid w:val="BF6D5596"/>
    <w:rsid w:val="BFBEBB2C"/>
    <w:rsid w:val="BFC68935"/>
    <w:rsid w:val="BFDD0F1D"/>
    <w:rsid w:val="BFDDD096"/>
    <w:rsid w:val="C5B3F496"/>
    <w:rsid w:val="C96F3E49"/>
    <w:rsid w:val="CBBF14F3"/>
    <w:rsid w:val="CBE5DCF2"/>
    <w:rsid w:val="CCFCC735"/>
    <w:rsid w:val="CEEB8A74"/>
    <w:rsid w:val="D37FB642"/>
    <w:rsid w:val="D7F99798"/>
    <w:rsid w:val="D7FF400C"/>
    <w:rsid w:val="D9DB2628"/>
    <w:rsid w:val="DAFFAB8C"/>
    <w:rsid w:val="DBED1CD4"/>
    <w:rsid w:val="DBFBB328"/>
    <w:rsid w:val="DDD7453A"/>
    <w:rsid w:val="DE3E1FD7"/>
    <w:rsid w:val="DEBFCF8E"/>
    <w:rsid w:val="DFBE1B79"/>
    <w:rsid w:val="DFCF1FEC"/>
    <w:rsid w:val="DFE75A3D"/>
    <w:rsid w:val="DFED2117"/>
    <w:rsid w:val="DFEF594B"/>
    <w:rsid w:val="DFF3F960"/>
    <w:rsid w:val="DFFE0D61"/>
    <w:rsid w:val="E35C4B3C"/>
    <w:rsid w:val="E3A781CA"/>
    <w:rsid w:val="E5DFAB50"/>
    <w:rsid w:val="E6FC647F"/>
    <w:rsid w:val="EAE6D6D4"/>
    <w:rsid w:val="EBFBC8F1"/>
    <w:rsid w:val="EBFDF757"/>
    <w:rsid w:val="ED758B5D"/>
    <w:rsid w:val="ED76A08D"/>
    <w:rsid w:val="EDBDD81F"/>
    <w:rsid w:val="EDFDB542"/>
    <w:rsid w:val="EF0FCF96"/>
    <w:rsid w:val="EF7F3FF6"/>
    <w:rsid w:val="EF95E20F"/>
    <w:rsid w:val="EFAF7DFF"/>
    <w:rsid w:val="EFAFB283"/>
    <w:rsid w:val="EFBDA38B"/>
    <w:rsid w:val="EFEE9A76"/>
    <w:rsid w:val="F1BF6FBC"/>
    <w:rsid w:val="F1F9A9B5"/>
    <w:rsid w:val="F3779FC2"/>
    <w:rsid w:val="F3D5C239"/>
    <w:rsid w:val="F3F37DF4"/>
    <w:rsid w:val="F3F96DE6"/>
    <w:rsid w:val="F3FBC54A"/>
    <w:rsid w:val="F47BB68A"/>
    <w:rsid w:val="F47F523E"/>
    <w:rsid w:val="F69FD6B0"/>
    <w:rsid w:val="F6BEF9AB"/>
    <w:rsid w:val="F7E7F921"/>
    <w:rsid w:val="F7F7AC6A"/>
    <w:rsid w:val="F7FD93B9"/>
    <w:rsid w:val="F8D9A400"/>
    <w:rsid w:val="FABF64A5"/>
    <w:rsid w:val="FABF7411"/>
    <w:rsid w:val="FBA53981"/>
    <w:rsid w:val="FBE4457E"/>
    <w:rsid w:val="FBFC558A"/>
    <w:rsid w:val="FBFF71AC"/>
    <w:rsid w:val="FBFFEA2B"/>
    <w:rsid w:val="FCCB27AA"/>
    <w:rsid w:val="FCFF8F4B"/>
    <w:rsid w:val="FD9595AD"/>
    <w:rsid w:val="FDDF4F05"/>
    <w:rsid w:val="FDF9DD9A"/>
    <w:rsid w:val="FDFD5427"/>
    <w:rsid w:val="FDFF2821"/>
    <w:rsid w:val="FDFFA696"/>
    <w:rsid w:val="FDFFBD20"/>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921F59"/>
    <w:rsid w:val="FFAF540A"/>
    <w:rsid w:val="FFB75E44"/>
    <w:rsid w:val="FFBB1E09"/>
    <w:rsid w:val="FFBB6A0C"/>
    <w:rsid w:val="FFBD894B"/>
    <w:rsid w:val="FFBF33B3"/>
    <w:rsid w:val="FFD09362"/>
    <w:rsid w:val="FFD1DA08"/>
    <w:rsid w:val="FFD54B8A"/>
    <w:rsid w:val="FFD7DEDD"/>
    <w:rsid w:val="FFDE369F"/>
    <w:rsid w:val="FFEF98C9"/>
    <w:rsid w:val="FFEFCE62"/>
    <w:rsid w:val="FFF973B0"/>
    <w:rsid w:val="FFFB4F05"/>
    <w:rsid w:val="FFFEC8F5"/>
    <w:rsid w:val="FFFEFE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beforeLines="50" w:line="360" w:lineRule="auto"/>
      <w:ind w:firstLine="480" w:firstLineChars="200"/>
    </w:pPr>
    <w:rPr>
      <w:rFonts w:eastAsia="仿宋"/>
      <w:sz w:val="24"/>
      <w:szCs w:val="23"/>
      <w:lang w:eastAsia="ar-SA"/>
    </w:rPr>
  </w:style>
  <w:style w:type="paragraph" w:styleId="3">
    <w:name w:val="Document Map"/>
    <w:basedOn w:val="1"/>
    <w:link w:val="19"/>
    <w:qFormat/>
    <w:uiPriority w:val="0"/>
    <w:rPr>
      <w:rFonts w:ascii="宋体" w:eastAsia="宋体"/>
      <w:sz w:val="18"/>
      <w:szCs w:val="18"/>
    </w:rPr>
  </w:style>
  <w:style w:type="paragraph" w:styleId="4">
    <w:name w:val="Body Text"/>
    <w:basedOn w:val="1"/>
    <w:next w:val="1"/>
    <w:qFormat/>
    <w:uiPriority w:val="0"/>
    <w:pPr>
      <w:spacing w:after="120"/>
    </w:pPr>
  </w:style>
  <w:style w:type="paragraph" w:styleId="5">
    <w:name w:val="Body Text Indent"/>
    <w:basedOn w:val="1"/>
    <w:qFormat/>
    <w:uiPriority w:val="0"/>
    <w:pPr>
      <w:spacing w:after="120"/>
      <w:ind w:left="200" w:leftChars="200"/>
    </w:pPr>
    <w:rPr>
      <w:rFonts w:ascii="仿宋_GB2312"/>
      <w:szCs w:val="32"/>
    </w:rPr>
  </w:style>
  <w:style w:type="paragraph" w:styleId="6">
    <w:name w:val="Balloon Text"/>
    <w:basedOn w:val="1"/>
    <w:semiHidden/>
    <w:qFormat/>
    <w:uiPriority w:val="0"/>
    <w:rPr>
      <w:sz w:val="18"/>
      <w:szCs w:val="18"/>
    </w:rPr>
  </w:style>
  <w:style w:type="paragraph" w:styleId="7">
    <w:name w:val="footer"/>
    <w:basedOn w:val="1"/>
    <w:link w:val="21"/>
    <w:qFormat/>
    <w:uiPriority w:val="99"/>
    <w:pPr>
      <w:tabs>
        <w:tab w:val="center" w:pos="4153"/>
        <w:tab w:val="right" w:pos="8306"/>
      </w:tabs>
      <w:snapToGrid w:val="0"/>
      <w:jc w:val="left"/>
    </w:pPr>
    <w:rPr>
      <w:rFonts w:eastAsia="宋体"/>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9">
    <w:name w:val="toc 1"/>
    <w:basedOn w:val="1"/>
    <w:next w:val="1"/>
    <w:qFormat/>
    <w:uiPriority w:val="0"/>
  </w:style>
  <w:style w:type="paragraph" w:styleId="10">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paragraph" w:styleId="11">
    <w:name w:val="Body Text First Indent 2"/>
    <w:basedOn w:val="5"/>
    <w:unhideWhenUsed/>
    <w:qFormat/>
    <w:uiPriority w:val="99"/>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qFormat/>
    <w:uiPriority w:val="0"/>
  </w:style>
  <w:style w:type="paragraph" w:customStyle="1" w:styleId="16">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7">
    <w:name w:val="四号正文"/>
    <w:basedOn w:val="1"/>
    <w:link w:val="18"/>
    <w:qFormat/>
    <w:uiPriority w:val="0"/>
    <w:pPr>
      <w:spacing w:line="360" w:lineRule="auto"/>
    </w:pPr>
    <w:rPr>
      <w:rFonts w:ascii="??" w:hAnsi="??" w:eastAsia="宋体" w:cs="宋体"/>
      <w:color w:val="000000"/>
      <w:kern w:val="0"/>
      <w:sz w:val="28"/>
      <w:szCs w:val="21"/>
    </w:rPr>
  </w:style>
  <w:style w:type="character" w:customStyle="1" w:styleId="18">
    <w:name w:val="四号正文 Char"/>
    <w:basedOn w:val="14"/>
    <w:link w:val="17"/>
    <w:qFormat/>
    <w:uiPriority w:val="0"/>
    <w:rPr>
      <w:rFonts w:ascii="??" w:hAnsi="??" w:eastAsia="宋体" w:cs="宋体"/>
      <w:color w:val="000000"/>
      <w:sz w:val="28"/>
      <w:szCs w:val="21"/>
      <w:lang w:val="en-US" w:eastAsia="zh-CN" w:bidi="ar-SA"/>
    </w:rPr>
  </w:style>
  <w:style w:type="character" w:customStyle="1" w:styleId="19">
    <w:name w:val="文档结构图 Char"/>
    <w:basedOn w:val="14"/>
    <w:link w:val="3"/>
    <w:qFormat/>
    <w:uiPriority w:val="0"/>
    <w:rPr>
      <w:rFonts w:ascii="宋体"/>
      <w:kern w:val="2"/>
      <w:sz w:val="18"/>
      <w:szCs w:val="18"/>
    </w:rPr>
  </w:style>
  <w:style w:type="paragraph" w:customStyle="1" w:styleId="20">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1">
    <w:name w:val="页脚 Char"/>
    <w:basedOn w:val="14"/>
    <w:link w:val="7"/>
    <w:qFormat/>
    <w:uiPriority w:val="99"/>
    <w:rPr>
      <w:kern w:val="2"/>
      <w:sz w:val="18"/>
      <w:szCs w:val="18"/>
    </w:rPr>
  </w:style>
  <w:style w:type="character" w:customStyle="1" w:styleId="22">
    <w:name w:val="font31"/>
    <w:basedOn w:val="14"/>
    <w:qFormat/>
    <w:uiPriority w:val="0"/>
    <w:rPr>
      <w:rFonts w:hint="eastAsia" w:ascii="宋体" w:hAnsi="宋体" w:eastAsia="宋体" w:cs="宋体"/>
      <w:color w:val="000000"/>
      <w:sz w:val="24"/>
      <w:szCs w:val="24"/>
      <w:u w:val="none"/>
    </w:rPr>
  </w:style>
  <w:style w:type="character" w:customStyle="1" w:styleId="23">
    <w:name w:val="font51"/>
    <w:basedOn w:val="14"/>
    <w:qFormat/>
    <w:uiPriority w:val="0"/>
    <w:rPr>
      <w:rFonts w:hint="default" w:ascii="Wingdings 2" w:hAnsi="Wingdings 2" w:eastAsia="Wingdings 2" w:cs="Wingdings 2"/>
      <w:color w:val="000000"/>
      <w:sz w:val="18"/>
      <w:szCs w:val="18"/>
      <w:u w:val="none"/>
    </w:rPr>
  </w:style>
  <w:style w:type="character" w:customStyle="1" w:styleId="24">
    <w:name w:val="font01"/>
    <w:basedOn w:val="14"/>
    <w:qFormat/>
    <w:uiPriority w:val="0"/>
    <w:rPr>
      <w:rFonts w:ascii="宋体" w:hAnsi="宋体" w:eastAsia="宋体" w:cs="宋体"/>
      <w:color w:val="000000"/>
      <w:sz w:val="18"/>
      <w:szCs w:val="18"/>
      <w:u w:val="none"/>
    </w:rPr>
  </w:style>
  <w:style w:type="character" w:customStyle="1" w:styleId="25">
    <w:name w:val="font41"/>
    <w:basedOn w:val="14"/>
    <w:qFormat/>
    <w:uiPriority w:val="0"/>
    <w:rPr>
      <w:rFonts w:ascii="宋体" w:hAnsi="宋体" w:eastAsia="宋体" w:cs="宋体"/>
      <w:color w:val="000000"/>
      <w:sz w:val="18"/>
      <w:szCs w:val="18"/>
      <w:u w:val="none"/>
    </w:rPr>
  </w:style>
  <w:style w:type="character" w:customStyle="1" w:styleId="26">
    <w:name w:val="font11"/>
    <w:qFormat/>
    <w:uiPriority w:val="0"/>
    <w:rPr>
      <w:rFonts w:hint="eastAsia" w:ascii="宋体" w:hAnsi="宋体" w:eastAsia="宋体" w:cs="宋体"/>
      <w:b/>
      <w:bCs/>
      <w:color w:val="000000"/>
      <w:sz w:val="21"/>
      <w:szCs w:val="21"/>
      <w:u w:val="none"/>
    </w:rPr>
  </w:style>
  <w:style w:type="character" w:customStyle="1" w:styleId="27">
    <w:name w:val="font2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PSZX</Company>
  <Pages>14</Pages>
  <Words>6940</Words>
  <Characters>7349</Characters>
  <Lines>20</Lines>
  <Paragraphs>5</Paragraphs>
  <TotalTime>248</TotalTime>
  <ScaleCrop>false</ScaleCrop>
  <LinksUpToDate>false</LinksUpToDate>
  <CharactersWithSpaces>7418</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2019-06-03T11:06:00Z</dcterms:created>
  <dc:creator>陈萍</dc:creator>
  <cp:lastModifiedBy>user</cp:lastModifiedBy>
  <cp:lastPrinted>2026-03-18T07:00:00Z</cp:lastPrinted>
  <dcterms:modified xsi:type="dcterms:W3CDTF">2026-10-15T15:00:46Z</dcterms:modified>
  <dc:title>区域性就业培训基地建设项目</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EA0448A1106B0901B2EE4969E222A9A1</vt:lpwstr>
  </property>
  <property fmtid="{D5CDD505-2E9C-101B-9397-08002B2CF9AE}" pid="4" name="KSOTemplateDocerSaveRecord">
    <vt:lpwstr>eyJoZGlkIjoiYmMxZWViYzY2OTBkMWNmMDZlNjI2NmUwYzQyZTk2ZTMiLCJ1c2VySWQiOiIxMTM5OTQ5NTAyIn0=</vt:lpwstr>
  </property>
</Properties>
</file>