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DF1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contextualSpacing/>
        <w:textAlignment w:val="auto"/>
        <w:outlineLvl w:val="9"/>
        <w:rPr>
          <w:rFonts w:hint="default" w:ascii="Times New Roman" w:hAnsi="Times New Roman" w:eastAsia="黑体" w:cs="Times New Roman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黑体" w:cs="Times New Roman"/>
          <w:szCs w:val="32"/>
          <w:highlight w:val="none"/>
          <w:lang w:val="zh-CN"/>
        </w:rPr>
        <w:t>附件</w:t>
      </w:r>
      <w:r>
        <w:rPr>
          <w:rFonts w:hint="eastAsia" w:eastAsia="黑体" w:cs="Times New Roman"/>
          <w:szCs w:val="32"/>
          <w:highlight w:val="none"/>
          <w:lang w:val="en-US" w:eastAsia="zh-CN"/>
        </w:rPr>
        <w:t>2</w:t>
      </w:r>
    </w:p>
    <w:p w14:paraId="25276F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78" w:lineRule="exact"/>
        <w:ind w:firstLine="2168" w:firstLineChars="600"/>
        <w:contextualSpacing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sz w:val="44"/>
          <w:szCs w:val="44"/>
          <w:highlight w:val="none"/>
          <w:shd w:val="clear" w:color="auto" w:fill="FFFFFF"/>
        </w:rPr>
      </w:pPr>
      <w:r>
        <w:rPr>
          <w:rStyle w:val="16"/>
          <w:rFonts w:hint="eastAsia" w:ascii="宋体" w:hAnsi="宋体" w:eastAsia="宋体" w:cs="宋体"/>
          <w:sz w:val="36"/>
          <w:szCs w:val="36"/>
          <w:shd w:val="clear" w:color="auto" w:fill="FFFFFF"/>
        </w:rPr>
        <w:t>黑水县文化</w:t>
      </w:r>
      <w:r>
        <w:rPr>
          <w:rStyle w:val="16"/>
          <w:rFonts w:hint="eastAsia" w:ascii="宋体" w:hAnsi="宋体" w:eastAsia="宋体" w:cs="宋体"/>
          <w:sz w:val="36"/>
          <w:szCs w:val="36"/>
          <w:shd w:val="clear" w:color="auto" w:fill="FFFFFF"/>
          <w:lang w:eastAsia="zh-CN"/>
        </w:rPr>
        <w:t>广播电视和旅游局</w:t>
      </w:r>
    </w:p>
    <w:p w14:paraId="2CC597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78" w:lineRule="exact"/>
        <w:contextualSpacing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  <w:shd w:val="clear" w:color="auto" w:fill="FFFFFF"/>
        </w:rPr>
        <w:t>部门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  <w:shd w:val="clear" w:color="auto" w:fill="FFFFFF"/>
          <w:lang w:eastAsia="zh-CN"/>
        </w:rPr>
        <w:t>预算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  <w:shd w:val="clear" w:color="auto" w:fill="FFFFFF"/>
        </w:rPr>
        <w:t>绩效</w:t>
      </w:r>
      <w:r>
        <w:rPr>
          <w:rFonts w:hint="eastAsia" w:eastAsia="方正小标宋简体" w:cs="Times New Roman"/>
          <w:b w:val="0"/>
          <w:bCs/>
          <w:sz w:val="44"/>
          <w:szCs w:val="44"/>
          <w:highlight w:val="none"/>
          <w:shd w:val="clear" w:color="auto" w:fill="FFFFFF"/>
          <w:lang w:eastAsia="zh-CN"/>
        </w:rPr>
        <w:t>自评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  <w:shd w:val="clear" w:color="auto" w:fill="FFFFFF"/>
        </w:rPr>
        <w:t>报告</w:t>
      </w:r>
    </w:p>
    <w:p w14:paraId="616491D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640" w:firstLineChars="200"/>
        <w:contextualSpacing/>
        <w:jc w:val="left"/>
        <w:textAlignment w:val="auto"/>
        <w:outlineLvl w:val="9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eastAsia="黑体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一、部门（单位）基本情况</w:t>
      </w:r>
    </w:p>
    <w:p w14:paraId="3F9B36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78" w:lineRule="exact"/>
        <w:ind w:firstLine="643" w:firstLineChars="200"/>
        <w:contextualSpacing/>
        <w:jc w:val="both"/>
        <w:textAlignment w:val="auto"/>
        <w:outlineLvl w:val="9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zh-CN"/>
        </w:rPr>
        <w:t>（一）机构组成。</w:t>
      </w:r>
      <w:r>
        <w:rPr>
          <w:rFonts w:hint="eastAsia" w:ascii="Times New Roman" w:hAnsi="Times New Roman" w:cs="Times New Roman"/>
          <w:szCs w:val="32"/>
          <w:lang w:val="en-US" w:eastAsia="zh-CN"/>
        </w:rPr>
        <w:t>黑水县文化广播电视和旅游局</w:t>
      </w:r>
      <w:r>
        <w:rPr>
          <w:rFonts w:hint="eastAsia" w:cs="Times New Roman"/>
          <w:szCs w:val="32"/>
          <w:lang w:val="en-US" w:eastAsia="zh-CN"/>
        </w:rPr>
        <w:t>，</w:t>
      </w:r>
      <w:r>
        <w:rPr>
          <w:rFonts w:hint="eastAsia" w:ascii="仿宋_GB2312" w:cs="仿宋_GB2312"/>
          <w:color w:val="000000"/>
          <w:kern w:val="0"/>
          <w:shd w:val="clear" w:color="auto" w:fill="FFFFFF"/>
          <w:lang w:val="en-US" w:eastAsia="zh-CN"/>
        </w:rPr>
        <w:t>取得黑水县机构编制委员会办公室颁发的统一社会信用代码：5132281876186M，机构地址：四川省阿坝州黑水县长征路100号，法定代表人：黄海斌，机构性质：机关。</w:t>
      </w:r>
    </w:p>
    <w:p w14:paraId="5A663542">
      <w:pPr>
        <w:snapToGrid w:val="0"/>
        <w:spacing w:line="360" w:lineRule="auto"/>
        <w:ind w:firstLine="643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zh-CN"/>
        </w:rPr>
        <w:t>（二）机构职能。</w:t>
      </w:r>
      <w:r>
        <w:rPr>
          <w:rFonts w:hint="eastAsia" w:ascii="仿宋_GB2312" w:hAnsi="宋体" w:eastAsia="仿宋_GB2312"/>
          <w:sz w:val="32"/>
          <w:szCs w:val="32"/>
        </w:rPr>
        <w:t>黑水县</w:t>
      </w:r>
      <w:r>
        <w:rPr>
          <w:rFonts w:hint="eastAsia" w:ascii="仿宋_GB2312" w:hAnsi="宋体"/>
          <w:sz w:val="32"/>
          <w:szCs w:val="32"/>
          <w:lang w:eastAsia="zh-CN"/>
        </w:rPr>
        <w:t>文化广播电视和旅游</w:t>
      </w:r>
      <w:r>
        <w:rPr>
          <w:rFonts w:hint="eastAsia" w:ascii="仿宋_GB2312" w:hAnsi="宋体" w:eastAsia="仿宋_GB2312"/>
          <w:sz w:val="32"/>
          <w:szCs w:val="32"/>
        </w:rPr>
        <w:t>局是负责指导和协调全县文化，体育，广播影视，新闻出版基础设施布局规划实施，并对设施的使用管理，指导全县重大文化活动的开展，指导协调全县民间艺术的挖掘，整理工作，负责管理全县文物事业，保护，抢救等工作负责全县文化建设的政府组成部门。根据县委</w:t>
      </w:r>
      <w:r>
        <w:rPr>
          <w:rFonts w:hint="eastAsia" w:ascii="仿宋_GB2312" w:hAnsi="宋体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</w:rPr>
        <w:t>县政府关于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2024</w:t>
      </w:r>
      <w:r>
        <w:rPr>
          <w:rFonts w:hint="eastAsia" w:ascii="仿宋_GB2312" w:hAnsi="宋体" w:eastAsia="仿宋_GB2312"/>
          <w:sz w:val="32"/>
          <w:szCs w:val="32"/>
        </w:rPr>
        <w:t>年全州工作的总体部署，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2024</w:t>
      </w:r>
      <w:r>
        <w:rPr>
          <w:rFonts w:hint="eastAsia" w:ascii="仿宋_GB2312" w:hAnsi="宋体" w:eastAsia="仿宋_GB2312"/>
          <w:sz w:val="32"/>
          <w:szCs w:val="32"/>
        </w:rPr>
        <w:t>年的主要工作是：指导和协调全县文化体育，广播影视，新闻影视，新闻出版产业发展，协调解决相关产业运行中的重大问题。</w:t>
      </w:r>
    </w:p>
    <w:p w14:paraId="16385778">
      <w:pPr>
        <w:pStyle w:val="11"/>
        <w:keepNext w:val="0"/>
        <w:keepLines w:val="0"/>
        <w:widowControl/>
        <w:suppressLineNumbers w:val="0"/>
        <w:spacing w:before="0" w:beforeAutospacing="0"/>
        <w:ind w:left="0"/>
        <w:jc w:val="left"/>
        <w:rPr>
          <w:rFonts w:hint="default" w:ascii="Times New Roman" w:hAnsi="Times New Roman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"/>
        </w:rPr>
        <w:t>2．</w:t>
      </w:r>
      <w:r>
        <w:rPr>
          <w:rFonts w:hint="eastAsia" w:ascii="仿宋_GB2312" w:hAnsi="仿宋" w:eastAsia="仿宋_GB2312"/>
          <w:sz w:val="30"/>
          <w:szCs w:val="30"/>
        </w:rPr>
        <w:t>机构情况</w:t>
      </w:r>
      <w:r>
        <w:rPr>
          <w:rFonts w:hint="eastAsia" w:ascii="仿宋_GB2312" w:hAnsi="仿宋" w:eastAsia="仿宋_GB2312"/>
          <w:sz w:val="30"/>
          <w:szCs w:val="30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"/>
        </w:rPr>
        <w:t>本单位本年度纳入本套决算编制范围的独立编制机构数共2个，比上年增加0个；独立核算机构数共2个。</w:t>
      </w:r>
    </w:p>
    <w:p w14:paraId="0338C66E">
      <w:pPr>
        <w:pStyle w:val="11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/>
        <w:ind w:left="0"/>
        <w:jc w:val="left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kern w:val="0"/>
          <w:sz w:val="32"/>
          <w:szCs w:val="32"/>
          <w:highlight w:val="none"/>
          <w:shd w:val="clear" w:color="auto" w:fill="FFFFFF"/>
          <w:lang w:val="zh-CN" w:eastAsia="zh-CN" w:bidi="ar-SA"/>
        </w:rPr>
        <w:t>（三）人员概况。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"/>
        </w:rPr>
        <w:t>本单位本年度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 w:bidi="ar"/>
        </w:rPr>
        <w:t>行政编制6人、参照公务员</w:t>
      </w:r>
      <w:r>
        <w:rPr>
          <w:rFonts w:hint="eastAsia" w:ascii="仿宋_GB2312" w:cs="宋体"/>
          <w:kern w:val="0"/>
          <w:sz w:val="32"/>
          <w:szCs w:val="32"/>
          <w:lang w:val="en-US" w:eastAsia="zh-CN" w:bidi="ar"/>
        </w:rPr>
        <w:t>法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 w:bidi="ar"/>
        </w:rPr>
        <w:t>管理的事业编制41人、工勤编制3人、共计88人。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"/>
        </w:rPr>
        <w:t>年末实有人数为</w:t>
      </w:r>
      <w:r>
        <w:rPr>
          <w:rFonts w:hint="eastAsia" w:ascii="仿宋_GB2312" w:cs="宋体"/>
          <w:kern w:val="0"/>
          <w:sz w:val="32"/>
          <w:szCs w:val="32"/>
          <w:lang w:val="en-US" w:eastAsia="zh-CN" w:bidi="ar"/>
        </w:rPr>
        <w:t>40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"/>
        </w:rPr>
        <w:t>人，年末实有离退休人数为1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 w:bidi="ar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"/>
        </w:rPr>
        <w:t>人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 w:bidi="ar"/>
        </w:rPr>
        <w:t>。</w:t>
      </w:r>
    </w:p>
    <w:p w14:paraId="091E59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640" w:firstLineChars="200"/>
        <w:contextualSpacing/>
        <w:jc w:val="left"/>
        <w:textAlignment w:val="auto"/>
        <w:outlineLvl w:val="9"/>
        <w:rPr>
          <w:rFonts w:hint="default" w:ascii="Times New Roman" w:hAnsi="Times New Roman" w:eastAsia="黑体" w:cs="Times New Roman"/>
          <w:color w:val="000000"/>
          <w:kern w:val="0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黑体" w:cs="Times New Roman"/>
          <w:color w:val="000000"/>
          <w:kern w:val="0"/>
          <w:szCs w:val="32"/>
          <w:highlight w:val="none"/>
          <w:shd w:val="clear" w:color="auto" w:fill="FFFFFF"/>
        </w:rPr>
        <w:t>二、</w:t>
      </w:r>
      <w:r>
        <w:rPr>
          <w:rFonts w:hint="default" w:ascii="Times New Roman" w:hAnsi="Times New Roman" w:eastAsia="黑体" w:cs="Times New Roman"/>
          <w:color w:val="000000"/>
          <w:kern w:val="0"/>
          <w:szCs w:val="32"/>
          <w:highlight w:val="none"/>
          <w:shd w:val="clear" w:color="auto" w:fill="FFFFFF"/>
          <w:lang w:eastAsia="zh-CN"/>
        </w:rPr>
        <w:t>部门</w:t>
      </w:r>
      <w:r>
        <w:rPr>
          <w:rFonts w:hint="default" w:ascii="Times New Roman" w:hAnsi="Times New Roman" w:eastAsia="黑体" w:cs="Times New Roman"/>
          <w:color w:val="000000"/>
          <w:kern w:val="0"/>
          <w:szCs w:val="32"/>
          <w:highlight w:val="none"/>
          <w:shd w:val="clear" w:color="auto" w:fill="FFFFFF"/>
        </w:rPr>
        <w:t>资金收支情况</w:t>
      </w:r>
    </w:p>
    <w:p w14:paraId="41773A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adjustRightInd w:val="0"/>
        <w:snapToGrid w:val="0"/>
        <w:spacing w:line="578" w:lineRule="exact"/>
        <w:ind w:firstLine="482" w:firstLineChars="150"/>
        <w:contextualSpacing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kern w:val="0"/>
          <w:sz w:val="32"/>
          <w:szCs w:val="32"/>
          <w:highlight w:val="none"/>
          <w:shd w:val="clear" w:color="auto" w:fill="FFFFFF"/>
          <w:lang w:val="zh-CN" w:eastAsia="zh-CN" w:bidi="ar-SA"/>
        </w:rPr>
        <w:t>（一）收入情况。</w:t>
      </w:r>
      <w:r>
        <w:rPr>
          <w:rFonts w:hint="eastAsia" w:ascii="仿宋_GB2312" w:eastAsia="仿宋_GB2312"/>
          <w:sz w:val="32"/>
          <w:szCs w:val="32"/>
        </w:rPr>
        <w:t>本单位本年度收入调整预算数</w:t>
      </w:r>
      <w:r>
        <w:rPr>
          <w:rFonts w:hint="eastAsia" w:ascii="仿宋_GB2312" w:eastAsia="仿宋_GB2312"/>
          <w:sz w:val="32"/>
          <w:szCs w:val="32"/>
          <w:lang w:eastAsia="zh-CN"/>
        </w:rPr>
        <w:t>为</w:t>
      </w:r>
      <w:r>
        <w:rPr>
          <w:rFonts w:hint="eastAsia" w:ascii="仿宋_GB2312" w:cs="宋体"/>
          <w:kern w:val="0"/>
          <w:sz w:val="32"/>
          <w:szCs w:val="32"/>
          <w:lang w:val="en-US" w:eastAsia="zh-CN" w:bidi="ar"/>
        </w:rPr>
        <w:t>2822.28</w:t>
      </w:r>
      <w:r>
        <w:rPr>
          <w:rFonts w:hint="eastAsia" w:ascii="仿宋_GB2312" w:hAnsi="Times New Roman" w:eastAsia="仿宋_GB2312" w:cs="宋体"/>
          <w:kern w:val="0"/>
          <w:sz w:val="32"/>
          <w:szCs w:val="32"/>
          <w:lang w:val="en-US" w:eastAsia="zh-CN" w:bidi="ar"/>
        </w:rPr>
        <w:t>万元，</w:t>
      </w:r>
      <w:r>
        <w:rPr>
          <w:rFonts w:hint="eastAsia" w:ascii="仿宋_GB2312" w:eastAsia="仿宋_GB2312"/>
          <w:sz w:val="32"/>
          <w:szCs w:val="32"/>
        </w:rPr>
        <w:t>收入决算数为</w:t>
      </w:r>
      <w:r>
        <w:rPr>
          <w:rFonts w:hint="eastAsia" w:ascii="仿宋_GB2312" w:cs="宋体"/>
          <w:kern w:val="0"/>
          <w:sz w:val="32"/>
          <w:szCs w:val="32"/>
          <w:lang w:val="en-US" w:eastAsia="zh-CN" w:bidi="ar"/>
        </w:rPr>
        <w:t>2822.28</w:t>
      </w:r>
      <w:r>
        <w:rPr>
          <w:rFonts w:hint="eastAsia" w:ascii="仿宋_GB2312" w:eastAsia="仿宋_GB2312"/>
          <w:sz w:val="32"/>
          <w:szCs w:val="32"/>
        </w:rPr>
        <w:t>万元，预算完成度为100.00%</w:t>
      </w:r>
      <w:r>
        <w:rPr>
          <w:rFonts w:ascii="仿宋_GB2312" w:eastAsia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本年度</w:t>
      </w:r>
      <w:r>
        <w:rPr>
          <w:rFonts w:hint="eastAsia" w:ascii="仿宋_GB2312" w:eastAsia="仿宋_GB2312"/>
          <w:sz w:val="32"/>
          <w:szCs w:val="32"/>
          <w:lang w:eastAsia="zh-CN"/>
        </w:rPr>
        <w:t>支出</w:t>
      </w:r>
      <w:r>
        <w:rPr>
          <w:rFonts w:hint="eastAsia" w:ascii="仿宋_GB2312" w:eastAsia="仿宋_GB2312"/>
          <w:sz w:val="32"/>
          <w:szCs w:val="32"/>
        </w:rPr>
        <w:t>调整预算数</w:t>
      </w:r>
      <w:r>
        <w:rPr>
          <w:rFonts w:hint="eastAsia" w:ascii="仿宋_GB2312" w:eastAsia="仿宋_GB2312"/>
          <w:sz w:val="32"/>
          <w:szCs w:val="32"/>
          <w:lang w:eastAsia="zh-CN"/>
        </w:rPr>
        <w:t>为</w:t>
      </w:r>
      <w:r>
        <w:rPr>
          <w:rFonts w:hint="eastAsia" w:ascii="仿宋_GB2312" w:cs="宋体"/>
          <w:kern w:val="0"/>
          <w:sz w:val="32"/>
          <w:szCs w:val="32"/>
          <w:lang w:val="en-US" w:eastAsia="zh-CN" w:bidi="ar"/>
        </w:rPr>
        <w:t>2822.28</w:t>
      </w:r>
      <w:r>
        <w:rPr>
          <w:rFonts w:hint="eastAsia" w:ascii="仿宋_GB2312" w:eastAsia="仿宋_GB2312"/>
          <w:sz w:val="32"/>
          <w:szCs w:val="32"/>
        </w:rPr>
        <w:t>万元，</w:t>
      </w:r>
      <w:r>
        <w:rPr>
          <w:rFonts w:hint="eastAsia" w:ascii="仿宋_GB2312" w:eastAsia="仿宋_GB2312"/>
          <w:sz w:val="32"/>
          <w:szCs w:val="32"/>
          <w:lang w:eastAsia="zh-CN"/>
        </w:rPr>
        <w:t>支出</w:t>
      </w:r>
      <w:r>
        <w:rPr>
          <w:rFonts w:hint="eastAsia" w:ascii="仿宋_GB2312" w:eastAsia="仿宋_GB2312"/>
          <w:sz w:val="32"/>
          <w:szCs w:val="32"/>
        </w:rPr>
        <w:t>决算数为</w:t>
      </w:r>
      <w:r>
        <w:rPr>
          <w:rFonts w:hint="eastAsia" w:ascii="仿宋_GB2312" w:cs="宋体"/>
          <w:kern w:val="0"/>
          <w:sz w:val="32"/>
          <w:szCs w:val="32"/>
          <w:lang w:val="en-US" w:eastAsia="zh-CN" w:bidi="ar"/>
        </w:rPr>
        <w:t>2822.28</w:t>
      </w:r>
      <w:r>
        <w:rPr>
          <w:rFonts w:hint="eastAsia" w:ascii="仿宋_GB2312" w:eastAsia="仿宋_GB2312"/>
          <w:sz w:val="32"/>
          <w:szCs w:val="32"/>
        </w:rPr>
        <w:t>万元，预算</w:t>
      </w:r>
      <w:r>
        <w:rPr>
          <w:rFonts w:hint="eastAsia" w:ascii="仿宋_GB2312" w:eastAsia="仿宋_GB2312"/>
          <w:sz w:val="32"/>
          <w:szCs w:val="32"/>
          <w:lang w:eastAsia="zh-CN"/>
        </w:rPr>
        <w:t>支出</w:t>
      </w:r>
      <w:r>
        <w:rPr>
          <w:rFonts w:hint="eastAsia" w:ascii="仿宋_GB2312" w:eastAsia="仿宋_GB2312"/>
          <w:sz w:val="32"/>
          <w:szCs w:val="32"/>
        </w:rPr>
        <w:t>完成度为100.00%</w:t>
      </w:r>
      <w:r>
        <w:rPr>
          <w:rFonts w:ascii="仿宋_GB2312" w:eastAsia="仿宋_GB2312"/>
          <w:sz w:val="32"/>
          <w:szCs w:val="32"/>
        </w:rPr>
        <w:t>。</w:t>
      </w:r>
    </w:p>
    <w:p w14:paraId="376BBF58">
      <w:pPr>
        <w:snapToGrid w:val="0"/>
        <w:spacing w:line="520" w:lineRule="exact"/>
        <w:ind w:firstLine="643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zh-CN"/>
        </w:rPr>
        <w:t>（二）支出情况</w:t>
      </w:r>
      <w:r>
        <w:rPr>
          <w:rFonts w:hint="eastAsia" w:ascii="仿宋_GB2312" w:eastAsia="仿宋_GB2312"/>
          <w:sz w:val="32"/>
          <w:szCs w:val="32"/>
        </w:rPr>
        <w:t>本单位本年度总收入为</w:t>
      </w:r>
      <w:r>
        <w:rPr>
          <w:rFonts w:hint="eastAsia" w:ascii="仿宋_GB2312"/>
          <w:sz w:val="32"/>
          <w:szCs w:val="32"/>
          <w:lang w:val="en-US" w:eastAsia="zh-CN"/>
        </w:rPr>
        <w:t>2822.28</w:t>
      </w:r>
      <w:r>
        <w:rPr>
          <w:rFonts w:hint="eastAsia" w:ascii="仿宋_GB2312" w:eastAsia="仿宋_GB2312"/>
          <w:sz w:val="32"/>
          <w:szCs w:val="32"/>
        </w:rPr>
        <w:t>万元。其中：一般公共预算财政拨款收入为</w:t>
      </w:r>
      <w:r>
        <w:rPr>
          <w:rFonts w:hint="eastAsia" w:ascii="仿宋_GB2312"/>
          <w:sz w:val="32"/>
          <w:szCs w:val="32"/>
          <w:lang w:val="en-US" w:eastAsia="zh-CN"/>
        </w:rPr>
        <w:t>2822.28</w:t>
      </w:r>
      <w:r>
        <w:rPr>
          <w:rFonts w:hint="eastAsia" w:ascii="仿宋_GB2312" w:eastAsia="仿宋_GB2312"/>
          <w:sz w:val="32"/>
          <w:szCs w:val="32"/>
        </w:rPr>
        <w:t>万元，占比</w:t>
      </w:r>
      <w:r>
        <w:rPr>
          <w:rFonts w:hint="eastAsia" w:ascii="仿宋_GB2312"/>
          <w:sz w:val="32"/>
          <w:szCs w:val="32"/>
          <w:lang w:val="en-US" w:eastAsia="zh-CN"/>
        </w:rPr>
        <w:t>94</w:t>
      </w:r>
      <w:r>
        <w:rPr>
          <w:rFonts w:hint="eastAsia" w:ascii="仿宋_GB2312" w:eastAsia="仿宋_GB2312"/>
          <w:sz w:val="32"/>
          <w:szCs w:val="32"/>
        </w:rPr>
        <w:t>%；政府性基金预算财政拨款收入为</w:t>
      </w:r>
      <w:r>
        <w:rPr>
          <w:rFonts w:hint="eastAsia" w:ascii="仿宋_GB2312"/>
          <w:sz w:val="32"/>
          <w:szCs w:val="32"/>
          <w:lang w:val="en-US" w:eastAsia="zh-CN"/>
        </w:rPr>
        <w:t>200.18</w:t>
      </w:r>
      <w:r>
        <w:rPr>
          <w:rFonts w:hint="eastAsia" w:ascii="仿宋_GB2312" w:eastAsia="仿宋_GB2312"/>
          <w:sz w:val="32"/>
          <w:szCs w:val="32"/>
        </w:rPr>
        <w:t>万元，占比</w:t>
      </w:r>
      <w:r>
        <w:rPr>
          <w:rFonts w:hint="eastAsia" w:ascii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%；国有资本经营预算财政拨款收入为0.00)万元，占比0.00%；上级补助收入为0.00万元，占比0.00%；事业收入为0.00万元，占比0.00%；经营收入为0.00万元，占比0.00%；附属单位上缴收入为0.00万元，占比0.00%；其他收入为0.00万元，占比0.00%。本年度总支出为</w:t>
      </w:r>
      <w:r>
        <w:rPr>
          <w:rFonts w:hint="eastAsia" w:ascii="仿宋_GB2312"/>
          <w:sz w:val="32"/>
          <w:szCs w:val="32"/>
          <w:lang w:val="en-US" w:eastAsia="zh-CN"/>
        </w:rPr>
        <w:t>2822.28</w:t>
      </w:r>
      <w:r>
        <w:rPr>
          <w:rFonts w:hint="eastAsia" w:ascii="仿宋_GB2312" w:eastAsia="仿宋_GB2312"/>
          <w:sz w:val="32"/>
          <w:szCs w:val="32"/>
        </w:rPr>
        <w:t>万元。其中：一般公共服务支出为</w:t>
      </w:r>
      <w:r>
        <w:rPr>
          <w:rFonts w:hint="eastAsia" w:ascii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万元，占比</w:t>
      </w:r>
      <w:r>
        <w:rPr>
          <w:rFonts w:hint="eastAsia" w:ascii="仿宋_GB2312"/>
          <w:sz w:val="32"/>
          <w:szCs w:val="32"/>
          <w:lang w:val="en-US" w:eastAsia="zh-CN"/>
        </w:rPr>
        <w:t>0.00</w:t>
      </w:r>
      <w:r>
        <w:rPr>
          <w:rFonts w:hint="eastAsia" w:ascii="仿宋_GB2312" w:eastAsia="仿宋_GB2312"/>
          <w:sz w:val="32"/>
          <w:szCs w:val="32"/>
        </w:rPr>
        <w:t>%；外交支出为0.00万元，占比0.00%；国防支出为0.00万元，占比0.00%；公共安全支出为0.00万元，占比0.00%；教育支出为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.00万元，占比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0.00</w:t>
      </w:r>
      <w:r>
        <w:rPr>
          <w:rFonts w:hint="eastAsia" w:ascii="仿宋_GB2312" w:eastAsia="仿宋_GB2312"/>
          <w:sz w:val="32"/>
          <w:szCs w:val="32"/>
        </w:rPr>
        <w:t>%；科学技术支出为0.00万元，占比0.00%；文化旅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游体育与传媒支出为</w:t>
      </w:r>
      <w:r>
        <w:rPr>
          <w:rFonts w:hint="eastAsia" w:ascii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2356.89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_GB2312" w:eastAsia="仿宋_GB2312"/>
          <w:sz w:val="32"/>
          <w:szCs w:val="32"/>
        </w:rPr>
        <w:t>占比</w:t>
      </w:r>
      <w:r>
        <w:rPr>
          <w:rFonts w:hint="eastAsia" w:ascii="仿宋_GB2312"/>
          <w:sz w:val="32"/>
          <w:szCs w:val="32"/>
          <w:lang w:val="en-US" w:eastAsia="zh-CN"/>
        </w:rPr>
        <w:t>83</w:t>
      </w:r>
      <w:r>
        <w:rPr>
          <w:rFonts w:hint="eastAsia" w:ascii="仿宋_GB2312" w:eastAsia="仿宋_GB2312"/>
          <w:sz w:val="32"/>
          <w:szCs w:val="32"/>
        </w:rPr>
        <w:t>%；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社会保障和就业支出为</w:t>
      </w:r>
      <w:r>
        <w:rPr>
          <w:rFonts w:hint="eastAsia" w:ascii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135.3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万元，占比</w:t>
      </w:r>
      <w:r>
        <w:rPr>
          <w:rFonts w:hint="eastAsia" w:ascii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%；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卫生健康支出为</w:t>
      </w:r>
      <w:r>
        <w:rPr>
          <w:rFonts w:hint="eastAsia" w:ascii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56.77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万元，占比</w:t>
      </w:r>
      <w:r>
        <w:rPr>
          <w:rFonts w:hint="eastAsia" w:ascii="仿宋_GB2312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%；节能环保支出为0.00</w:t>
      </w:r>
      <w:r>
        <w:rPr>
          <w:rFonts w:hint="eastAsia" w:ascii="仿宋_GB2312" w:eastAsia="仿宋_GB2312"/>
          <w:sz w:val="32"/>
          <w:szCs w:val="32"/>
        </w:rPr>
        <w:t>万元，占比0.00%；城乡社区支出为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.00万元，占比0.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00</w:t>
      </w:r>
      <w:r>
        <w:rPr>
          <w:rFonts w:hint="eastAsia" w:ascii="仿宋_GB2312" w:eastAsia="仿宋_GB2312"/>
          <w:sz w:val="32"/>
          <w:szCs w:val="32"/>
        </w:rPr>
        <w:t>%；农林水支出为</w:t>
      </w:r>
      <w:r>
        <w:rPr>
          <w:rFonts w:hint="eastAsia" w:ascii="仿宋_GB2312"/>
          <w:sz w:val="32"/>
          <w:szCs w:val="32"/>
          <w:lang w:val="en-US" w:eastAsia="zh-CN"/>
        </w:rPr>
        <w:t>0.00</w:t>
      </w:r>
      <w:r>
        <w:rPr>
          <w:rFonts w:hint="eastAsia" w:ascii="仿宋_GB2312" w:eastAsia="仿宋_GB2312"/>
          <w:sz w:val="32"/>
          <w:szCs w:val="32"/>
        </w:rPr>
        <w:t>万元，占比</w:t>
      </w:r>
      <w:r>
        <w:rPr>
          <w:rFonts w:hint="eastAsia" w:ascii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%；交通运输支出为0.00万元，占比0.00%；资源勘探工业信息等支出为0.00万元，占比0.00%；商业服务业等支出为0.00万元，占比0.00%；金融支出为0.00万元，占比0.00%；援助其他地区支出为0.00万元，占比0.00%；自然资源海洋气象等支出为0.00万元，占比0.00%；住房保障支出为</w:t>
      </w:r>
      <w:r>
        <w:rPr>
          <w:rFonts w:hint="eastAsia" w:ascii="仿宋_GB2312"/>
          <w:sz w:val="32"/>
          <w:szCs w:val="32"/>
          <w:lang w:val="en-US" w:eastAsia="zh-CN"/>
        </w:rPr>
        <w:t>73.14</w:t>
      </w:r>
      <w:r>
        <w:rPr>
          <w:rFonts w:hint="eastAsia" w:ascii="仿宋_GB2312" w:eastAsia="仿宋_GB2312"/>
          <w:sz w:val="32"/>
          <w:szCs w:val="32"/>
        </w:rPr>
        <w:t>万元，占比</w:t>
      </w:r>
      <w:r>
        <w:rPr>
          <w:rFonts w:hint="eastAsia" w:ascii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%；粮油物资储备支出为0.00万元，占比0.00%；国有资本经营预算支出为0.00万元，占比0.00%；灾害防治及应急管理支出为</w:t>
      </w:r>
      <w:r>
        <w:rPr>
          <w:rFonts w:hint="eastAsia" w:ascii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万元，占比</w:t>
      </w:r>
      <w:r>
        <w:rPr>
          <w:rFonts w:hint="eastAsia" w:ascii="仿宋_GB2312"/>
          <w:sz w:val="32"/>
          <w:szCs w:val="32"/>
          <w:lang w:val="en-US" w:eastAsia="zh-CN"/>
        </w:rPr>
        <w:t>0.00</w:t>
      </w:r>
      <w:r>
        <w:rPr>
          <w:rFonts w:hint="eastAsia" w:ascii="仿宋_GB2312" w:eastAsia="仿宋_GB2312"/>
          <w:sz w:val="32"/>
          <w:szCs w:val="32"/>
        </w:rPr>
        <w:t>%；其他支出为0.00万元，占比0.00%；债务还本支出为0.00万元，占比0.00%；债务付息支出为0.00万元，占比0.00%；抗疫特别国债安排的支出为0.00万元，占比0.00%。</w:t>
      </w:r>
    </w:p>
    <w:p w14:paraId="52DC1AC4">
      <w:pPr>
        <w:snapToGrid w:val="0"/>
        <w:spacing w:line="520" w:lineRule="exact"/>
        <w:ind w:firstLine="640" w:firstLineChars="200"/>
        <w:rPr>
          <w:rFonts w:hint="default" w:ascii="Times New Roman" w:hAnsi="Times New Roman" w:cs="Times New Roman"/>
          <w:szCs w:val="32"/>
          <w:lang w:val="zh-CN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黑水县文化</w:t>
      </w:r>
      <w:r>
        <w:rPr>
          <w:rFonts w:hint="eastAsia" w:ascii="仿宋_GB2312" w:hAnsi="宋体"/>
          <w:sz w:val="32"/>
          <w:szCs w:val="32"/>
          <w:lang w:val="en-US" w:eastAsia="zh-CN"/>
        </w:rPr>
        <w:t>广播电视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和旅游局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，2024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宋体" w:eastAsia="仿宋_GB2312"/>
          <w:sz w:val="32"/>
          <w:szCs w:val="32"/>
        </w:rPr>
        <w:t>为我县提高了全民健身意识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sz w:val="32"/>
          <w:szCs w:val="32"/>
        </w:rPr>
        <w:t>通过对农民健身场地的建设，为农民健身提供了活动平台，丰富了农民群众的业余生活。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乡镇村农民体育设施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的</w:t>
      </w:r>
      <w:r>
        <w:rPr>
          <w:rFonts w:hint="eastAsia" w:ascii="仿宋_GB2312" w:hAnsi="宋体" w:eastAsia="仿宋_GB2312"/>
          <w:sz w:val="32"/>
          <w:szCs w:val="32"/>
        </w:rPr>
        <w:t>建设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及</w:t>
      </w:r>
      <w:r>
        <w:rPr>
          <w:rFonts w:hint="eastAsia" w:ascii="仿宋_GB2312" w:hAnsi="宋体" w:eastAsia="仿宋_GB2312"/>
          <w:sz w:val="32"/>
          <w:szCs w:val="32"/>
        </w:rPr>
        <w:t>正式投入使用，为广大体育爱好者提供更好的场地。</w:t>
      </w:r>
      <w:r>
        <w:rPr>
          <w:rFonts w:hint="eastAsia" w:ascii="仿宋_GB2312" w:hAnsi="宋体" w:eastAsia="仿宋_GB2312"/>
          <w:sz w:val="30"/>
          <w:szCs w:val="30"/>
        </w:rPr>
        <w:t>今年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成功</w:t>
      </w:r>
      <w:r>
        <w:rPr>
          <w:rFonts w:hint="eastAsia" w:ascii="仿宋_GB2312" w:hAnsi="宋体" w:eastAsia="仿宋_GB2312"/>
          <w:sz w:val="30"/>
          <w:szCs w:val="30"/>
        </w:rPr>
        <w:t>举办第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十二</w:t>
      </w:r>
      <w:r>
        <w:rPr>
          <w:rFonts w:hint="eastAsia" w:ascii="仿宋_GB2312" w:hAnsi="宋体" w:eastAsia="仿宋_GB2312"/>
          <w:sz w:val="30"/>
          <w:szCs w:val="30"/>
        </w:rPr>
        <w:t>次彩林节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及</w:t>
      </w:r>
      <w:r>
        <w:rPr>
          <w:rFonts w:hint="eastAsia" w:ascii="仿宋_GB2312" w:hAnsi="宋体" w:eastAsia="仿宋_GB2312"/>
          <w:sz w:val="30"/>
          <w:szCs w:val="30"/>
        </w:rPr>
        <w:t>202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4</w:t>
      </w:r>
      <w:r>
        <w:rPr>
          <w:rFonts w:hint="eastAsia" w:ascii="仿宋_GB2312" w:hAnsi="宋体" w:eastAsia="仿宋_GB2312"/>
          <w:sz w:val="30"/>
          <w:szCs w:val="30"/>
        </w:rPr>
        <w:t>年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三奥雪山登山大会；</w:t>
      </w:r>
      <w:r>
        <w:rPr>
          <w:rFonts w:hint="eastAsia" w:ascii="仿宋_GB2312" w:hAnsi="宋体" w:eastAsia="仿宋_GB2312"/>
          <w:sz w:val="30"/>
          <w:szCs w:val="30"/>
        </w:rPr>
        <w:t>锅庄汇演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比赛等项目，并积极组织参加景BA</w:t>
      </w:r>
      <w:r>
        <w:rPr>
          <w:rFonts w:hint="default" w:ascii="仿宋_GB2312" w:hAnsi="宋体" w:eastAsia="仿宋_GB2312"/>
          <w:sz w:val="30"/>
          <w:szCs w:val="30"/>
          <w:lang w:val="en-US" w:eastAsia="zh-CN"/>
        </w:rPr>
        <w:t>”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阿坝州运动会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、雪山杯足球比赛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等，</w:t>
      </w:r>
      <w:r>
        <w:rPr>
          <w:rFonts w:hint="eastAsia" w:ascii="仿宋_GB2312" w:hAnsi="宋体" w:eastAsia="仿宋_GB2312"/>
          <w:sz w:val="30"/>
          <w:szCs w:val="30"/>
        </w:rPr>
        <w:t>取得了很好的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成绩</w:t>
      </w:r>
      <w:r>
        <w:rPr>
          <w:rFonts w:hint="eastAsia" w:ascii="仿宋_GB2312" w:hAnsi="宋体" w:eastAsia="仿宋_GB2312"/>
          <w:sz w:val="30"/>
          <w:szCs w:val="30"/>
        </w:rPr>
        <w:t>，极大</w:t>
      </w:r>
      <w:r>
        <w:rPr>
          <w:rFonts w:hint="eastAsia" w:ascii="仿宋_GB2312" w:hAnsi="宋体"/>
          <w:sz w:val="30"/>
          <w:szCs w:val="30"/>
          <w:lang w:val="en-US" w:eastAsia="zh-CN"/>
        </w:rPr>
        <w:t>地</w:t>
      </w:r>
      <w:r>
        <w:rPr>
          <w:rFonts w:hint="eastAsia" w:ascii="仿宋_GB2312" w:hAnsi="宋体" w:eastAsia="仿宋_GB2312"/>
          <w:sz w:val="30"/>
          <w:szCs w:val="30"/>
        </w:rPr>
        <w:t>丰富了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全县广大</w:t>
      </w:r>
      <w:r>
        <w:rPr>
          <w:rFonts w:hint="eastAsia" w:ascii="仿宋_GB2312" w:hAnsi="宋体" w:eastAsia="仿宋_GB2312"/>
          <w:sz w:val="30"/>
          <w:szCs w:val="30"/>
        </w:rPr>
        <w:t>群众的业余生活,弘扬了民族文化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。</w:t>
      </w:r>
      <w:r>
        <w:rPr>
          <w:rFonts w:hint="eastAsia" w:ascii="仿宋_GB2312" w:hAnsi="宋体" w:eastAsia="仿宋_GB2312"/>
          <w:sz w:val="32"/>
          <w:szCs w:val="32"/>
        </w:rPr>
        <w:t xml:space="preserve">      </w:t>
      </w:r>
    </w:p>
    <w:p w14:paraId="518DD0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firstLine="321" w:firstLineChars="100"/>
        <w:contextualSpacing/>
        <w:jc w:val="left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Cs w:val="32"/>
          <w:highlight w:val="none"/>
          <w:shd w:val="clear" w:color="auto" w:fill="FFFFFF"/>
          <w:lang w:val="zh-CN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zh-CN"/>
        </w:rPr>
        <w:t>（三）</w:t>
      </w:r>
      <w:r>
        <w:rPr>
          <w:rFonts w:hint="default" w:ascii="Times New Roman" w:hAnsi="Times New Roman" w:eastAsia="楷体_GB2312" w:cs="Times New Roman"/>
          <w:b/>
          <w:szCs w:val="32"/>
        </w:rPr>
        <w:t>结余分配和结转结余情况</w:t>
      </w:r>
      <w:r>
        <w:rPr>
          <w:rFonts w:hint="default" w:ascii="Times New Roman" w:hAnsi="Times New Roman" w:eastAsia="楷体_GB2312" w:cs="Times New Roman"/>
          <w:b/>
          <w:szCs w:val="32"/>
          <w:lang w:eastAsia="zh-CN"/>
        </w:rPr>
        <w:t>。</w:t>
      </w:r>
      <w:r>
        <w:rPr>
          <w:rFonts w:hint="eastAsia" w:ascii="Times New Roman" w:hAnsi="Times New Roman" w:cs="Times New Roman"/>
          <w:szCs w:val="32"/>
          <w:lang w:val="en-US" w:eastAsia="zh-CN"/>
        </w:rPr>
        <w:t>黑水县文化广播电视和旅游局</w:t>
      </w:r>
      <w:r>
        <w:rPr>
          <w:rFonts w:hint="eastAsia" w:cs="Times New Roman"/>
          <w:szCs w:val="32"/>
          <w:lang w:val="en-US" w:eastAsia="zh-CN"/>
        </w:rPr>
        <w:t>2024年</w:t>
      </w:r>
      <w:r>
        <w:rPr>
          <w:rFonts w:hint="eastAsia" w:ascii="Times New Roman" w:hAnsi="Times New Roman" w:cs="Times New Roman"/>
          <w:szCs w:val="32"/>
          <w:lang w:val="en-US" w:eastAsia="zh-CN"/>
        </w:rPr>
        <w:t>决算报表</w:t>
      </w:r>
      <w:r>
        <w:rPr>
          <w:rFonts w:ascii="Times New Roman" w:hAnsi="Times New Roman" w:eastAsia="仿宋_GB2312" w:cs="Times New Roman"/>
          <w:b w:val="0"/>
          <w:bCs w:val="0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结转结余</w:t>
      </w:r>
      <w:r>
        <w:rPr>
          <w:rFonts w:cs="Times New Roman"/>
          <w:b w:val="0"/>
          <w:bCs w:val="0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为0元</w:t>
      </w:r>
      <w:r>
        <w:rPr>
          <w:rFonts w:ascii="Times New Roman" w:hAnsi="Times New Roman" w:eastAsia="仿宋_GB2312" w:cs="Times New Roman"/>
          <w:b w:val="0"/>
          <w:bCs w:val="0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。</w:t>
      </w:r>
    </w:p>
    <w:p w14:paraId="49940A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640" w:firstLineChars="200"/>
        <w:contextualSpacing/>
        <w:jc w:val="left"/>
        <w:textAlignment w:val="auto"/>
        <w:outlineLvl w:val="9"/>
        <w:rPr>
          <w:rFonts w:hint="default" w:ascii="Times New Roman" w:hAnsi="Times New Roman" w:eastAsia="黑体" w:cs="Times New Roman"/>
          <w:color w:val="000000" w:themeColor="text1"/>
          <w:kern w:val="0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/>
          <w:kern w:val="0"/>
          <w:szCs w:val="32"/>
          <w:highlight w:val="none"/>
          <w:shd w:val="clear" w:color="auto" w:fill="FFFFFF"/>
        </w:rPr>
        <w:t>三、</w:t>
      </w:r>
      <w:r>
        <w:rPr>
          <w:rFonts w:hint="default" w:ascii="Times New Roman" w:hAnsi="Times New Roman" w:eastAsia="黑体" w:cs="Times New Roman"/>
          <w:color w:val="000000"/>
          <w:kern w:val="0"/>
          <w:szCs w:val="32"/>
          <w:highlight w:val="none"/>
          <w:u w:val="none"/>
          <w:shd w:val="clear" w:color="auto" w:fill="FFFFFF"/>
        </w:rPr>
        <w:t>部门</w:t>
      </w:r>
      <w:r>
        <w:rPr>
          <w:rFonts w:hint="default" w:ascii="Times New Roman" w:hAnsi="Times New Roman" w:eastAsia="黑体" w:cs="Times New Roman"/>
          <w:color w:val="000000"/>
          <w:kern w:val="0"/>
          <w:szCs w:val="32"/>
          <w:highlight w:val="none"/>
          <w:u w:val="none"/>
          <w:shd w:val="clear" w:color="auto" w:fill="FFFFFF"/>
          <w:lang w:eastAsia="zh-CN"/>
        </w:rPr>
        <w:t>预算</w:t>
      </w:r>
      <w:r>
        <w:rPr>
          <w:rFonts w:hint="default" w:ascii="Times New Roman" w:hAnsi="Times New Roman" w:eastAsia="黑体" w:cs="Times New Roman"/>
          <w:color w:val="000000"/>
          <w:kern w:val="0"/>
          <w:szCs w:val="32"/>
          <w:highlight w:val="none"/>
          <w:u w:val="none"/>
          <w:shd w:val="clear" w:color="auto" w:fill="FFFFFF"/>
        </w:rPr>
        <w:t>绩效</w:t>
      </w:r>
      <w:r>
        <w:rPr>
          <w:rFonts w:hint="default" w:ascii="Times New Roman" w:hAnsi="Times New Roman" w:eastAsia="黑体" w:cs="Times New Roman"/>
          <w:color w:val="000000"/>
          <w:kern w:val="0"/>
          <w:szCs w:val="32"/>
          <w:highlight w:val="none"/>
          <w:u w:val="none"/>
          <w:shd w:val="clear" w:color="auto" w:fill="FFFFFF"/>
          <w:lang w:eastAsia="zh-CN"/>
        </w:rPr>
        <w:t>分析</w:t>
      </w:r>
    </w:p>
    <w:p w14:paraId="2DDD7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firstLine="643" w:firstLineChars="200"/>
        <w:contextualSpacing/>
        <w:jc w:val="left"/>
        <w:textAlignment w:val="auto"/>
        <w:outlineLvl w:val="9"/>
        <w:rPr>
          <w:rFonts w:hint="eastAsia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zh-CN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zh-CN"/>
        </w:rPr>
        <w:t>（一）部门预算总体绩效分析</w:t>
      </w:r>
      <w:r>
        <w:rPr>
          <w:rFonts w:ascii="Times New Roman" w:hAnsi="Times New Roman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zh-CN"/>
        </w:rPr>
        <w:t>。</w:t>
      </w:r>
      <w:r>
        <w:rPr>
          <w:rFonts w:hint="eastAsia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zh-CN"/>
        </w:rPr>
        <w:t>指标分值</w:t>
      </w:r>
      <w:r>
        <w:rPr>
          <w:rFonts w:hint="eastAsia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65</w:t>
      </w:r>
      <w:r>
        <w:rPr>
          <w:rFonts w:hint="eastAsia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zh-CN"/>
        </w:rPr>
        <w:t>分，自评得分</w:t>
      </w:r>
      <w:r>
        <w:rPr>
          <w:rFonts w:hint="eastAsia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57.29</w:t>
      </w:r>
      <w:r>
        <w:rPr>
          <w:rFonts w:hint="eastAsia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zh-CN"/>
        </w:rPr>
        <w:t>分</w:t>
      </w:r>
    </w:p>
    <w:p w14:paraId="6AE7C6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640" w:firstLineChars="200"/>
        <w:contextualSpacing/>
        <w:jc w:val="left"/>
        <w:textAlignment w:val="auto"/>
        <w:outlineLvl w:val="9"/>
        <w:rPr>
          <w:rFonts w:hint="default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</w:pPr>
    </w:p>
    <w:p w14:paraId="7A9B6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firstLine="640" w:firstLineChars="200"/>
        <w:contextualSpacing/>
        <w:jc w:val="left"/>
        <w:textAlignment w:val="auto"/>
        <w:outlineLvl w:val="9"/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</w:pPr>
      <w:r>
        <w:rPr>
          <w:rFonts w:hint="default" w:ascii="Times New Roman" w:hAnsi="Times New Roman" w:eastAsia="楷体_GB2312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履职效能。</w:t>
      </w: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履职效能。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指标分值15分，自评得分15分。</w:t>
      </w:r>
    </w:p>
    <w:p w14:paraId="4F1C46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640" w:firstLineChars="200"/>
        <w:contextualSpacing/>
        <w:jc w:val="left"/>
        <w:textAlignment w:val="auto"/>
        <w:outlineLvl w:val="9"/>
        <w:rPr>
          <w:rFonts w:hint="default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</w:pPr>
      <w:r>
        <w:rPr>
          <w:rFonts w:hint="default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核心职能目标一：基本支出，在职人员工资保险。目标完成情况，截止2024年底我单位如期完成预算64人全年工资保险发放。该资金开支范围、标准及支付进度，支付依据合规合法，资金支付与绩效目标相符。</w:t>
      </w:r>
    </w:p>
    <w:p w14:paraId="29D22C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640" w:firstLineChars="200"/>
        <w:contextualSpacing/>
        <w:jc w:val="left"/>
        <w:textAlignment w:val="auto"/>
        <w:outlineLvl w:val="9"/>
        <w:rPr>
          <w:rFonts w:hint="default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</w:pPr>
      <w:r>
        <w:rPr>
          <w:rFonts w:hint="default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核心职能目标二：项目支出，文物事业，保护，抢救及三馆免费开放等工作。目标完成情况，截止2024年底我单位如期完成两馆及15个文化站定时免费开放及管理维护共计完成119.6万元支付。该资金开支范围、标准及支付进度，支付依据合规合法，资金支付与预算相符。</w:t>
      </w:r>
    </w:p>
    <w:p w14:paraId="701B80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640" w:firstLineChars="200"/>
        <w:contextualSpacing/>
        <w:jc w:val="left"/>
        <w:textAlignment w:val="auto"/>
        <w:outlineLvl w:val="9"/>
        <w:rPr>
          <w:rFonts w:hint="default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</w:pPr>
      <w:r>
        <w:rPr>
          <w:rFonts w:hint="default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核心职能目标三：项目支出，全县重大文化项目活动。目标完成情况，截止2024年底我单位如期完成戏曲进乡村、三奥雪山登山活动，公共文化服务活动共计277.65万元。该资金开支范围、标准及支付进度，支付依据合规合法，资金支付与预算相符。</w:t>
      </w:r>
    </w:p>
    <w:p w14:paraId="7855B31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adjustRightInd w:val="0"/>
        <w:snapToGrid w:val="0"/>
        <w:spacing w:line="578" w:lineRule="exact"/>
        <w:ind w:left="0" w:firstLine="640" w:firstLineChars="200"/>
        <w:contextualSpacing/>
        <w:jc w:val="left"/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</w:pPr>
      <w:r>
        <w:rPr>
          <w:rFonts w:hint="default" w:ascii="Times New Roman" w:hAnsi="Times New Roman" w:eastAsia="楷体_GB2312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预算管理</w:t>
      </w:r>
      <w:r>
        <w:rPr>
          <w:rFonts w:hint="eastAsia" w:eastAsia="楷体_GB2312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。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指标分值25分，自评得分</w:t>
      </w: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17.29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分。</w:t>
      </w:r>
    </w:p>
    <w:p w14:paraId="34DFE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 w:val="0"/>
        <w:snapToGrid w:val="0"/>
        <w:spacing w:line="578" w:lineRule="exact"/>
        <w:ind w:left="0" w:firstLine="640" w:firstLineChars="200"/>
        <w:contextualSpacing/>
        <w:jc w:val="left"/>
        <w:rPr>
          <w:rFonts w:hint="eastAsia" w:ascii="楷体_GB2312" w:eastAsia="楷体_GB2312" w:cs="楷体_GB2312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ascii="仿宋_GB2312" w:eastAsia="仿宋_GB2312"/>
          <w:sz w:val="32"/>
          <w:szCs w:val="32"/>
        </w:rPr>
        <w:t>预算编制质量：</w:t>
      </w:r>
      <w:r>
        <w:rPr>
          <w:rFonts w:hint="eastAsia" w:ascii="仿宋_GB2312" w:eastAsia="仿宋_GB2312"/>
          <w:sz w:val="32"/>
          <w:szCs w:val="32"/>
        </w:rPr>
        <w:t>本单位本年度收入调整预算数</w:t>
      </w:r>
      <w:r>
        <w:rPr>
          <w:rFonts w:hint="eastAsia" w:ascii="仿宋_GB2312" w:eastAsia="仿宋_GB2312"/>
          <w:sz w:val="32"/>
          <w:szCs w:val="32"/>
          <w:lang w:eastAsia="zh-CN"/>
        </w:rPr>
        <w:t>为</w:t>
      </w:r>
      <w:r>
        <w:rPr>
          <w:rFonts w:hint="eastAsia" w:ascii="仿宋_GB2312"/>
          <w:sz w:val="32"/>
          <w:szCs w:val="32"/>
          <w:lang w:val="en-US" w:eastAsia="zh-CN"/>
        </w:rPr>
        <w:t>3351.16</w:t>
      </w:r>
      <w:r>
        <w:rPr>
          <w:rFonts w:hint="eastAsia" w:ascii="仿宋_GB2312" w:eastAsia="仿宋_GB2312"/>
          <w:sz w:val="32"/>
          <w:szCs w:val="32"/>
        </w:rPr>
        <w:t>万元，收入决算数为</w:t>
      </w:r>
      <w:r>
        <w:rPr>
          <w:rFonts w:hint="eastAsia" w:ascii="仿宋_GB2312"/>
          <w:sz w:val="32"/>
          <w:szCs w:val="32"/>
          <w:lang w:val="en-US" w:eastAsia="zh-CN"/>
        </w:rPr>
        <w:t>3351.16</w:t>
      </w:r>
      <w:r>
        <w:rPr>
          <w:rFonts w:hint="eastAsia" w:ascii="仿宋_GB2312" w:eastAsia="仿宋_GB2312"/>
          <w:sz w:val="32"/>
          <w:szCs w:val="32"/>
        </w:rPr>
        <w:t>万元，预算完成度为100.00%</w:t>
      </w:r>
      <w:r>
        <w:rPr>
          <w:rFonts w:ascii="仿宋_GB2312" w:eastAsia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本年度</w:t>
      </w:r>
      <w:r>
        <w:rPr>
          <w:rFonts w:hint="eastAsia" w:ascii="仿宋_GB2312" w:eastAsia="仿宋_GB2312"/>
          <w:sz w:val="32"/>
          <w:szCs w:val="32"/>
          <w:lang w:eastAsia="zh-CN"/>
        </w:rPr>
        <w:t>支出</w:t>
      </w:r>
      <w:r>
        <w:rPr>
          <w:rFonts w:hint="eastAsia" w:ascii="仿宋_GB2312" w:eastAsia="仿宋_GB2312"/>
          <w:sz w:val="32"/>
          <w:szCs w:val="32"/>
        </w:rPr>
        <w:t>调整预算数</w:t>
      </w:r>
      <w:r>
        <w:rPr>
          <w:rFonts w:hint="eastAsia" w:ascii="仿宋_GB2312" w:eastAsia="仿宋_GB2312"/>
          <w:sz w:val="32"/>
          <w:szCs w:val="32"/>
          <w:lang w:eastAsia="zh-CN"/>
        </w:rPr>
        <w:t>为</w:t>
      </w:r>
      <w:r>
        <w:rPr>
          <w:rFonts w:hint="eastAsia" w:ascii="仿宋_GB2312"/>
          <w:sz w:val="32"/>
          <w:szCs w:val="32"/>
          <w:lang w:val="en-US" w:eastAsia="zh-CN"/>
        </w:rPr>
        <w:t>3351.16</w:t>
      </w:r>
      <w:r>
        <w:rPr>
          <w:rFonts w:hint="eastAsia" w:ascii="仿宋_GB2312" w:eastAsia="仿宋_GB2312"/>
          <w:sz w:val="32"/>
          <w:szCs w:val="32"/>
        </w:rPr>
        <w:t>万元，</w:t>
      </w:r>
      <w:r>
        <w:rPr>
          <w:rFonts w:hint="eastAsia" w:ascii="仿宋_GB2312" w:eastAsia="仿宋_GB2312"/>
          <w:sz w:val="32"/>
          <w:szCs w:val="32"/>
          <w:lang w:eastAsia="zh-CN"/>
        </w:rPr>
        <w:t>支出</w:t>
      </w:r>
      <w:r>
        <w:rPr>
          <w:rFonts w:hint="eastAsia" w:ascii="仿宋_GB2312" w:eastAsia="仿宋_GB2312"/>
          <w:sz w:val="32"/>
          <w:szCs w:val="32"/>
        </w:rPr>
        <w:t>决算数为</w:t>
      </w:r>
      <w:r>
        <w:rPr>
          <w:rFonts w:hint="eastAsia" w:ascii="仿宋_GB2312"/>
          <w:sz w:val="32"/>
          <w:szCs w:val="32"/>
          <w:lang w:val="en-US" w:eastAsia="zh-CN"/>
        </w:rPr>
        <w:t>3351.16</w:t>
      </w:r>
      <w:r>
        <w:rPr>
          <w:rFonts w:hint="eastAsia" w:ascii="仿宋_GB2312" w:eastAsia="仿宋_GB2312"/>
          <w:sz w:val="32"/>
          <w:szCs w:val="32"/>
        </w:rPr>
        <w:t>万元，预算</w:t>
      </w:r>
      <w:r>
        <w:rPr>
          <w:rFonts w:hint="eastAsia" w:ascii="仿宋_GB2312" w:eastAsia="仿宋_GB2312"/>
          <w:sz w:val="32"/>
          <w:szCs w:val="32"/>
          <w:lang w:eastAsia="zh-CN"/>
        </w:rPr>
        <w:t>支出</w:t>
      </w:r>
      <w:r>
        <w:rPr>
          <w:rFonts w:hint="eastAsia" w:ascii="仿宋_GB2312" w:eastAsia="仿宋_GB2312"/>
          <w:sz w:val="32"/>
          <w:szCs w:val="32"/>
        </w:rPr>
        <w:t>完成度为100.00%</w:t>
      </w:r>
      <w:r>
        <w:rPr>
          <w:rFonts w:ascii="仿宋_GB2312" w:eastAsia="仿宋_GB2312"/>
          <w:sz w:val="32"/>
          <w:szCs w:val="32"/>
        </w:rPr>
        <w:t>。截止202</w:t>
      </w:r>
      <w:r>
        <w:rPr>
          <w:rFonts w:hint="eastAsia" w:ascii="仿宋_GB2312"/>
          <w:sz w:val="32"/>
          <w:szCs w:val="32"/>
          <w:lang w:val="en-US" w:eastAsia="zh-CN"/>
        </w:rPr>
        <w:t>4</w:t>
      </w:r>
      <w:r>
        <w:rPr>
          <w:rFonts w:ascii="仿宋_GB2312" w:eastAsia="仿宋_GB2312"/>
          <w:sz w:val="32"/>
          <w:szCs w:val="32"/>
        </w:rPr>
        <w:t>年度我单位资金无结转结余。</w:t>
      </w:r>
      <w:r>
        <w:rPr>
          <w:rFonts w:hint="eastAsia" w:ascii="仿宋_GB2312" w:eastAsia="仿宋_GB2312"/>
          <w:sz w:val="32"/>
          <w:szCs w:val="32"/>
          <w:lang w:val="zh-CN"/>
        </w:rPr>
        <w:t>指标分值</w:t>
      </w:r>
      <w:r>
        <w:rPr>
          <w:rFonts w:hint="eastAsia" w:ascii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  <w:lang w:val="zh-CN"/>
        </w:rPr>
        <w:t>分，自评得分</w:t>
      </w:r>
      <w:r>
        <w:rPr>
          <w:rFonts w:hint="eastAsia" w:ascii="仿宋_GB2312"/>
          <w:sz w:val="32"/>
          <w:szCs w:val="32"/>
          <w:lang w:val="en-US" w:eastAsia="zh-CN"/>
        </w:rPr>
        <w:t>3.29</w:t>
      </w:r>
      <w:r>
        <w:rPr>
          <w:rFonts w:hint="eastAsia" w:ascii="仿宋_GB2312" w:eastAsia="仿宋_GB2312"/>
          <w:sz w:val="32"/>
          <w:szCs w:val="32"/>
          <w:lang w:val="zh-CN"/>
        </w:rPr>
        <w:t>分。</w:t>
      </w:r>
    </w:p>
    <w:p w14:paraId="51FF4F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 w:val="0"/>
        <w:snapToGrid w:val="0"/>
        <w:spacing w:line="578" w:lineRule="exact"/>
        <w:ind w:left="0" w:firstLine="640" w:firstLineChars="200"/>
        <w:contextualSpacing/>
        <w:jc w:val="left"/>
        <w:rPr>
          <w:rFonts w:hint="eastAsia" w:ascii="仿宋_GB2312" w:eastAsia="仿宋_GB2312"/>
          <w:b w:val="0"/>
          <w:sz w:val="32"/>
          <w:szCs w:val="32"/>
          <w:lang w:val="zh-CN"/>
        </w:rPr>
      </w:pPr>
      <w:r>
        <w:rPr>
          <w:rFonts w:ascii="楷体_GB2312" w:eastAsia="楷体_GB2312" w:cs="楷体_GB2312"/>
          <w:color w:val="000000"/>
          <w:kern w:val="0"/>
          <w:szCs w:val="32"/>
          <w:shd w:val="clear" w:color="auto" w:fill="FFFFFF"/>
          <w:lang w:val="zh-CN"/>
        </w:rPr>
        <w:t>单位收入统筹</w:t>
      </w:r>
      <w:r>
        <w:rPr>
          <w:rFonts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b w:val="0"/>
          <w:sz w:val="32"/>
          <w:szCs w:val="32"/>
        </w:rPr>
        <w:t>我单位不涉及该项指标</w:t>
      </w:r>
      <w:r>
        <w:rPr>
          <w:rFonts w:ascii="仿宋_GB2312" w:eastAsia="仿宋_GB2312"/>
          <w:b w:val="0"/>
          <w:sz w:val="32"/>
          <w:szCs w:val="32"/>
        </w:rPr>
        <w:t>。</w:t>
      </w:r>
      <w:r>
        <w:rPr>
          <w:rFonts w:hint="eastAsia" w:ascii="仿宋_GB2312" w:eastAsia="仿宋_GB2312"/>
          <w:b w:val="0"/>
          <w:sz w:val="32"/>
          <w:szCs w:val="32"/>
          <w:lang w:val="zh-CN"/>
        </w:rPr>
        <w:t>指标分值</w:t>
      </w:r>
      <w:r>
        <w:rPr>
          <w:rFonts w:hint="eastAsia" w:ascii="仿宋_GB2312" w:eastAsia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/>
        </w:rPr>
        <w:t>分，自评得分</w:t>
      </w:r>
      <w:r>
        <w:rPr>
          <w:rFonts w:hint="eastAsia" w:ascii="仿宋_GB2312" w:eastAsia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/>
        </w:rPr>
        <w:t>分。</w:t>
      </w:r>
    </w:p>
    <w:p w14:paraId="47E629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 w:val="0"/>
        <w:snapToGrid w:val="0"/>
        <w:spacing w:line="578" w:lineRule="exact"/>
        <w:ind w:left="0" w:firstLine="640" w:firstLineChars="200"/>
        <w:contextualSpacing/>
        <w:jc w:val="left"/>
        <w:rPr>
          <w:rFonts w:hint="eastAsia" w:ascii="仿宋_GB2312" w:eastAsia="仿宋_GB2312"/>
          <w:b w:val="0"/>
          <w:sz w:val="32"/>
          <w:szCs w:val="32"/>
          <w:lang w:val="zh-CN" w:eastAsia="zh-CN"/>
        </w:rPr>
      </w:pPr>
      <w:r>
        <w:rPr>
          <w:rFonts w:hint="eastAsia" w:ascii="仿宋_GB2312" w:eastAsia="仿宋_GB2312"/>
          <w:b w:val="0"/>
          <w:sz w:val="32"/>
          <w:szCs w:val="32"/>
        </w:rPr>
        <w:t>支出执行进度</w:t>
      </w:r>
      <w:r>
        <w:rPr>
          <w:rFonts w:ascii="仿宋_GB2312" w:eastAsia="仿宋_GB2312"/>
          <w:b w:val="0"/>
          <w:sz w:val="32"/>
          <w:szCs w:val="32"/>
        </w:rPr>
        <w:t>：</w:t>
      </w:r>
      <w:r>
        <w:rPr>
          <w:rFonts w:hint="eastAsia" w:ascii="仿宋_GB2312" w:eastAsia="仿宋_GB2312"/>
          <w:b w:val="0"/>
          <w:sz w:val="32"/>
          <w:szCs w:val="32"/>
        </w:rPr>
        <w:t>202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</w:rPr>
        <w:t>年1-6月支付情况：预算数据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1447.72</w:t>
      </w:r>
      <w:r>
        <w:rPr>
          <w:rFonts w:hint="eastAsia" w:ascii="仿宋_GB2312" w:eastAsia="仿宋_GB2312"/>
          <w:b w:val="0"/>
          <w:sz w:val="32"/>
          <w:szCs w:val="32"/>
        </w:rPr>
        <w:t>万元，支付数据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1063.33</w:t>
      </w:r>
      <w:r>
        <w:rPr>
          <w:rFonts w:hint="eastAsia" w:ascii="仿宋_GB2312" w:eastAsia="仿宋_GB2312"/>
          <w:b w:val="0"/>
          <w:sz w:val="32"/>
          <w:szCs w:val="32"/>
        </w:rPr>
        <w:t>万元，支付率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73.4</w:t>
      </w:r>
      <w:r>
        <w:rPr>
          <w:rFonts w:hint="eastAsia" w:ascii="仿宋_GB2312" w:eastAsia="仿宋_GB2312"/>
          <w:b w:val="0"/>
          <w:sz w:val="32"/>
          <w:szCs w:val="32"/>
        </w:rPr>
        <w:t>%。1-12月预算数据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1447.72</w:t>
      </w:r>
      <w:r>
        <w:rPr>
          <w:rFonts w:hint="eastAsia" w:ascii="仿宋_GB2312" w:eastAsia="仿宋_GB2312"/>
          <w:b w:val="0"/>
          <w:sz w:val="32"/>
          <w:szCs w:val="32"/>
        </w:rPr>
        <w:t>万元，支付数据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3351.16</w:t>
      </w:r>
      <w:r>
        <w:rPr>
          <w:rFonts w:hint="eastAsia" w:ascii="仿宋_GB2312" w:eastAsia="仿宋_GB2312"/>
          <w:b w:val="0"/>
          <w:sz w:val="32"/>
          <w:szCs w:val="32"/>
        </w:rPr>
        <w:t>万元，支付率100%</w:t>
      </w:r>
      <w:r>
        <w:rPr>
          <w:rFonts w:ascii="仿宋_GB2312" w:eastAsia="仿宋_GB2312"/>
          <w:b w:val="0"/>
          <w:sz w:val="32"/>
          <w:szCs w:val="32"/>
        </w:rPr>
        <w:t>。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指标分值</w:t>
      </w:r>
      <w:r>
        <w:rPr>
          <w:rFonts w:hint="eastAsia" w:ascii="仿宋_GB2312" w:eastAsia="仿宋_GB2312"/>
          <w:b w:val="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分，自评得分</w:t>
      </w:r>
      <w:r>
        <w:rPr>
          <w:rFonts w:hint="eastAsia" w:ascii="仿宋_GB2312" w:eastAsia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分。</w:t>
      </w:r>
    </w:p>
    <w:p w14:paraId="1D1DE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 w:val="0"/>
        <w:snapToGrid w:val="0"/>
        <w:spacing w:line="578" w:lineRule="exact"/>
        <w:ind w:left="0" w:firstLine="640" w:firstLineChars="200"/>
        <w:contextualSpacing/>
        <w:jc w:val="left"/>
        <w:rPr>
          <w:rFonts w:hint="eastAsia" w:ascii="仿宋_GB2312" w:eastAsia="仿宋_GB2312"/>
          <w:b w:val="0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b w:val="0"/>
          <w:kern w:val="2"/>
          <w:sz w:val="32"/>
          <w:szCs w:val="32"/>
          <w:lang w:val="en-US" w:eastAsia="zh-CN" w:bidi="ar-SA"/>
        </w:rPr>
        <w:t>预算年终结余:2023年无结转结余。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指标分值2分，自评得分</w:t>
      </w:r>
      <w:r>
        <w:rPr>
          <w:rFonts w:hint="eastAsia" w:ascii="仿宋_GB2312" w:eastAsia="仿宋_GB2312"/>
          <w:b w:val="0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分。</w:t>
      </w:r>
    </w:p>
    <w:p w14:paraId="7FA367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 w:val="0"/>
        <w:snapToGrid w:val="0"/>
        <w:spacing w:line="578" w:lineRule="exact"/>
        <w:ind w:left="0" w:firstLine="640" w:firstLineChars="200"/>
        <w:contextualSpacing/>
        <w:jc w:val="left"/>
        <w:rPr>
          <w:rFonts w:hint="eastAsia" w:ascii="仿宋_GB2312" w:eastAsia="仿宋_GB2312"/>
          <w:b w:val="0"/>
          <w:sz w:val="32"/>
          <w:szCs w:val="32"/>
          <w:lang w:val="en-US" w:eastAsia="zh-CN"/>
        </w:rPr>
      </w:pPr>
      <w:r>
        <w:rPr>
          <w:rFonts w:ascii="仿宋_GB2312" w:eastAsia="仿宋_GB2312"/>
          <w:b w:val="0"/>
          <w:sz w:val="32"/>
          <w:szCs w:val="32"/>
          <w:lang w:val="en-US" w:eastAsia="zh-CN"/>
        </w:rPr>
        <w:t>严控一般性支出</w:t>
      </w:r>
      <w:r>
        <w:rPr>
          <w:rFonts w:hint="eastAsia" w:ascii="仿宋_GB2312" w:eastAsia="仿宋_GB2312"/>
          <w:b w:val="0"/>
          <w:sz w:val="32"/>
          <w:szCs w:val="32"/>
          <w:lang w:val="en-US" w:eastAsia="zh-CN"/>
        </w:rPr>
        <w:t>：我单位严控“三公”经费、会议、培训、差旅、办节办展、办公设备购置、信息网络及软件购置更新、课题经费等8项一般性支出。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指标分值</w:t>
      </w:r>
      <w:r>
        <w:rPr>
          <w:rFonts w:hint="eastAsia" w:ascii="仿宋_GB2312" w:eastAsia="仿宋_GB2312"/>
          <w:b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分，自评得分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分。</w:t>
      </w:r>
    </w:p>
    <w:p w14:paraId="4A106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 w:val="0"/>
        <w:snapToGrid w:val="0"/>
        <w:spacing w:line="578" w:lineRule="exact"/>
        <w:ind w:left="0" w:firstLine="640" w:firstLineChars="200"/>
        <w:contextualSpacing/>
        <w:jc w:val="left"/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</w:pPr>
      <w:r>
        <w:rPr>
          <w:rFonts w:hint="default" w:ascii="Times New Roman" w:hAnsi="Times New Roman" w:eastAsia="楷体_GB2312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3.</w:t>
      </w:r>
      <w:r>
        <w:rPr>
          <w:rFonts w:hint="default" w:ascii="Times New Roman" w:hAnsi="Times New Roman" w:eastAsia="楷体_GB2312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财务管理。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指标分值</w:t>
      </w: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10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分，自评得分</w:t>
      </w: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10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分。</w:t>
      </w:r>
    </w:p>
    <w:p w14:paraId="72014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 w:val="0"/>
        <w:snapToGrid w:val="0"/>
        <w:spacing w:line="578" w:lineRule="exact"/>
        <w:ind w:left="0" w:firstLine="640" w:firstLineChars="200"/>
        <w:contextualSpacing/>
        <w:jc w:val="left"/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</w:pP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财务管理制度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：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强化制度建设。不断强化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财务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管理制度建设，依据相关法律、法规及管理办法，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制定符合我乡财务制度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，着重从预算绩效管理主要内容和环节，规范操作程序和质量控制要求，构建起工作有指导、实施有方案、内部有规程等相互支撑制度体系。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指标分值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分，自评得分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分。</w:t>
      </w:r>
    </w:p>
    <w:p w14:paraId="3626E3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 w:val="0"/>
        <w:snapToGrid w:val="0"/>
        <w:spacing w:line="578" w:lineRule="exact"/>
        <w:ind w:left="0" w:firstLine="640" w:firstLineChars="200"/>
        <w:contextualSpacing/>
        <w:jc w:val="left"/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财务岗位设置：我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局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按照财务制度规定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,设立会计、出纳岗位，相互监督。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指标分值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分，自评得分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分。</w:t>
      </w:r>
    </w:p>
    <w:p w14:paraId="44EEE0BF">
      <w:pPr>
        <w:spacing w:line="360" w:lineRule="auto"/>
        <w:ind w:firstLine="640" w:firstLineChars="200"/>
        <w:rPr>
          <w:rFonts w:eastAsia="仿宋_GB231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</w:rPr>
        <w:t>资金使用规范</w:t>
      </w:r>
      <w:r>
        <w:rPr>
          <w:rFonts w:hint="eastAsia" w:ascii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 w:cs="仿宋_GB2312"/>
          <w:sz w:val="32"/>
          <w:szCs w:val="32"/>
        </w:rPr>
        <w:t>本年度收到预算资金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3351.16</w:t>
      </w:r>
      <w:r>
        <w:rPr>
          <w:rFonts w:hint="eastAsia" w:ascii="仿宋_GB2312" w:eastAsia="仿宋_GB2312" w:cs="仿宋_GB2312"/>
          <w:sz w:val="32"/>
          <w:szCs w:val="32"/>
        </w:rPr>
        <w:t>万元，实际使用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3351.16</w:t>
      </w:r>
      <w:r>
        <w:rPr>
          <w:rFonts w:hint="eastAsia" w:ascii="仿宋_GB2312" w:eastAsia="仿宋_GB2312" w:cs="仿宋_GB2312"/>
          <w:sz w:val="32"/>
          <w:szCs w:val="32"/>
        </w:rPr>
        <w:t>万元。资金使用过程中严格按照单位财务管理制度要求执行，提高资金使用的合规性。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指标分值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分，自评得分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分。</w:t>
      </w:r>
    </w:p>
    <w:p w14:paraId="02014733">
      <w:pPr>
        <w:snapToGrid w:val="0"/>
        <w:spacing w:line="360" w:lineRule="auto"/>
        <w:ind w:left="0" w:firstLine="640" w:firstLineChars="200"/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</w:pP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4.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资产管理</w:t>
      </w: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。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指标分值</w:t>
      </w: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9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分，自评得分</w:t>
      </w: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9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分。</w:t>
      </w:r>
    </w:p>
    <w:p w14:paraId="40508BE9">
      <w:pPr>
        <w:spacing w:line="360" w:lineRule="auto"/>
        <w:ind w:firstLine="640" w:firstLineChars="200"/>
        <w:rPr>
          <w:rFonts w:hint="default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en-US"/>
        </w:rPr>
      </w:pP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人均资产变化率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=(期末人均资产-期初人均资产)/期初人均资产*100%。均符合相关规定，低于规定值。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指标分值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分，自评得分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分。</w:t>
      </w:r>
    </w:p>
    <w:p w14:paraId="082A1346">
      <w:pPr>
        <w:spacing w:line="360" w:lineRule="auto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固定资产在用率。截止</w:t>
      </w:r>
      <w:r>
        <w:rPr>
          <w:rFonts w:ascii="仿宋_GB2312" w:eastAsia="仿宋_GB2312" w:cs="仿宋_GB2312"/>
          <w:sz w:val="32"/>
          <w:szCs w:val="32"/>
        </w:rPr>
        <w:t>202</w:t>
      </w:r>
      <w:r>
        <w:rPr>
          <w:rFonts w:hint="eastAsia" w:ascii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仿宋_GB2312"/>
          <w:sz w:val="32"/>
          <w:szCs w:val="32"/>
        </w:rPr>
        <w:t>年</w:t>
      </w:r>
      <w:r>
        <w:rPr>
          <w:rFonts w:ascii="仿宋_GB2312" w:eastAsia="仿宋_GB2312" w:cs="仿宋_GB2312"/>
          <w:sz w:val="32"/>
          <w:szCs w:val="32"/>
        </w:rPr>
        <w:t>12</w:t>
      </w:r>
      <w:r>
        <w:rPr>
          <w:rFonts w:hint="eastAsia" w:ascii="仿宋_GB2312" w:eastAsia="仿宋_GB2312" w:cs="仿宋_GB2312"/>
          <w:sz w:val="32"/>
          <w:szCs w:val="32"/>
        </w:rPr>
        <w:t>月</w:t>
      </w:r>
      <w:r>
        <w:rPr>
          <w:rFonts w:ascii="仿宋_GB2312" w:eastAsia="仿宋_GB2312" w:cs="仿宋_GB2312"/>
          <w:sz w:val="32"/>
          <w:szCs w:val="32"/>
        </w:rPr>
        <w:t>31</w:t>
      </w:r>
      <w:r>
        <w:rPr>
          <w:rFonts w:hint="eastAsia" w:ascii="仿宋_GB2312" w:eastAsia="仿宋_GB2312" w:cs="仿宋_GB2312"/>
          <w:sz w:val="32"/>
          <w:szCs w:val="32"/>
        </w:rPr>
        <w:t>日，固定资产总计</w:t>
      </w:r>
      <w:r>
        <w:rPr>
          <w:rFonts w:hint="eastAsia" w:ascii="仿宋_GB2312" w:cs="仿宋_GB2312"/>
          <w:sz w:val="32"/>
          <w:szCs w:val="32"/>
          <w:lang w:val="en-US" w:eastAsia="zh-CN"/>
        </w:rPr>
        <w:t>2590.59</w:t>
      </w:r>
      <w:r>
        <w:rPr>
          <w:rFonts w:hint="eastAsia" w:ascii="仿宋_GB2312" w:eastAsia="仿宋_GB2312" w:cs="仿宋_GB2312"/>
          <w:sz w:val="32"/>
          <w:szCs w:val="32"/>
        </w:rPr>
        <w:t>万元，在用的固定资产总计</w:t>
      </w:r>
      <w:r>
        <w:rPr>
          <w:rFonts w:hint="eastAsia" w:ascii="仿宋_GB2312" w:cs="仿宋_GB2312"/>
          <w:sz w:val="32"/>
          <w:szCs w:val="32"/>
          <w:lang w:val="en-US" w:eastAsia="zh-CN"/>
        </w:rPr>
        <w:t>2590.59</w:t>
      </w:r>
      <w:r>
        <w:rPr>
          <w:rFonts w:hint="eastAsia" w:ascii="仿宋_GB2312" w:eastAsia="仿宋_GB2312" w:cs="仿宋_GB2312"/>
          <w:sz w:val="32"/>
          <w:szCs w:val="32"/>
        </w:rPr>
        <w:t>万元，固定资产在用率达</w:t>
      </w:r>
      <w:r>
        <w:rPr>
          <w:rFonts w:ascii="仿宋_GB2312" w:eastAsia="仿宋_GB2312" w:cs="仿宋_GB2312"/>
          <w:sz w:val="32"/>
          <w:szCs w:val="32"/>
        </w:rPr>
        <w:t>100%</w:t>
      </w:r>
      <w:r>
        <w:rPr>
          <w:rFonts w:hint="eastAsia" w:ascii="仿宋_GB2312" w:eastAsia="仿宋_GB2312" w:cs="仿宋_GB2312"/>
          <w:sz w:val="32"/>
          <w:szCs w:val="32"/>
        </w:rPr>
        <w:t>。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指标分值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分，自评得分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分。</w:t>
      </w:r>
    </w:p>
    <w:p w14:paraId="2A8BD9EF">
      <w:pPr>
        <w:spacing w:line="360" w:lineRule="auto"/>
        <w:ind w:firstLine="640" w:firstLineChars="200"/>
        <w:rPr>
          <w:rFonts w:hint="eastAsia" w:ascii="仿宋_GB2312" w:cs="仿宋_GB2312"/>
          <w:sz w:val="32"/>
          <w:szCs w:val="32"/>
          <w:lang w:val="en-US" w:eastAsia="zh-CN"/>
        </w:rPr>
      </w:pPr>
      <w:r>
        <w:rPr>
          <w:rFonts w:hint="eastAsia" w:ascii="仿宋_GB2312" w:cs="仿宋_GB2312"/>
          <w:sz w:val="32"/>
          <w:szCs w:val="32"/>
          <w:lang w:eastAsia="zh-CN"/>
        </w:rPr>
        <w:t>资产盘活率。资产闲置</w:t>
      </w:r>
      <w:r>
        <w:rPr>
          <w:rFonts w:hint="eastAsia" w:ascii="仿宋_GB2312" w:cs="仿宋_GB2312"/>
          <w:sz w:val="32"/>
          <w:szCs w:val="32"/>
          <w:lang w:val="en-US" w:eastAsia="zh-CN"/>
        </w:rPr>
        <w:t>0万元，</w:t>
      </w:r>
      <w:r>
        <w:rPr>
          <w:rFonts w:hint="eastAsia" w:ascii="仿宋_GB2312" w:cs="仿宋_GB2312"/>
          <w:sz w:val="32"/>
          <w:szCs w:val="32"/>
          <w:lang w:eastAsia="zh-CN"/>
        </w:rPr>
        <w:t>资产盘活率达</w:t>
      </w:r>
      <w:r>
        <w:rPr>
          <w:rFonts w:hint="eastAsia" w:ascii="仿宋_GB2312" w:cs="仿宋_GB2312"/>
          <w:sz w:val="32"/>
          <w:szCs w:val="32"/>
          <w:lang w:val="en-US" w:eastAsia="zh-CN"/>
        </w:rPr>
        <w:t>100%。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指标分值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分，自评得分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分。</w:t>
      </w:r>
    </w:p>
    <w:p w14:paraId="679F61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640" w:firstLineChars="200"/>
        <w:contextualSpacing/>
        <w:jc w:val="left"/>
        <w:textAlignment w:val="auto"/>
        <w:outlineLvl w:val="9"/>
        <w:rPr>
          <w:rFonts w:hint="default" w:ascii="Times New Roman" w:hAnsi="Times New Roman" w:eastAsia="楷体_GB2312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</w:pPr>
      <w:r>
        <w:rPr>
          <w:rFonts w:hint="default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围绕财务管理制度、财务岗位设置、资金使用规范进行绩效分析。</w:t>
      </w:r>
    </w:p>
    <w:p w14:paraId="258E6C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640" w:firstLineChars="200"/>
        <w:contextualSpacing/>
        <w:jc w:val="left"/>
        <w:textAlignment w:val="auto"/>
        <w:outlineLvl w:val="9"/>
        <w:rPr>
          <w:rFonts w:hint="default" w:ascii="Times New Roman" w:hAnsi="Times New Roman" w:eastAsia="楷体_GB2312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</w:pPr>
      <w:r>
        <w:rPr>
          <w:rFonts w:hint="default" w:ascii="Times New Roman" w:hAnsi="Times New Roman" w:eastAsia="楷体_GB2312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4.</w:t>
      </w:r>
      <w:r>
        <w:rPr>
          <w:rFonts w:hint="default" w:ascii="Times New Roman" w:hAnsi="Times New Roman" w:eastAsia="楷体_GB2312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资产管理。</w:t>
      </w:r>
      <w:r>
        <w:rPr>
          <w:rFonts w:hint="default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围绕人均资产变化率、资产利用率、资产盘活率进行绩效分析。</w:t>
      </w:r>
    </w:p>
    <w:p w14:paraId="1EA505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 w:val="0"/>
        <w:snapToGrid w:val="0"/>
        <w:spacing w:line="578" w:lineRule="exact"/>
        <w:ind w:left="0" w:firstLine="640" w:firstLineChars="200"/>
        <w:contextualSpacing/>
        <w:jc w:val="left"/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</w:pPr>
      <w:r>
        <w:rPr>
          <w:rFonts w:hint="default" w:ascii="Times New Roman" w:hAnsi="Times New Roman" w:eastAsia="楷体_GB2312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5.</w:t>
      </w:r>
      <w:r>
        <w:rPr>
          <w:rFonts w:hint="default" w:ascii="Times New Roman" w:hAnsi="Times New Roman" w:eastAsia="楷体_GB2312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采购管理。</w:t>
      </w:r>
      <w:r>
        <w:rPr>
          <w:rFonts w:hint="default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围绕支持中小企业发展、采购执行率进行绩效分析。</w:t>
      </w: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5.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采购管理</w:t>
      </w: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。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指标分值</w:t>
      </w: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6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分，自评得分</w:t>
      </w: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6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分。</w:t>
      </w:r>
    </w:p>
    <w:p w14:paraId="67C78565">
      <w:pPr>
        <w:spacing w:line="360" w:lineRule="auto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采购执行率</w:t>
      </w:r>
      <w:r>
        <w:rPr>
          <w:rFonts w:hint="eastAsia" w:ascii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 w:cs="仿宋_GB2312"/>
          <w:sz w:val="32"/>
          <w:szCs w:val="32"/>
        </w:rPr>
        <w:t>采购</w:t>
      </w:r>
      <w:r>
        <w:rPr>
          <w:rFonts w:hint="eastAsia" w:ascii="仿宋_GB2312" w:cs="仿宋_GB2312"/>
          <w:sz w:val="32"/>
          <w:szCs w:val="32"/>
          <w:lang w:eastAsia="zh-CN"/>
        </w:rPr>
        <w:t>执行</w:t>
      </w:r>
      <w:r>
        <w:rPr>
          <w:rFonts w:hint="eastAsia" w:ascii="仿宋_GB2312" w:eastAsia="仿宋_GB2312" w:cs="仿宋_GB2312"/>
          <w:sz w:val="32"/>
          <w:szCs w:val="32"/>
        </w:rPr>
        <w:t>规范性</w:t>
      </w:r>
      <w:r>
        <w:rPr>
          <w:rFonts w:hint="eastAsia" w:ascii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cs="仿宋_GB2312"/>
          <w:sz w:val="32"/>
          <w:szCs w:val="32"/>
          <w:lang w:val="en-US" w:eastAsia="zh-CN"/>
        </w:rPr>
        <w:t>2024年</w:t>
      </w:r>
      <w:r>
        <w:rPr>
          <w:rFonts w:hint="eastAsia" w:ascii="仿宋_GB2312" w:eastAsia="仿宋_GB2312" w:cs="仿宋_GB2312"/>
          <w:sz w:val="32"/>
          <w:szCs w:val="32"/>
        </w:rPr>
        <w:t>年度政府采购</w:t>
      </w:r>
      <w:r>
        <w:rPr>
          <w:rFonts w:hint="eastAsia" w:ascii="仿宋_GB2312" w:cs="仿宋_GB2312"/>
          <w:sz w:val="32"/>
          <w:szCs w:val="32"/>
          <w:lang w:eastAsia="zh-CN"/>
        </w:rPr>
        <w:t>计划</w:t>
      </w:r>
      <w:r>
        <w:rPr>
          <w:rFonts w:hint="eastAsia" w:ascii="仿宋_GB2312" w:cs="仿宋_GB2312"/>
          <w:sz w:val="32"/>
          <w:szCs w:val="32"/>
          <w:lang w:val="en-US" w:eastAsia="zh-CN"/>
        </w:rPr>
        <w:t>272.39万元，</w:t>
      </w:r>
      <w:r>
        <w:rPr>
          <w:rFonts w:hint="eastAsia" w:ascii="仿宋_GB2312" w:eastAsia="仿宋_GB2312" w:cs="仿宋_GB2312"/>
          <w:sz w:val="32"/>
          <w:szCs w:val="32"/>
        </w:rPr>
        <w:t>支出</w:t>
      </w:r>
      <w:r>
        <w:rPr>
          <w:rFonts w:hint="eastAsia" w:ascii="仿宋_GB2312" w:cs="仿宋_GB2312"/>
          <w:sz w:val="32"/>
          <w:szCs w:val="32"/>
          <w:lang w:val="en-US" w:eastAsia="zh-CN"/>
        </w:rPr>
        <w:t>272.39</w:t>
      </w:r>
      <w:r>
        <w:rPr>
          <w:rFonts w:hint="eastAsia" w:ascii="仿宋_GB2312" w:eastAsia="仿宋_GB2312" w:cs="仿宋_GB2312"/>
          <w:sz w:val="32"/>
          <w:szCs w:val="32"/>
        </w:rPr>
        <w:t>万元，政府采购工程支出</w:t>
      </w:r>
      <w:r>
        <w:rPr>
          <w:rFonts w:hint="eastAsia" w:ascii="仿宋_GB2312" w:cs="仿宋_GB2312"/>
          <w:sz w:val="32"/>
          <w:szCs w:val="32"/>
          <w:lang w:val="en-US" w:eastAsia="zh-CN"/>
        </w:rPr>
        <w:t>225.41万元</w:t>
      </w:r>
      <w:r>
        <w:rPr>
          <w:rFonts w:hint="eastAsia" w:ascii="仿宋_GB2312" w:eastAsia="仿宋_GB2312" w:cs="仿宋_GB2312"/>
          <w:sz w:val="32"/>
          <w:szCs w:val="32"/>
        </w:rPr>
        <w:t>，政府采购服务支出</w:t>
      </w:r>
      <w:r>
        <w:rPr>
          <w:rFonts w:hint="eastAsia" w:ascii="仿宋_GB2312" w:cs="仿宋_GB2312"/>
          <w:sz w:val="32"/>
          <w:szCs w:val="32"/>
          <w:lang w:val="en-US" w:eastAsia="zh-CN"/>
        </w:rPr>
        <w:t>44.88</w:t>
      </w:r>
      <w:r>
        <w:rPr>
          <w:rFonts w:hint="eastAsia" w:ascii="仿宋_GB2312" w:eastAsia="仿宋_GB2312" w:cs="仿宋_GB2312"/>
          <w:sz w:val="32"/>
          <w:szCs w:val="32"/>
        </w:rPr>
        <w:t>万元</w:t>
      </w:r>
      <w:r>
        <w:rPr>
          <w:rFonts w:hint="eastAsia" w:ascii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 w:cs="仿宋_GB2312"/>
          <w:sz w:val="32"/>
          <w:szCs w:val="32"/>
        </w:rPr>
        <w:t>政府采购</w:t>
      </w:r>
      <w:r>
        <w:rPr>
          <w:rFonts w:hint="eastAsia" w:ascii="仿宋_GB2312" w:cs="仿宋_GB2312"/>
          <w:sz w:val="32"/>
          <w:szCs w:val="32"/>
          <w:lang w:eastAsia="zh-CN"/>
        </w:rPr>
        <w:t>货物</w:t>
      </w:r>
      <w:r>
        <w:rPr>
          <w:rFonts w:hint="eastAsia" w:ascii="仿宋_GB2312" w:eastAsia="仿宋_GB2312" w:cs="仿宋_GB2312"/>
          <w:sz w:val="32"/>
          <w:szCs w:val="32"/>
        </w:rPr>
        <w:t>支出</w:t>
      </w:r>
      <w:r>
        <w:rPr>
          <w:rFonts w:hint="eastAsia" w:ascii="仿宋_GB2312" w:cs="仿宋_GB2312"/>
          <w:sz w:val="32"/>
          <w:szCs w:val="32"/>
          <w:lang w:val="en-US" w:eastAsia="zh-CN"/>
        </w:rPr>
        <w:t>2.1万元</w:t>
      </w:r>
      <w:r>
        <w:rPr>
          <w:rFonts w:hint="eastAsia" w:ascii="仿宋_GB2312" w:eastAsia="仿宋_GB2312" w:cs="仿宋_GB2312"/>
          <w:sz w:val="32"/>
          <w:szCs w:val="32"/>
        </w:rPr>
        <w:t>。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指标分值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分，自评得分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分。</w:t>
      </w:r>
    </w:p>
    <w:p w14:paraId="0CF43C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640" w:firstLineChars="200"/>
        <w:contextualSpacing/>
        <w:jc w:val="left"/>
        <w:textAlignment w:val="auto"/>
        <w:outlineLvl w:val="9"/>
        <w:rPr>
          <w:rFonts w:hint="default" w:ascii="Times New Roman" w:hAnsi="Times New Roman" w:eastAsia="楷体_GB2312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</w:pPr>
      <w:r>
        <w:rPr>
          <w:rFonts w:hint="eastAsia" w:ascii="仿宋_GB2312" w:eastAsia="仿宋_GB2312" w:cs="仿宋_GB2312"/>
          <w:sz w:val="32"/>
          <w:szCs w:val="32"/>
        </w:rPr>
        <w:t>支持中小企业发展</w:t>
      </w:r>
      <w:r>
        <w:rPr>
          <w:rFonts w:hint="eastAsia" w:ascii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 w:cs="仿宋_GB2312"/>
          <w:sz w:val="32"/>
          <w:szCs w:val="32"/>
        </w:rPr>
        <w:t>政府采购授予中小企业合同金额</w:t>
      </w:r>
      <w:r>
        <w:rPr>
          <w:rFonts w:hint="eastAsia" w:ascii="仿宋_GB2312" w:cs="仿宋_GB2312"/>
          <w:sz w:val="32"/>
          <w:szCs w:val="32"/>
          <w:lang w:val="en-US" w:eastAsia="zh-CN"/>
        </w:rPr>
        <w:t>272.39</w:t>
      </w:r>
      <w:r>
        <w:rPr>
          <w:rFonts w:hint="eastAsia" w:ascii="仿宋_GB2312" w:eastAsia="仿宋_GB2312" w:cs="仿宋_GB2312"/>
          <w:sz w:val="32"/>
          <w:szCs w:val="32"/>
        </w:rPr>
        <w:t>万元，其中：授予小微企业合同金额</w:t>
      </w:r>
      <w:r>
        <w:rPr>
          <w:rFonts w:ascii="仿宋_GB2312" w:eastAsia="仿宋_GB2312" w:cs="仿宋_GB2312"/>
          <w:sz w:val="32"/>
          <w:szCs w:val="32"/>
        </w:rPr>
        <w:t>0</w:t>
      </w:r>
      <w:r>
        <w:rPr>
          <w:rFonts w:hint="eastAsia" w:ascii="仿宋_GB2312" w:eastAsia="仿宋_GB2312" w:cs="仿宋_GB2312"/>
          <w:sz w:val="32"/>
          <w:szCs w:val="32"/>
        </w:rPr>
        <w:t>万元。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指标分值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分，自</w:t>
      </w:r>
    </w:p>
    <w:p w14:paraId="40A76A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643" w:firstLineChars="200"/>
        <w:contextualSpacing/>
        <w:jc w:val="left"/>
        <w:textAlignment w:val="auto"/>
        <w:outlineLvl w:val="9"/>
        <w:rPr>
          <w:rFonts w:hint="default" w:ascii="Times New Roman" w:hAnsi="Times New Roman" w:eastAsia="楷体_GB2312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zh-CN"/>
        </w:rPr>
        <w:t>（二）部门预算项目绩效分析。</w:t>
      </w:r>
      <w:r>
        <w:rPr>
          <w:rFonts w:hint="eastAsia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zh-CN"/>
        </w:rPr>
        <w:t>指标分值</w:t>
      </w:r>
      <w:r>
        <w:rPr>
          <w:rFonts w:hint="eastAsia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35分，自评得分35分。</w:t>
      </w:r>
    </w:p>
    <w:p w14:paraId="1DBA2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firstLine="640" w:firstLineChars="200"/>
        <w:contextualSpacing/>
        <w:jc w:val="left"/>
        <w:textAlignment w:val="auto"/>
        <w:outlineLvl w:val="9"/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</w:pP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常年项目绩效分析。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该类项目总数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7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个，涉及预算总金额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 xml:space="preserve">   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416.66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万元，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1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—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1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2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月预算执行总体进度为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100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%，其中：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预算结余率大于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10%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的项目共计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0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个。</w:t>
      </w:r>
    </w:p>
    <w:p w14:paraId="5E48D079">
      <w:pPr>
        <w:snapToGrid w:val="0"/>
        <w:spacing w:line="360" w:lineRule="auto"/>
        <w:ind w:firstLine="640" w:firstLineChars="200"/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</w:pP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阶段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（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一次性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）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项目绩效分析。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该类项目总数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13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个，涉及预算总金额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1285.58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万元，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1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—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1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2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月预算执行总体进度为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1285.58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%，其中：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预算结余率大于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10%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的项目共计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0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个。</w:t>
      </w:r>
    </w:p>
    <w:p w14:paraId="03CC80D4">
      <w:pPr>
        <w:snapToGrid w:val="0"/>
        <w:spacing w:line="360" w:lineRule="auto"/>
        <w:ind w:left="0" w:firstLine="640" w:firstLineChars="200"/>
        <w:rPr>
          <w:lang w:val="zh-CN" w:eastAsia="zh-CN"/>
        </w:rPr>
      </w:pP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1.</w:t>
      </w: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项目决策。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指标分值</w:t>
      </w: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12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分，自评得分</w:t>
      </w: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12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分。</w:t>
      </w:r>
    </w:p>
    <w:p w14:paraId="048F6E4D">
      <w:pPr>
        <w:snapToGrid w:val="0"/>
        <w:spacing w:line="360" w:lineRule="auto"/>
        <w:ind w:firstLine="640" w:firstLineChars="200"/>
        <w:rPr>
          <w:rFonts w:hint="eastAsia" w:ascii="仿宋_GB2312" w:eastAsia="仿宋_GB231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决策程序</w:t>
      </w:r>
      <w:r>
        <w:rPr>
          <w:rFonts w:hint="eastAsia" w:cs="Times New Roman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;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我</w:t>
      </w:r>
      <w:r>
        <w:rPr>
          <w:rFonts w:hint="eastAsia" w:cs="Times New Roman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局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从项目立项必要性、投入经济性、目标合理性、实施可行性、筹资合规性。</w:t>
      </w:r>
      <w:r>
        <w:rPr>
          <w:rFonts w:hint="eastAsia" w:ascii="仿宋_GB2312" w:eastAsia="仿宋_GB2312"/>
        </w:rPr>
        <w:t>按照厉行节约的要求，结合项目开支情况结合实际需求、相关费用标准及市场价格水平，重点对</w:t>
      </w:r>
      <w:r>
        <w:rPr>
          <w:rFonts w:hint="eastAsia" w:ascii="仿宋_GB2312"/>
          <w:lang w:eastAsia="zh-CN"/>
        </w:rPr>
        <w:t>目标</w:t>
      </w:r>
      <w:r>
        <w:rPr>
          <w:rFonts w:hint="eastAsia" w:ascii="仿宋_GB2312" w:eastAsia="仿宋_GB2312"/>
        </w:rPr>
        <w:t>数量是否合理、投入是否经济、预算测算是否准确、测算过程是否详细、测算依据是否充分等方面进行了</w:t>
      </w:r>
      <w:r>
        <w:rPr>
          <w:rFonts w:hint="eastAsia" w:ascii="仿宋_GB2312"/>
          <w:lang w:eastAsia="zh-CN"/>
        </w:rPr>
        <w:t>分析</w:t>
      </w:r>
      <w:r>
        <w:rPr>
          <w:rFonts w:hint="eastAsia" w:ascii="仿宋_GB2312" w:eastAsia="仿宋_GB2312"/>
        </w:rPr>
        <w:t>。</w:t>
      </w:r>
      <w:r>
        <w:rPr>
          <w:rFonts w:hint="eastAsia" w:ascii="仿宋_GB2312" w:cs="仿宋"/>
          <w:sz w:val="32"/>
          <w:szCs w:val="32"/>
          <w:lang w:val="zh-CN" w:eastAsia="zh-CN" w:bidi="ar-SA"/>
        </w:rPr>
        <w:t>确定项目实施。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指标分值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分，自评得分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分。</w:t>
      </w:r>
    </w:p>
    <w:p w14:paraId="1CB63E62">
      <w:pPr>
        <w:snapToGrid w:val="0"/>
        <w:spacing w:line="360" w:lineRule="auto"/>
        <w:ind w:firstLine="640" w:firstLineChars="200"/>
        <w:rPr>
          <w:rFonts w:hint="eastAsia" w:eastAsia="仿宋_GB2312"/>
          <w:lang w:eastAsia="zh-CN"/>
        </w:rPr>
      </w:pPr>
      <w:r>
        <w:rPr>
          <w:rFonts w:hint="eastAsia" w:ascii="仿宋_GB2312" w:eastAsia="仿宋_GB2312"/>
        </w:rPr>
        <w:t>项目入库</w:t>
      </w:r>
      <w:r>
        <w:rPr>
          <w:rFonts w:hint="eastAsia" w:ascii="仿宋_GB2312"/>
          <w:lang w:eastAsia="zh-CN"/>
        </w:rPr>
        <w:t>；我局按照项目建设要求在规定时间完成项目入库。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指标分值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分，自评得分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分。</w:t>
      </w:r>
    </w:p>
    <w:p w14:paraId="736F6953">
      <w:pPr>
        <w:snapToGrid w:val="0"/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zh-CN" w:eastAsia="zh-CN"/>
        </w:rPr>
        <w:t>目标设置</w:t>
      </w:r>
      <w:r>
        <w:rPr>
          <w:rFonts w:hint="eastAsia" w:ascii="仿宋_GB2312"/>
          <w:sz w:val="32"/>
          <w:szCs w:val="32"/>
          <w:lang w:val="en-US" w:eastAsia="zh-CN"/>
        </w:rPr>
        <w:t>:</w:t>
      </w:r>
      <w:r>
        <w:rPr>
          <w:rFonts w:hint="eastAsia" w:ascii="仿宋_GB2312" w:eastAsia="仿宋_GB2312"/>
          <w:sz w:val="32"/>
          <w:szCs w:val="32"/>
          <w:lang w:val="zh-CN" w:eastAsia="zh-CN"/>
        </w:rPr>
        <w:t>申报的</w:t>
      </w:r>
      <w:r>
        <w:rPr>
          <w:rFonts w:hint="eastAsia" w:ascii="仿宋_GB2312" w:eastAsia="仿宋_GB2312"/>
          <w:sz w:val="32"/>
          <w:szCs w:val="32"/>
        </w:rPr>
        <w:t>资金项目内容</w:t>
      </w:r>
      <w:r>
        <w:rPr>
          <w:rFonts w:hint="eastAsia" w:ascii="仿宋_GB2312" w:eastAsia="仿宋_GB2312"/>
          <w:sz w:val="32"/>
          <w:szCs w:val="32"/>
          <w:lang w:val="zh-CN" w:eastAsia="zh-CN"/>
        </w:rPr>
        <w:t>与具体实施内容相符的、申报目标是合理可行</w:t>
      </w:r>
      <w:r>
        <w:rPr>
          <w:rFonts w:hint="eastAsia" w:ascii="仿宋_GB2312" w:eastAsia="仿宋_GB2312" w:cs="仿宋"/>
          <w:sz w:val="32"/>
          <w:szCs w:val="32"/>
          <w:lang w:val="zh-CN" w:eastAsia="zh-CN" w:bidi="ar-SA"/>
        </w:rPr>
        <w:t>。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指标分值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分，自评得分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分。</w:t>
      </w:r>
    </w:p>
    <w:p w14:paraId="63F307B4">
      <w:pPr>
        <w:ind w:left="0" w:firstLine="640" w:firstLineChars="200"/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</w:pP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2.项目执行</w:t>
      </w: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。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指标分值</w:t>
      </w: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12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分，自评得分</w:t>
      </w: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12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分。</w:t>
      </w:r>
    </w:p>
    <w:p w14:paraId="2CC67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</w:pP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执行同向：各项目实际列支内容是否与绩效目标设置方向相符。项目组织管理架构及具体实施流程，包括机构设置、监管措施、执行相关管理制度等符合相关规定。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指标分值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分，自评得分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分。</w:t>
      </w:r>
    </w:p>
    <w:p w14:paraId="3BC4F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textAlignment w:val="auto"/>
        <w:rPr>
          <w:rFonts w:hint="eastAsia" w:ascii="仿宋_GB2312" w:eastAsia="仿宋_GB2312"/>
          <w:b w:val="0"/>
          <w:sz w:val="32"/>
          <w:szCs w:val="32"/>
          <w:lang w:val="zh-CN" w:eastAsia="zh-CN"/>
        </w:rPr>
      </w:pP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项目调整：按照县委资金分配，设立项目，未调整。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指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标分值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分，自评得分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分。</w:t>
      </w:r>
    </w:p>
    <w:p w14:paraId="7A7EA4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执行结果：资金开支范围、标准及支付进度，支付依据合规合法，资金支付与预算相符。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指标分值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分，自评得分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分。</w:t>
      </w:r>
    </w:p>
    <w:p w14:paraId="4327DA7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</w:pP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目标实现。指标分值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11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分，自评得分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11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分。</w:t>
      </w:r>
    </w:p>
    <w:p w14:paraId="532B4A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firstLine="640" w:firstLineChars="200"/>
        <w:contextualSpacing/>
        <w:jc w:val="left"/>
        <w:textAlignment w:val="auto"/>
        <w:outlineLvl w:val="9"/>
        <w:rPr>
          <w:rFonts w:hint="eastAsia" w:ascii="仿宋_GB2312" w:eastAsia="仿宋_GB2312"/>
          <w:b w:val="0"/>
          <w:sz w:val="32"/>
          <w:szCs w:val="32"/>
          <w:lang w:val="zh-CN" w:eastAsia="zh-CN"/>
        </w:rPr>
      </w:pP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目标完成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：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项目从经济、社会、生态、可持续效益以及服务对象满意度等方面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科学制定目标任务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。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截止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2024年年底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项目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按照目标任务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完成数量、质量、时效、成本等计划完成目标。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指标分值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分，自评得分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分。</w:t>
      </w:r>
    </w:p>
    <w:p w14:paraId="78847E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firstLine="640" w:firstLineChars="200"/>
        <w:contextualSpacing/>
        <w:jc w:val="left"/>
        <w:textAlignment w:val="auto"/>
        <w:outlineLvl w:val="9"/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</w:pP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目标偏离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：预算项目绩效目标数量指标实现程度与预期目标的无偏离情况。各项目实际工作中达到预期的目标或标准，与设定的绩效目标之间不存在差异。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指标分值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分，自评得分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分。</w:t>
      </w:r>
    </w:p>
    <w:p w14:paraId="7BF033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firstLine="640" w:firstLineChars="200"/>
        <w:contextualSpacing/>
        <w:jc w:val="left"/>
        <w:textAlignment w:val="auto"/>
        <w:outlineLvl w:val="9"/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</w:pP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实现效果：加快构建全方位、全过程、全覆盖预算绩效管理体系，财政资源配置效率和资金使用效益实现“双提升”。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指标分值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分，自评得分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分。</w:t>
      </w:r>
    </w:p>
    <w:p w14:paraId="000A331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cs="Times New Roman"/>
          <w:sz w:val="32"/>
          <w:szCs w:val="32"/>
          <w:highlight w:val="none"/>
          <w:u w:val="none"/>
          <w:lang w:eastAsia="zh-CN"/>
        </w:rPr>
      </w:pPr>
      <w:r>
        <w:rPr>
          <w:rFonts w:hint="eastAsia" w:cs="Times New Roman"/>
          <w:sz w:val="32"/>
          <w:szCs w:val="32"/>
          <w:u w:val="none"/>
          <w:lang w:eastAsia="zh-CN"/>
        </w:rPr>
        <w:t>我单位不涉及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202</w:t>
      </w:r>
      <w:r>
        <w:rPr>
          <w:rFonts w:hint="eastAsia" w:cs="Times New Roman"/>
          <w:sz w:val="32"/>
          <w:szCs w:val="32"/>
          <w:u w:val="none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年度</w:t>
      </w:r>
      <w:r>
        <w:rPr>
          <w:rFonts w:ascii="Times New Roman" w:hAnsi="Times New Roman" w:eastAsia="仿宋_GB2312" w:cs="Times New Roman"/>
          <w:sz w:val="32"/>
          <w:szCs w:val="32"/>
          <w:u w:val="none"/>
        </w:rPr>
        <w:t>国有资</w:t>
      </w:r>
      <w:r>
        <w:rPr>
          <w:rFonts w:ascii="Times New Roman" w:hAnsi="Times New Roman" w:eastAsia="仿宋_GB2312" w:cs="Times New Roman"/>
          <w:sz w:val="32"/>
          <w:szCs w:val="32"/>
          <w:highlight w:val="none"/>
          <w:u w:val="none"/>
        </w:rPr>
        <w:t>本经营预算、社会保险基金预算</w:t>
      </w:r>
      <w:r>
        <w:rPr>
          <w:rFonts w:hint="eastAsia" w:cs="Times New Roman"/>
          <w:sz w:val="32"/>
          <w:szCs w:val="32"/>
          <w:highlight w:val="none"/>
          <w:u w:val="none"/>
          <w:lang w:eastAsia="zh-CN"/>
        </w:rPr>
        <w:t>。</w:t>
      </w:r>
    </w:p>
    <w:p w14:paraId="0DC3A262">
      <w:pPr>
        <w:snapToGrid w:val="0"/>
        <w:spacing w:line="360" w:lineRule="auto"/>
        <w:ind w:left="0"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截止</w:t>
      </w:r>
      <w:r>
        <w:rPr>
          <w:rFonts w:ascii="仿宋_GB2312" w:eastAsia="仿宋_GB2312" w:cs="仿宋_GB2312"/>
          <w:sz w:val="32"/>
          <w:szCs w:val="32"/>
        </w:rPr>
        <w:t>202</w:t>
      </w:r>
      <w:r>
        <w:rPr>
          <w:rFonts w:hint="eastAsia" w:ascii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仿宋_GB2312"/>
          <w:sz w:val="32"/>
          <w:szCs w:val="32"/>
        </w:rPr>
        <w:t>年</w:t>
      </w:r>
      <w:r>
        <w:rPr>
          <w:rFonts w:ascii="仿宋_GB2312" w:eastAsia="仿宋_GB2312" w:cs="仿宋_GB2312"/>
          <w:sz w:val="32"/>
          <w:szCs w:val="32"/>
        </w:rPr>
        <w:t>12</w:t>
      </w:r>
      <w:r>
        <w:rPr>
          <w:rFonts w:hint="eastAsia" w:ascii="仿宋_GB2312" w:eastAsia="仿宋_GB2312" w:cs="仿宋_GB2312"/>
          <w:sz w:val="32"/>
          <w:szCs w:val="32"/>
        </w:rPr>
        <w:t>月</w:t>
      </w:r>
      <w:r>
        <w:rPr>
          <w:rFonts w:ascii="仿宋_GB2312" w:eastAsia="仿宋_GB2312" w:cs="仿宋_GB2312"/>
          <w:sz w:val="32"/>
          <w:szCs w:val="32"/>
        </w:rPr>
        <w:t>31</w:t>
      </w:r>
      <w:r>
        <w:rPr>
          <w:rFonts w:hint="eastAsia" w:ascii="仿宋_GB2312" w:eastAsia="仿宋_GB2312" w:cs="仿宋_GB2312"/>
          <w:sz w:val="32"/>
          <w:szCs w:val="32"/>
        </w:rPr>
        <w:t>日，固定资产总计</w:t>
      </w:r>
      <w:r>
        <w:rPr>
          <w:rFonts w:hint="eastAsia" w:ascii="仿宋_GB2312" w:cs="仿宋_GB2312"/>
          <w:sz w:val="32"/>
          <w:szCs w:val="32"/>
          <w:lang w:val="en-US" w:eastAsia="zh-CN"/>
        </w:rPr>
        <w:t>2590.59</w:t>
      </w:r>
      <w:r>
        <w:rPr>
          <w:rFonts w:hint="eastAsia" w:ascii="仿宋_GB2312" w:eastAsia="仿宋_GB2312" w:cs="仿宋_GB2312"/>
          <w:sz w:val="32"/>
          <w:szCs w:val="32"/>
        </w:rPr>
        <w:t>万元，在用的固定资产总计</w:t>
      </w:r>
      <w:r>
        <w:rPr>
          <w:rFonts w:hint="eastAsia" w:ascii="仿宋_GB2312" w:cs="仿宋_GB2312"/>
          <w:sz w:val="32"/>
          <w:szCs w:val="32"/>
          <w:lang w:val="en-US" w:eastAsia="zh-CN"/>
        </w:rPr>
        <w:t>2590.59</w:t>
      </w:r>
      <w:r>
        <w:rPr>
          <w:rFonts w:hint="eastAsia" w:ascii="仿宋_GB2312" w:eastAsia="仿宋_GB2312" w:cs="仿宋_GB2312"/>
          <w:sz w:val="32"/>
          <w:szCs w:val="32"/>
        </w:rPr>
        <w:t>万元，固定资产在用率达</w:t>
      </w:r>
      <w:r>
        <w:rPr>
          <w:rFonts w:ascii="仿宋_GB2312" w:eastAsia="仿宋_GB2312" w:cs="仿宋_GB2312"/>
          <w:sz w:val="32"/>
          <w:szCs w:val="32"/>
        </w:rPr>
        <w:t>100%</w:t>
      </w:r>
      <w:r>
        <w:rPr>
          <w:rFonts w:hint="eastAsia" w:ascii="仿宋_GB2312" w:eastAsia="仿宋_GB2312" w:cs="仿宋_GB2312"/>
          <w:sz w:val="32"/>
          <w:szCs w:val="32"/>
        </w:rPr>
        <w:t>。</w:t>
      </w:r>
    </w:p>
    <w:p w14:paraId="53A170D4">
      <w:pPr>
        <w:snapToGrid w:val="0"/>
        <w:spacing w:line="360" w:lineRule="auto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cs="仿宋_GB2312"/>
          <w:sz w:val="32"/>
          <w:szCs w:val="32"/>
          <w:lang w:val="en-US" w:eastAsia="zh-CN"/>
        </w:rPr>
        <w:t>2024</w:t>
      </w:r>
      <w:r>
        <w:rPr>
          <w:rFonts w:hint="eastAsia" w:ascii="仿宋_GB2312" w:eastAsia="仿宋_GB2312" w:cs="仿宋_GB2312"/>
          <w:sz w:val="32"/>
          <w:szCs w:val="32"/>
        </w:rPr>
        <w:t>年度政府采购货物支出</w:t>
      </w:r>
      <w:r>
        <w:rPr>
          <w:rFonts w:hint="eastAsia" w:ascii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 w:cs="仿宋_GB2312"/>
          <w:sz w:val="32"/>
          <w:szCs w:val="32"/>
        </w:rPr>
        <w:t>万元，政府采购工程支出</w:t>
      </w:r>
      <w:r>
        <w:rPr>
          <w:rFonts w:hint="eastAsia" w:ascii="仿宋_GB2312" w:cs="仿宋_GB2312"/>
          <w:sz w:val="32"/>
          <w:szCs w:val="32"/>
          <w:lang w:val="en-US" w:eastAsia="zh-CN"/>
        </w:rPr>
        <w:t>0万元</w:t>
      </w:r>
      <w:r>
        <w:rPr>
          <w:rFonts w:hint="eastAsia" w:ascii="仿宋_GB2312" w:eastAsia="仿宋_GB2312" w:cs="仿宋_GB2312"/>
          <w:sz w:val="32"/>
          <w:szCs w:val="32"/>
        </w:rPr>
        <w:t>，政府采购服务支出</w:t>
      </w:r>
      <w:r>
        <w:rPr>
          <w:rFonts w:hint="eastAsia" w:ascii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 w:cs="仿宋_GB2312"/>
          <w:sz w:val="32"/>
          <w:szCs w:val="32"/>
        </w:rPr>
        <w:t>万元政府采购</w:t>
      </w:r>
      <w:r>
        <w:rPr>
          <w:rFonts w:hint="eastAsia" w:ascii="仿宋_GB2312" w:cs="仿宋_GB2312"/>
          <w:sz w:val="32"/>
          <w:szCs w:val="32"/>
          <w:lang w:eastAsia="zh-CN"/>
        </w:rPr>
        <w:t>货物</w:t>
      </w:r>
      <w:r>
        <w:rPr>
          <w:rFonts w:hint="eastAsia" w:ascii="仿宋_GB2312" w:eastAsia="仿宋_GB2312" w:cs="仿宋_GB2312"/>
          <w:sz w:val="32"/>
          <w:szCs w:val="32"/>
        </w:rPr>
        <w:t>支出</w:t>
      </w:r>
      <w:r>
        <w:rPr>
          <w:rFonts w:hint="eastAsia" w:ascii="仿宋_GB2312" w:cs="仿宋_GB2312"/>
          <w:sz w:val="32"/>
          <w:szCs w:val="32"/>
          <w:lang w:val="en-US" w:eastAsia="zh-CN"/>
        </w:rPr>
        <w:t>0万元</w:t>
      </w:r>
      <w:r>
        <w:rPr>
          <w:rFonts w:hint="eastAsia" w:ascii="仿宋_GB2312" w:eastAsia="仿宋_GB2312" w:cs="仿宋_GB2312"/>
          <w:sz w:val="32"/>
          <w:szCs w:val="32"/>
        </w:rPr>
        <w:t>。</w:t>
      </w:r>
    </w:p>
    <w:p w14:paraId="558113CC">
      <w:pPr>
        <w:snapToGrid w:val="0"/>
        <w:spacing w:line="360" w:lineRule="auto"/>
        <w:ind w:firstLine="640" w:firstLineChars="200"/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</w:pPr>
      <w:r>
        <w:rPr>
          <w:rFonts w:hint="eastAsia" w:ascii="仿宋_GB2312" w:eastAsia="仿宋_GB2312" w:cs="仿宋_GB2312"/>
          <w:sz w:val="32"/>
          <w:szCs w:val="32"/>
        </w:rPr>
        <w:t>政府采购授予中小企业合同金额</w:t>
      </w:r>
      <w:r>
        <w:rPr>
          <w:rFonts w:hint="eastAsia" w:ascii="仿宋_GB2312" w:cs="仿宋_GB2312"/>
          <w:sz w:val="32"/>
          <w:szCs w:val="32"/>
          <w:lang w:val="en-US" w:eastAsia="zh-CN"/>
        </w:rPr>
        <w:t>170.96</w:t>
      </w:r>
      <w:r>
        <w:rPr>
          <w:rFonts w:hint="eastAsia" w:ascii="仿宋_GB2312" w:eastAsia="仿宋_GB2312" w:cs="仿宋_GB2312"/>
          <w:sz w:val="32"/>
          <w:szCs w:val="32"/>
        </w:rPr>
        <w:t>万元，其中：授予小微企业合同金额</w:t>
      </w:r>
      <w:r>
        <w:rPr>
          <w:rFonts w:ascii="仿宋_GB2312" w:eastAsia="仿宋_GB2312" w:cs="仿宋_GB2312"/>
          <w:sz w:val="32"/>
          <w:szCs w:val="32"/>
        </w:rPr>
        <w:t>0</w:t>
      </w:r>
      <w:r>
        <w:rPr>
          <w:rFonts w:hint="eastAsia" w:ascii="仿宋_GB2312" w:eastAsia="仿宋_GB2312" w:cs="仿宋_GB2312"/>
          <w:sz w:val="32"/>
          <w:szCs w:val="32"/>
        </w:rPr>
        <w:t>万元。</w:t>
      </w:r>
    </w:p>
    <w:p w14:paraId="19CDD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3" w:firstLineChars="200"/>
        <w:textAlignment w:val="auto"/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zh-CN"/>
        </w:rPr>
        <w:t>（三）</w:t>
      </w:r>
      <w:r>
        <w:rPr>
          <w:rFonts w:hint="default" w:ascii="Times New Roman" w:hAnsi="Times New Roman" w:eastAsia="楷体_GB2312" w:cs="Times New Roman"/>
          <w:b/>
          <w:bCs/>
          <w:szCs w:val="32"/>
          <w:lang w:val="zh-CN"/>
        </w:rPr>
        <w:t>绩效结果应用情况。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我单位于20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24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年3月在黑水县人民政府信息公开网站上公开了《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黑水县文化体育和旅游局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202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年预算编制说明》。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2024年3月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在黑水县人民政府信息公开网站上公开了《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黑水县文化体育和旅游局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202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年预算编制说明》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。</w:t>
      </w:r>
    </w:p>
    <w:p w14:paraId="0A14AB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</w:pP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202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年8月在黑水县人民政府信息公开网站上公开了《202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年度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黑水县文化体育和旅游局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决算编制说明》。由于202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年尚未进行决算批复，无法决算公开。</w:t>
      </w:r>
    </w:p>
    <w:p w14:paraId="1E1BBD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</w:pP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绩效信息公开</w:t>
      </w:r>
    </w:p>
    <w:p w14:paraId="675F6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/>
          <w:bCs w:val="0"/>
          <w:color w:val="000000"/>
          <w:kern w:val="0"/>
          <w:szCs w:val="32"/>
          <w:highlight w:val="none"/>
          <w:shd w:val="clear" w:color="auto" w:fill="FFFFFF"/>
          <w:lang w:val="zh-CN" w:eastAsia="zh-CN"/>
        </w:rPr>
      </w:pP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我单位于202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年8月在黑水县政府信息公开网站上公开了《202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年度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黑水县文化体育和旅游局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决算编制说明》，说明中公开了预算绩效管理工作开展情况，并公开了202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年整体支出绩效报告。由于202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年尚未进行决算批复，无法进行公开。</w:t>
      </w:r>
    </w:p>
    <w:p w14:paraId="034E92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textAlignment w:val="auto"/>
        <w:rPr>
          <w:rFonts w:hint="default" w:ascii="Times New Roman" w:hAnsi="Times New Roman" w:eastAsia="仿宋_GB2312" w:cs="Times New Roman"/>
          <w:b/>
          <w:bCs w:val="0"/>
          <w:szCs w:val="32"/>
        </w:rPr>
      </w:pPr>
    </w:p>
    <w:p w14:paraId="6767F4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640" w:firstLineChars="200"/>
        <w:contextualSpacing/>
        <w:jc w:val="left"/>
        <w:textAlignment w:val="auto"/>
        <w:outlineLvl w:val="9"/>
        <w:rPr>
          <w:rFonts w:hint="default" w:ascii="Times New Roman" w:hAnsi="Times New Roman" w:eastAsia="黑体" w:cs="Times New Roman"/>
          <w:color w:val="000000"/>
          <w:kern w:val="0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黑体" w:cs="Times New Roman"/>
          <w:color w:val="000000"/>
          <w:kern w:val="0"/>
          <w:szCs w:val="32"/>
          <w:highlight w:val="none"/>
          <w:shd w:val="clear" w:color="auto" w:fill="FFFFFF"/>
          <w:lang w:eastAsia="zh-CN"/>
        </w:rPr>
        <w:t>四、</w:t>
      </w:r>
      <w:r>
        <w:rPr>
          <w:rFonts w:hint="default" w:ascii="Times New Roman" w:hAnsi="Times New Roman" w:eastAsia="黑体" w:cs="Times New Roman"/>
          <w:color w:val="000000"/>
          <w:kern w:val="0"/>
          <w:szCs w:val="32"/>
          <w:highlight w:val="none"/>
          <w:shd w:val="clear" w:color="auto" w:fill="FFFFFF"/>
        </w:rPr>
        <w:t>评价结论及建议</w:t>
      </w:r>
    </w:p>
    <w:p w14:paraId="64765BD6">
      <w:pPr>
        <w:spacing w:line="240" w:lineRule="auto"/>
        <w:ind w:firstLine="0" w:firstLineChars="0"/>
        <w:rPr>
          <w:rFonts w:hint="eastAsia" w:ascii="仿宋" w:eastAsia="仿宋" w:cs="??_GB2312"/>
          <w:szCs w:val="32"/>
          <w:lang w:val="zh-CN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zh-CN"/>
        </w:rPr>
        <w:t>（一）评价结论。</w:t>
      </w:r>
      <w:r>
        <w:rPr>
          <w:rFonts w:hint="eastAsia" w:ascii="仿宋" w:eastAsia="仿宋" w:cs="??_GB2312"/>
          <w:szCs w:val="32"/>
        </w:rPr>
        <w:t>我</w:t>
      </w:r>
      <w:r>
        <w:rPr>
          <w:rFonts w:hint="eastAsia" w:ascii="仿宋" w:eastAsia="仿宋" w:cs="??_GB2312"/>
          <w:szCs w:val="32"/>
          <w:lang w:eastAsia="zh-CN"/>
        </w:rPr>
        <w:t>局</w:t>
      </w:r>
      <w:r>
        <w:rPr>
          <w:rFonts w:hint="eastAsia" w:ascii="仿宋" w:eastAsia="仿宋" w:cs="??_GB2312"/>
          <w:szCs w:val="32"/>
        </w:rPr>
        <w:t>严格对照评分标准，</w:t>
      </w:r>
      <w:r>
        <w:rPr>
          <w:rFonts w:ascii="仿宋" w:eastAsia="仿宋" w:cs="??_GB2312"/>
          <w:szCs w:val="32"/>
        </w:rPr>
        <w:t>202</w:t>
      </w:r>
      <w:r>
        <w:rPr>
          <w:rFonts w:hint="eastAsia" w:ascii="仿宋" w:eastAsia="仿宋" w:cs="??_GB2312"/>
          <w:szCs w:val="32"/>
          <w:lang w:val="en-US" w:eastAsia="zh-CN"/>
        </w:rPr>
        <w:t>4</w:t>
      </w:r>
      <w:r>
        <w:rPr>
          <w:rFonts w:hint="eastAsia" w:ascii="仿宋" w:eastAsia="仿宋" w:cs="??_GB2312"/>
          <w:szCs w:val="32"/>
        </w:rPr>
        <w:t>年度财政部门整体支出绩效评价自评分数为</w:t>
      </w:r>
      <w:r>
        <w:rPr>
          <w:rFonts w:hint="eastAsia" w:ascii="仿宋" w:eastAsia="仿宋" w:cs="??_GB2312"/>
          <w:szCs w:val="32"/>
          <w:lang w:val="en-US" w:eastAsia="zh-CN"/>
        </w:rPr>
        <w:t>92.29</w:t>
      </w:r>
      <w:bookmarkStart w:id="1" w:name="_GoBack"/>
      <w:bookmarkEnd w:id="1"/>
      <w:r>
        <w:rPr>
          <w:rFonts w:hint="eastAsia" w:ascii="仿宋" w:eastAsia="仿宋" w:cs="??_GB2312"/>
          <w:szCs w:val="32"/>
        </w:rPr>
        <w:t>分（详情见附件）</w:t>
      </w:r>
      <w:r>
        <w:rPr>
          <w:rFonts w:hint="eastAsia" w:ascii="仿宋" w:eastAsia="仿宋" w:cs="??_GB2312"/>
          <w:szCs w:val="32"/>
          <w:lang w:val="en-US" w:eastAsia="zh-CN"/>
        </w:rPr>
        <w:t xml:space="preserve">                </w:t>
      </w:r>
      <w:r>
        <w:rPr>
          <w:rFonts w:hint="default" w:ascii="Times New Roman" w:hAnsi="Times New Roman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zh-CN"/>
        </w:rPr>
        <w:t>（二）存在问题。</w:t>
      </w:r>
      <w:r>
        <w:rPr>
          <w:rFonts w:hint="eastAsia" w:ascii="仿宋" w:eastAsia="仿宋" w:cs="??_GB2312"/>
          <w:szCs w:val="32"/>
          <w:lang w:val="zh-CN"/>
        </w:rPr>
        <w:t>1、预算编制不够精确，财政资金紧张，存在中期调整取消资金的情况。</w:t>
      </w:r>
    </w:p>
    <w:p w14:paraId="404C8019">
      <w:pPr>
        <w:spacing w:line="240" w:lineRule="auto"/>
        <w:ind w:firstLine="0" w:firstLineChars="0"/>
        <w:rPr>
          <w:rFonts w:hint="default" w:ascii="Times New Roman" w:hAnsi="Times New Roman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eastAsia="仿宋" w:cs="??_GB2312"/>
          <w:szCs w:val="32"/>
          <w:lang w:val="zh-CN"/>
        </w:rPr>
        <w:t>2、因本部门整体支出预算资金的安排及使用上有不可预见性。</w:t>
      </w:r>
    </w:p>
    <w:p w14:paraId="2F5B5DB0">
      <w:pPr>
        <w:spacing w:line="580" w:lineRule="exact"/>
        <w:ind w:firstLine="643" w:firstLineChars="200"/>
        <w:rPr>
          <w:rFonts w:hint="eastAsia" w:ascii="仿宋" w:eastAsia="仿宋" w:cs="??_GB231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（三）改进建议</w:t>
      </w:r>
      <w:bookmarkStart w:id="0" w:name="_Hlk110546638"/>
      <w:r>
        <w:rPr>
          <w:rFonts w:hint="eastAsia" w:ascii="仿宋" w:eastAsia="仿宋" w:cs="??_GB2312"/>
          <w:szCs w:val="32"/>
          <w:lang w:val="en-US" w:eastAsia="zh-CN"/>
        </w:rPr>
        <w:t>一是重视绩效管理，切实履行好职责。努力提升工作绩效，围绕财政项目计划安排，合理使用财政资金，让财政监督职责发挥作用。</w:t>
      </w:r>
    </w:p>
    <w:p w14:paraId="38095DE1">
      <w:pPr>
        <w:spacing w:line="580" w:lineRule="exact"/>
        <w:ind w:firstLine="640" w:firstLineChars="200"/>
        <w:rPr>
          <w:rFonts w:hint="eastAsia" w:ascii="仿宋" w:eastAsia="仿宋" w:cs="??_GB2312"/>
          <w:szCs w:val="32"/>
          <w:lang w:val="en-US" w:eastAsia="zh-CN"/>
        </w:rPr>
      </w:pPr>
      <w:r>
        <w:rPr>
          <w:rFonts w:hint="eastAsia" w:ascii="仿宋" w:eastAsia="仿宋" w:cs="??_GB2312"/>
          <w:szCs w:val="32"/>
          <w:lang w:val="en-US" w:eastAsia="zh-CN"/>
        </w:rPr>
        <w:t>二是建立长效机制。把绩效评价作为部门内控的日常工作，建立绩效评价管理工作考核长效机制。科学设定绩效目标，加强预算执行管理。</w:t>
      </w:r>
    </w:p>
    <w:p w14:paraId="6B89E2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640" w:firstLineChars="200"/>
        <w:contextualSpacing/>
        <w:jc w:val="left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kern w:val="0"/>
          <w:position w:val="0"/>
          <w:sz w:val="32"/>
          <w:szCs w:val="32"/>
          <w:highlight w:val="none"/>
          <w:lang w:val="en" w:eastAsia="zh-CN" w:bidi="ar-SA"/>
        </w:rPr>
      </w:pP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附表：</w:t>
      </w:r>
      <w:r>
        <w:rPr>
          <w:rFonts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部门整体支出绩效目标完成情况自评表</w:t>
      </w:r>
    </w:p>
    <w:bookmarkEnd w:id="0"/>
    <w:p w14:paraId="1A95E4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contextualSpacing/>
        <w:textAlignment w:val="auto"/>
        <w:outlineLvl w:val="9"/>
        <w:rPr>
          <w:rFonts w:hint="default" w:ascii="Times New Roman" w:hAnsi="Times New Roman" w:eastAsia="黑体" w:cs="Times New Roman"/>
          <w:szCs w:val="32"/>
          <w:highlight w:val="none"/>
          <w:lang w:val="en-US" w:eastAsia="zh-CN"/>
        </w:rPr>
      </w:pPr>
    </w:p>
    <w:p w14:paraId="412B15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ind w:firstLine="640" w:firstLineChars="200"/>
        <w:textAlignment w:val="auto"/>
        <w:rPr>
          <w:rFonts w:hint="eastAsia" w:ascii="Times New Roman" w:hAnsi="Times New Roman" w:cs="Times New Roman"/>
          <w:strike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附表：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1.</w:t>
      </w:r>
      <w:r>
        <w:rPr>
          <w:rFonts w:hint="eastAsia" w:ascii="Times New Roman" w:hAnsi="Times New Roman" w:cs="Times New Roman"/>
          <w:strike w:val="0"/>
          <w:sz w:val="32"/>
          <w:szCs w:val="32"/>
          <w:u w:val="none"/>
          <w:lang w:val="en-US" w:eastAsia="zh-CN" w:bidi="ar"/>
        </w:rPr>
        <w:t>部门预算绩效自评打分表</w:t>
      </w:r>
    </w:p>
    <w:p w14:paraId="3D979B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ind w:firstLine="1600" w:firstLineChars="500"/>
        <w:textAlignment w:val="auto"/>
        <w:rPr>
          <w:rFonts w:hint="default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cs="Times New Roman"/>
          <w:strike w:val="0"/>
          <w:sz w:val="32"/>
          <w:szCs w:val="32"/>
          <w:u w:val="none"/>
          <w:lang w:val="en-US" w:eastAsia="zh-CN" w:bidi="ar"/>
        </w:rPr>
        <w:t>2.</w:t>
      </w:r>
      <w:r>
        <w:rPr>
          <w:rFonts w:hint="default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部门整体绩效目标完成情况自评表</w:t>
      </w:r>
    </w:p>
    <w:p w14:paraId="1E57C5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ind w:firstLine="1600" w:firstLineChars="500"/>
        <w:textAlignment w:val="auto"/>
        <w:rPr>
          <w:rFonts w:hint="default" w:ascii="Times New Roman" w:hAnsi="Times New Roman" w:eastAsia="仿宋_GB2312" w:cs="Times New Roman"/>
          <w:strike w:val="0"/>
          <w:sz w:val="32"/>
          <w:szCs w:val="32"/>
          <w:u w:val="none"/>
          <w:lang w:eastAsia="zh-CN" w:bidi="ar"/>
        </w:rPr>
      </w:pP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trike w:val="0"/>
          <w:sz w:val="32"/>
          <w:szCs w:val="32"/>
          <w:u w:val="none"/>
          <w:lang w:bidi="ar"/>
        </w:rPr>
        <w:t>部门预算项目支出绩效</w:t>
      </w:r>
      <w:r>
        <w:rPr>
          <w:rFonts w:hint="default" w:ascii="Times New Roman" w:hAnsi="Times New Roman" w:eastAsia="仿宋_GB2312" w:cs="Times New Roman"/>
          <w:strike w:val="0"/>
          <w:sz w:val="32"/>
          <w:szCs w:val="32"/>
          <w:u w:val="none"/>
          <w:lang w:eastAsia="zh-CN" w:bidi="ar"/>
        </w:rPr>
        <w:t>评价</w:t>
      </w:r>
      <w:r>
        <w:rPr>
          <w:rFonts w:hint="default" w:ascii="Times New Roman" w:hAnsi="Times New Roman" w:eastAsia="仿宋_GB2312" w:cs="Times New Roman"/>
          <w:strike w:val="0"/>
          <w:sz w:val="32"/>
          <w:szCs w:val="32"/>
          <w:u w:val="none"/>
          <w:lang w:bidi="ar"/>
        </w:rPr>
        <w:t>表</w:t>
      </w:r>
      <w:r>
        <w:rPr>
          <w:rFonts w:hint="default" w:ascii="Times New Roman" w:hAnsi="Times New Roman" w:eastAsia="仿宋_GB2312" w:cs="Times New Roman"/>
          <w:strike w:val="0"/>
          <w:sz w:val="32"/>
          <w:szCs w:val="32"/>
          <w:u w:val="none"/>
          <w:lang w:eastAsia="zh-CN" w:bidi="ar"/>
        </w:rPr>
        <w:t>（202</w:t>
      </w:r>
      <w:r>
        <w:rPr>
          <w:rFonts w:hint="default" w:ascii="Times New Roman" w:hAnsi="Times New Roman" w:eastAsia="仿宋_GB2312" w:cs="Times New Roman"/>
          <w:strike w:val="0"/>
          <w:sz w:val="32"/>
          <w:szCs w:val="32"/>
          <w:u w:val="none"/>
          <w:lang w:val="en-US" w:eastAsia="zh-CN" w:bidi="ar"/>
        </w:rPr>
        <w:t>4</w:t>
      </w:r>
      <w:r>
        <w:rPr>
          <w:rFonts w:hint="default" w:ascii="Times New Roman" w:hAnsi="Times New Roman" w:eastAsia="仿宋_GB2312" w:cs="Times New Roman"/>
          <w:strike w:val="0"/>
          <w:sz w:val="32"/>
          <w:szCs w:val="32"/>
          <w:u w:val="none"/>
          <w:lang w:eastAsia="zh-CN" w:bidi="ar"/>
        </w:rPr>
        <w:t>年度）</w:t>
      </w:r>
    </w:p>
    <w:p w14:paraId="1401D9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jc w:val="left"/>
        <w:textAlignment w:val="auto"/>
        <w:rPr>
          <w:rFonts w:hint="eastAsia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br w:type="page"/>
      </w:r>
      <w:r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  <w:t>附表</w:t>
      </w:r>
      <w:r>
        <w:rPr>
          <w:rFonts w:hint="eastAsia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  <w:t>1</w:t>
      </w:r>
    </w:p>
    <w:p w14:paraId="7925C4E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outlineLvl w:val="9"/>
        <w:rPr>
          <w:rFonts w:hint="eastAsia" w:ascii="Times New Roman" w:hAnsi="Times New Roman" w:eastAsia="方正小标宋简体" w:cs="Times New Roman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Times New Roman" w:hAnsi="Times New Roman" w:eastAsia="方正小标宋简体" w:cs="Times New Roman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部门预算绩效自评打分表</w:t>
      </w:r>
    </w:p>
    <w:tbl>
      <w:tblPr>
        <w:tblStyle w:val="13"/>
        <w:tblW w:w="108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462"/>
        <w:gridCol w:w="1665"/>
        <w:gridCol w:w="720"/>
        <w:gridCol w:w="4734"/>
        <w:gridCol w:w="756"/>
        <w:gridCol w:w="478"/>
      </w:tblGrid>
      <w:tr w14:paraId="0122D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66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绩效评价指标指标分值</w:t>
            </w:r>
          </w:p>
        </w:tc>
        <w:tc>
          <w:tcPr>
            <w:tcW w:w="47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0F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指标解释</w:t>
            </w:r>
          </w:p>
        </w:tc>
        <w:tc>
          <w:tcPr>
            <w:tcW w:w="7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89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自评得分</w:t>
            </w:r>
          </w:p>
        </w:tc>
        <w:tc>
          <w:tcPr>
            <w:tcW w:w="4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20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CEA0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C180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C5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02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DF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</w:tc>
        <w:tc>
          <w:tcPr>
            <w:tcW w:w="4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DFC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A27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156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7AA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0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62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总体绩效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（65分）</w:t>
            </w: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91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履职效能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（15分）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16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在职人员工资保险履职效果</w:t>
            </w:r>
          </w:p>
        </w:tc>
        <w:tc>
          <w:tcPr>
            <w:tcW w:w="72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FB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7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A3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部门整体绩效目标中选定3-5个核心职能目标，反映该项职能目标完成效果情况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9F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FB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3BEF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17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B7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3F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全县重大文化活动的开展履职效果</w:t>
            </w:r>
          </w:p>
        </w:tc>
        <w:tc>
          <w:tcPr>
            <w:tcW w:w="7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C4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A9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DD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67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2AD4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89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F9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E4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指导和协调全县文化，体育，广播影视，新闻出版基础设施布局规划实施履职效果</w:t>
            </w:r>
          </w:p>
        </w:tc>
        <w:tc>
          <w:tcPr>
            <w:tcW w:w="7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6A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49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D9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95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E29E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3C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BE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58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负责管理全县文物事业，保护，抢救及三馆免费开放等工作履职效果</w:t>
            </w:r>
          </w:p>
        </w:tc>
        <w:tc>
          <w:tcPr>
            <w:tcW w:w="7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3A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9F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38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36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385B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D8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26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预算管理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（25分）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DC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预算编制质量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F6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E9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部门是否严格按要求编制年初部门预算，年初预算编制的科学性和准确性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50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3.29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3E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06E0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BE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89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1F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单位收入统筹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7E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03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部门统筹自有收入程度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F1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29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1DD5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4F0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59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2D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支出执行进度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68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B1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部门1至6月、1至10月预算执行情况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08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A8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BEE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313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E5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E7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预算年终结余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17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C8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部门整体年终预算结余情况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76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7A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4638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BE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15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0A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严控一般性支出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3E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24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部门严控“三公”经费、会议、培训、差旅、办节办展、办公设备购置、信息网络及软件购置更新、课题经费等8项一般性支出情况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5D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39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72EE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A1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9E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D9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财务管理制度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23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8D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部门财务管理制度建立情况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DC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D8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FAA0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17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76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C3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财务岗位设置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FB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1B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部门财务岗位设置是否符合相关财务管理制度要求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5A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C0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1BF4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EC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C1B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5D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资金使用规范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0C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5B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部门资金使用是否符合相关财务管理制度规定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DE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4D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AB15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0A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1F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资产管理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（9分）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08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人均资产变化率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81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A2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部门人均资产变化情况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C0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88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5326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E5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CE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3F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资产利用率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D2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39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部门资产超最低使用年限情况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E3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08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06CF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A3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总体绩效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（65分）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B6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资产管理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（9分）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D4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资产盘活率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3D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76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部门闲置一年以上的资产盘活情况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5E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95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047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CA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D4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采购管理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（6分）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CF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支持中小企业发展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80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B3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部门是否严格执行政府采购促进中小企业发展相关管理办法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F4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33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A021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A2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B1E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42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采购执行率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DC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55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部门政府采购项目资金支付比例情况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3F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15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B573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57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项目绩效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（35分）</w:t>
            </w: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0D64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项目决策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（12分）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1F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决策程序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28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DD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部门预算项目设立是否按规定履行评估论证、申报程序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DC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D2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4E00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E8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87D1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BA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目标设置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30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13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部门预算项目绩效目标与计划期内的任务量、预算安排的资金量匹配情况，绩效目标设置是否科学合理、规范完整、量化细化、预算匹配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DA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02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563D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A2D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E505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86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项目入库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B2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DE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部门预算项目是否在规定时间完成项目入库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A8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AE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0859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D26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D287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项目执行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（12分）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04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执行同向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59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8E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部门预算项目实际列支内容是否与绩效目标设置方向相符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4A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C5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567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D4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16D6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A4AD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项目调整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20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BE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部门预算项目是否采取对应调整措施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A4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E0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EB6B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C9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B820E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11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执行结果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2E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91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部门预算项目预算执行情况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0F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17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6160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45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30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目标实现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（11分）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FD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目标完成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F9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D0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部门预算项目绩效目标数量指标完成情况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E0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49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2852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750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81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E9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目标偏离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22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DC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部门预算项目绩效目标数量指标实现程度与预期目标的偏离情况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FC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3B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0E0F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61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E1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57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实现效果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20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6F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部门预算项目绩效目标效益指标实施效果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63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72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273E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C5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扣分项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3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A8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被评价部门配合度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A9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D1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被评价对象工作配合情况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9F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20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3B2E6B40">
      <w:pPr>
        <w:pStyle w:val="18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/>
          <w:lang w:val="en-US" w:eastAsia="zh-CN"/>
        </w:rPr>
      </w:pPr>
    </w:p>
    <w:p w14:paraId="1821E675">
      <w:pPr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  <w:br w:type="page"/>
      </w:r>
    </w:p>
    <w:p w14:paraId="2C8A65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jc w:val="left"/>
        <w:textAlignment w:val="auto"/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  <w:t>附表</w:t>
      </w:r>
      <w:r>
        <w:rPr>
          <w:rFonts w:hint="eastAsia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  <w:t>2</w:t>
      </w:r>
    </w:p>
    <w:tbl>
      <w:tblPr>
        <w:tblStyle w:val="13"/>
        <w:tblW w:w="1050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9"/>
        <w:gridCol w:w="1347"/>
        <w:gridCol w:w="1273"/>
        <w:gridCol w:w="1100"/>
        <w:gridCol w:w="1144"/>
        <w:gridCol w:w="1290"/>
        <w:gridCol w:w="1058"/>
        <w:gridCol w:w="926"/>
        <w:gridCol w:w="1057"/>
      </w:tblGrid>
      <w:tr w14:paraId="07576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2" w:hRule="exact"/>
          <w:jc w:val="center"/>
        </w:trPr>
        <w:tc>
          <w:tcPr>
            <w:tcW w:w="10504" w:type="dxa"/>
            <w:gridSpan w:val="9"/>
            <w:shd w:val="clear" w:color="auto" w:fill="auto"/>
            <w:vAlign w:val="center"/>
          </w:tcPr>
          <w:p w14:paraId="132A6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部门整体绩效目标完成情况自评表</w:t>
            </w:r>
          </w:p>
        </w:tc>
      </w:tr>
      <w:tr w14:paraId="19584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504" w:type="dxa"/>
            <w:gridSpan w:val="9"/>
            <w:shd w:val="clear" w:color="auto" w:fill="auto"/>
            <w:vAlign w:val="center"/>
          </w:tcPr>
          <w:p w14:paraId="21217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（202</w:t>
            </w:r>
            <w:r>
              <w:rPr>
                <w:rFonts w:hint="eastAsia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年度）</w:t>
            </w:r>
          </w:p>
        </w:tc>
      </w:tr>
      <w:tr w14:paraId="02B66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504" w:type="dxa"/>
            <w:gridSpan w:val="9"/>
            <w:tcBorders>
              <w:bottom w:val="single" w:color="000000" w:sz="4" w:space="0"/>
            </w:tcBorders>
            <w:shd w:val="clear" w:color="auto" w:fill="auto"/>
            <w:vAlign w:val="center"/>
          </w:tcPr>
          <w:p w14:paraId="14359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单位：万元</w:t>
            </w:r>
          </w:p>
        </w:tc>
      </w:tr>
      <w:tr w14:paraId="4A903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39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94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部门名称</w:t>
            </w:r>
          </w:p>
        </w:tc>
        <w:tc>
          <w:tcPr>
            <w:tcW w:w="65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FA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黑水县文化广播电视和旅游局</w:t>
            </w:r>
          </w:p>
        </w:tc>
      </w:tr>
      <w:tr w14:paraId="0F73C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D6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年度部门整体支出预算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2A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资金总额</w:t>
            </w:r>
          </w:p>
        </w:tc>
        <w:tc>
          <w:tcPr>
            <w:tcW w:w="22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30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财政拨款</w:t>
            </w:r>
          </w:p>
        </w:tc>
        <w:tc>
          <w:tcPr>
            <w:tcW w:w="43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84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其他资金</w:t>
            </w:r>
          </w:p>
        </w:tc>
      </w:tr>
      <w:tr w14:paraId="61A67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479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D9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3351.16</w:t>
            </w:r>
          </w:p>
        </w:tc>
        <w:tc>
          <w:tcPr>
            <w:tcW w:w="22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AC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3351.16</w:t>
            </w:r>
          </w:p>
        </w:tc>
        <w:tc>
          <w:tcPr>
            <w:tcW w:w="43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B7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0B618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04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年度总体</w:t>
            </w:r>
          </w:p>
          <w:p w14:paraId="2663A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</w:t>
            </w:r>
          </w:p>
        </w:tc>
        <w:tc>
          <w:tcPr>
            <w:tcW w:w="919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6E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1：不断完善公共服务体系建设</w:t>
            </w:r>
          </w:p>
          <w:p w14:paraId="53D48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2：持续推进旅游向好发展</w:t>
            </w:r>
          </w:p>
          <w:p w14:paraId="21C0D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outlineLvl w:val="9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3：不断加强文旅市场监管</w:t>
            </w:r>
          </w:p>
          <w:p w14:paraId="3E2B4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4：做好文物遗产保护工作</w:t>
            </w:r>
          </w:p>
          <w:p w14:paraId="47F78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FFF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4A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年度主要</w:t>
            </w:r>
          </w:p>
          <w:p w14:paraId="3EC3C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任务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DA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任务名称</w:t>
            </w:r>
          </w:p>
        </w:tc>
        <w:tc>
          <w:tcPr>
            <w:tcW w:w="65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82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主要内容</w:t>
            </w:r>
          </w:p>
        </w:tc>
      </w:tr>
      <w:tr w14:paraId="27E34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93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B2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基本支出：在职人员工资保险</w:t>
            </w:r>
          </w:p>
        </w:tc>
        <w:tc>
          <w:tcPr>
            <w:tcW w:w="65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5C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在职人员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64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人工资、保险</w:t>
            </w:r>
          </w:p>
        </w:tc>
      </w:tr>
      <w:tr w14:paraId="0D7A8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3B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BE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项目支出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：两馆及文化站免费开放</w:t>
            </w:r>
          </w:p>
        </w:tc>
        <w:tc>
          <w:tcPr>
            <w:tcW w:w="65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59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</w:t>
            </w:r>
            <w:r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馆及15个文化站定时免费开放个及管理维护共计完成119.6万元支付</w:t>
            </w:r>
          </w:p>
        </w:tc>
      </w:tr>
      <w:tr w14:paraId="67B7B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D1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1F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基本支出：定额经费</w:t>
            </w:r>
          </w:p>
        </w:tc>
        <w:tc>
          <w:tcPr>
            <w:tcW w:w="65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48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202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4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年定额公用经费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192.38万元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，其中行政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119.5万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元，事业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57万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元。车运行维护费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23.75万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元；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办公费73.35万元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;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手续费0.1万元；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水费10000元；电费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0.5万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元；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电费0.5万元；邮电费7.83万元；差旅费54.92万元；维修维护费11.98万元，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培训费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4.03万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元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。</w:t>
            </w:r>
          </w:p>
        </w:tc>
      </w:tr>
      <w:tr w14:paraId="75570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D0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5C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项目支出：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公共文化服务活动及登山活动开展</w:t>
            </w:r>
          </w:p>
        </w:tc>
        <w:tc>
          <w:tcPr>
            <w:tcW w:w="65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02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  <w:t>如</w:t>
            </w:r>
            <w:r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期完成戏曲进乡村、三奥雪山登山活动，公共文化服务活动共计277.65万元</w:t>
            </w:r>
          </w:p>
        </w:tc>
      </w:tr>
      <w:tr w14:paraId="42B57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50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年度绩效</w:t>
            </w:r>
          </w:p>
          <w:p w14:paraId="45838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8E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F3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01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39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绩效指标</w:t>
            </w:r>
          </w:p>
          <w:p w14:paraId="5232A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3E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绩效指标值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DD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绩效度量单位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64E8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权重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AD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实际完成</w:t>
            </w:r>
          </w:p>
          <w:p w14:paraId="1B187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指标值</w:t>
            </w:r>
          </w:p>
        </w:tc>
      </w:tr>
      <w:tr w14:paraId="25F64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8C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3B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77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F3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发放职工工资保险人数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D2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DD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B9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4066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62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</w:tr>
      <w:tr w14:paraId="54119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A1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0E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C8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5A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完成送戏下乡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EF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A5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26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E999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6C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 w14:paraId="4A976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7E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66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14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0B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免费开放相关场馆及文化站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DC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1F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A3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09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1F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</w:tr>
      <w:tr w14:paraId="76446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7F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A0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F3F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334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非遗、三区人才旅游人才培养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788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BD6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1E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7DD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49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</w:tr>
      <w:tr w14:paraId="1EAE8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5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F36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C0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34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4E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按时完成在职职工的工资保险支付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C2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87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B8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7B8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24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</w:tr>
      <w:tr w14:paraId="484F3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EC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78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1F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7F9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送戏下乡活动开展率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AC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1C2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690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63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DB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</w:tr>
      <w:tr w14:paraId="6859D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506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C76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6E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A6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公共文化活动开展完成率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5A4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C8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95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52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1F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53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95</w:t>
            </w:r>
          </w:p>
        </w:tc>
      </w:tr>
      <w:tr w14:paraId="7D154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39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28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43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F4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加强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文旅市场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监管</w:t>
            </w:r>
          </w:p>
          <w:p w14:paraId="3D12E6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14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F8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398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19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BF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</w:tr>
      <w:tr w14:paraId="7A34E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F77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4E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FC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时效指标</w:t>
            </w:r>
          </w:p>
          <w:p w14:paraId="0A7EC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6D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工资保险完成时间及项目完成时间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DED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=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11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D0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月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89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F1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</w:tr>
      <w:tr w14:paraId="19DAB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E80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8C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85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75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送戏下乡完成时间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D15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=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60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B80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月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513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49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</w:tr>
      <w:tr w14:paraId="143CC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7EA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6</w:t>
            </w: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33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D5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社会效益</w:t>
            </w:r>
          </w:p>
          <w:p w14:paraId="4175B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  <w:p w14:paraId="372B9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7B7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加强了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文旅市场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监管</w:t>
            </w:r>
          </w:p>
          <w:p w14:paraId="63DEEA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C7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189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9A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26E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985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</w:tr>
      <w:tr w14:paraId="6A06D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ED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A7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E8C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5A4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完善了公共服务体系建设</w:t>
            </w:r>
          </w:p>
          <w:p w14:paraId="2F80A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18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B9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EB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829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1C7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</w:tr>
      <w:tr w14:paraId="76D14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95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5D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C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1DC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提升文物遗产保护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工作</w:t>
            </w:r>
          </w:p>
          <w:p w14:paraId="02127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05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24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E90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01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1A1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</w:tr>
      <w:tr w14:paraId="408A8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10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D6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5E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CFD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惠及职工及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公共文化服务对象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满意度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B6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AB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95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69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203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F1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95</w:t>
            </w:r>
          </w:p>
        </w:tc>
      </w:tr>
    </w:tbl>
    <w:p w14:paraId="347F957F">
      <w:pPr>
        <w:rPr>
          <w:rFonts w:hint="default" w:ascii="Times New Roman" w:hAnsi="Times New Roman" w:eastAsia="黑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24"/>
          <w:szCs w:val="24"/>
          <w:highlight w:val="none"/>
          <w:lang w:val="en-US" w:eastAsia="zh-CN"/>
        </w:rPr>
        <w:br w:type="page"/>
      </w:r>
    </w:p>
    <w:p w14:paraId="2D0CC83E">
      <w:pPr>
        <w:pStyle w:val="1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8" w:lineRule="exact"/>
        <w:ind w:left="0" w:leftChars="0" w:firstLine="0" w:firstLineChars="0"/>
        <w:rPr>
          <w:rFonts w:hint="eastAsia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  <w:t>附表</w:t>
      </w:r>
      <w:r>
        <w:rPr>
          <w:rFonts w:hint="eastAsia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  <w:t>3</w:t>
      </w:r>
    </w:p>
    <w:p w14:paraId="2285F21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center"/>
        <w:outlineLvl w:val="9"/>
        <w:rPr>
          <w:rFonts w:hint="default" w:ascii="Times New Roman" w:hAnsi="Times New Roman" w:eastAsia="方正小标宋简体" w:cs="Times New Roman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部门预算项目支出绩效评价表</w:t>
      </w:r>
    </w:p>
    <w:p w14:paraId="21076CE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center"/>
        <w:outlineLvl w:val="9"/>
        <w:rPr>
          <w:rFonts w:hint="default" w:ascii="Times New Roman" w:hAnsi="Times New Roman" w:eastAsia="方正小标宋简体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（2024年度）</w:t>
      </w:r>
    </w:p>
    <w:p w14:paraId="23900F1A">
      <w:pPr>
        <w:pStyle w:val="18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ind w:firstLine="640" w:firstLineChars="200"/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</w:pPr>
    </w:p>
    <w:p w14:paraId="0913E1CD">
      <w:pPr>
        <w:pStyle w:val="18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ind w:firstLine="640" w:firstLineChars="200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b w:val="0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部门预算项目支出绩效评价表</w:t>
      </w: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b w:val="0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在预算管理一体化系统</w:t>
      </w: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—</w:t>
      </w:r>
      <w:r>
        <w:rPr>
          <w:rFonts w:hint="default" w:ascii="Times New Roman" w:hAnsi="Times New Roman" w:eastAsia="仿宋_GB2312" w:cs="Times New Roman"/>
          <w:b w:val="0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综合报表查询</w:t>
      </w: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—</w:t>
      </w:r>
      <w:r>
        <w:rPr>
          <w:rFonts w:hint="default" w:ascii="Times New Roman" w:hAnsi="Times New Roman" w:eastAsia="仿宋_GB2312" w:cs="Times New Roman"/>
          <w:b w:val="0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预算绩效报表模块中</w:t>
      </w: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进行</w:t>
      </w:r>
      <w:r>
        <w:rPr>
          <w:rFonts w:hint="default" w:ascii="Times New Roman" w:hAnsi="Times New Roman" w:eastAsia="仿宋_GB2312" w:cs="Times New Roman"/>
          <w:b w:val="0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下载</w:t>
      </w: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，完成相关内容填报后作为本处附表。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??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F9BD0C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8FD2D9">
                          <w:pPr>
                            <w:pStyle w:val="8"/>
                            <w:ind w:right="451" w:rightChars="141"/>
                            <w:jc w:val="right"/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3 -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 w14:paraId="04E54895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8FD2D9">
                    <w:pPr>
                      <w:pStyle w:val="8"/>
                      <w:ind w:right="451" w:rightChars="141"/>
                      <w:jc w:val="right"/>
                      <w:rPr>
                        <w:rFonts w:hint="eastAsia"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3 -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  <w:p w14:paraId="04E54895"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F0A13C">
    <w:pPr>
      <w:pStyle w:val="9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90C5F8"/>
    <w:multiLevelType w:val="singleLevel"/>
    <w:tmpl w:val="D290C5F8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0915107"/>
    <w:multiLevelType w:val="singleLevel"/>
    <w:tmpl w:val="30915107"/>
    <w:lvl w:ilvl="0" w:tentative="0">
      <w:start w:val="3"/>
      <w:numFmt w:val="decimal"/>
      <w:suff w:val="space"/>
      <w:lvlText w:val="%1．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lMThkOGJjMjEzYTQzZGVhZDAyNzhhZGRiODMyZTgifQ=="/>
  </w:docVars>
  <w:rsids>
    <w:rsidRoot w:val="00EC0174"/>
    <w:rsid w:val="00006E4D"/>
    <w:rsid w:val="00021652"/>
    <w:rsid w:val="00030311"/>
    <w:rsid w:val="00030782"/>
    <w:rsid w:val="00030B66"/>
    <w:rsid w:val="0006102A"/>
    <w:rsid w:val="00065B0F"/>
    <w:rsid w:val="00065E7E"/>
    <w:rsid w:val="000820BB"/>
    <w:rsid w:val="0008241B"/>
    <w:rsid w:val="00092280"/>
    <w:rsid w:val="00097FAE"/>
    <w:rsid w:val="000A3233"/>
    <w:rsid w:val="000A7CE3"/>
    <w:rsid w:val="000B04D6"/>
    <w:rsid w:val="000B15CE"/>
    <w:rsid w:val="000C40C6"/>
    <w:rsid w:val="000C79C1"/>
    <w:rsid w:val="000D208A"/>
    <w:rsid w:val="000E037E"/>
    <w:rsid w:val="000F659A"/>
    <w:rsid w:val="000F77B0"/>
    <w:rsid w:val="0010235D"/>
    <w:rsid w:val="00103A47"/>
    <w:rsid w:val="00106D4D"/>
    <w:rsid w:val="001119A2"/>
    <w:rsid w:val="001221D6"/>
    <w:rsid w:val="0012510A"/>
    <w:rsid w:val="00125F67"/>
    <w:rsid w:val="001261AE"/>
    <w:rsid w:val="001348A4"/>
    <w:rsid w:val="0014117C"/>
    <w:rsid w:val="00146FE8"/>
    <w:rsid w:val="0014767B"/>
    <w:rsid w:val="00147AED"/>
    <w:rsid w:val="00177AAF"/>
    <w:rsid w:val="00183850"/>
    <w:rsid w:val="00184D9F"/>
    <w:rsid w:val="001A4749"/>
    <w:rsid w:val="001A4842"/>
    <w:rsid w:val="001A5833"/>
    <w:rsid w:val="001C2158"/>
    <w:rsid w:val="001C51F2"/>
    <w:rsid w:val="001C73AB"/>
    <w:rsid w:val="001D2EA4"/>
    <w:rsid w:val="001F47CE"/>
    <w:rsid w:val="001F5776"/>
    <w:rsid w:val="0020620D"/>
    <w:rsid w:val="002069BC"/>
    <w:rsid w:val="002069EB"/>
    <w:rsid w:val="002201B0"/>
    <w:rsid w:val="00220900"/>
    <w:rsid w:val="0022307E"/>
    <w:rsid w:val="00224D05"/>
    <w:rsid w:val="002323A3"/>
    <w:rsid w:val="00236EF7"/>
    <w:rsid w:val="0024058A"/>
    <w:rsid w:val="002410C0"/>
    <w:rsid w:val="00252894"/>
    <w:rsid w:val="00253FA6"/>
    <w:rsid w:val="00254728"/>
    <w:rsid w:val="002550E7"/>
    <w:rsid w:val="002558D4"/>
    <w:rsid w:val="002560E2"/>
    <w:rsid w:val="00264CFA"/>
    <w:rsid w:val="00270DD7"/>
    <w:rsid w:val="00276F4A"/>
    <w:rsid w:val="00280BFB"/>
    <w:rsid w:val="00280C88"/>
    <w:rsid w:val="002973A4"/>
    <w:rsid w:val="002A0195"/>
    <w:rsid w:val="002B5B34"/>
    <w:rsid w:val="002B6906"/>
    <w:rsid w:val="002B7215"/>
    <w:rsid w:val="002C0AFD"/>
    <w:rsid w:val="002C59D0"/>
    <w:rsid w:val="002D1A18"/>
    <w:rsid w:val="002D6C79"/>
    <w:rsid w:val="002E1104"/>
    <w:rsid w:val="002E3FDD"/>
    <w:rsid w:val="00300EF4"/>
    <w:rsid w:val="00301353"/>
    <w:rsid w:val="00305FF6"/>
    <w:rsid w:val="00307568"/>
    <w:rsid w:val="00311506"/>
    <w:rsid w:val="00316ADB"/>
    <w:rsid w:val="00317623"/>
    <w:rsid w:val="00335F67"/>
    <w:rsid w:val="003361E9"/>
    <w:rsid w:val="00350A65"/>
    <w:rsid w:val="00361C85"/>
    <w:rsid w:val="00371352"/>
    <w:rsid w:val="00376753"/>
    <w:rsid w:val="0038541D"/>
    <w:rsid w:val="00387818"/>
    <w:rsid w:val="00391A13"/>
    <w:rsid w:val="00391FD0"/>
    <w:rsid w:val="003A44FC"/>
    <w:rsid w:val="003B3299"/>
    <w:rsid w:val="003D10A2"/>
    <w:rsid w:val="003D33B8"/>
    <w:rsid w:val="003D624D"/>
    <w:rsid w:val="003D719A"/>
    <w:rsid w:val="003F5EB7"/>
    <w:rsid w:val="003F7FE2"/>
    <w:rsid w:val="004004E7"/>
    <w:rsid w:val="00416E1A"/>
    <w:rsid w:val="00426A3F"/>
    <w:rsid w:val="004277D4"/>
    <w:rsid w:val="00461638"/>
    <w:rsid w:val="004706FA"/>
    <w:rsid w:val="00474D8D"/>
    <w:rsid w:val="00475CCD"/>
    <w:rsid w:val="00477266"/>
    <w:rsid w:val="004811BC"/>
    <w:rsid w:val="004838F2"/>
    <w:rsid w:val="00486492"/>
    <w:rsid w:val="00492CF6"/>
    <w:rsid w:val="004A4C9D"/>
    <w:rsid w:val="004C2078"/>
    <w:rsid w:val="004C228F"/>
    <w:rsid w:val="004E752F"/>
    <w:rsid w:val="004F1E37"/>
    <w:rsid w:val="00515198"/>
    <w:rsid w:val="00521C44"/>
    <w:rsid w:val="005274E1"/>
    <w:rsid w:val="00531DDF"/>
    <w:rsid w:val="00535FA6"/>
    <w:rsid w:val="00542AB7"/>
    <w:rsid w:val="0055358D"/>
    <w:rsid w:val="005540C8"/>
    <w:rsid w:val="00555809"/>
    <w:rsid w:val="00562165"/>
    <w:rsid w:val="005756AF"/>
    <w:rsid w:val="00575A4A"/>
    <w:rsid w:val="00591B6F"/>
    <w:rsid w:val="005A1DAF"/>
    <w:rsid w:val="005C17C8"/>
    <w:rsid w:val="005C2098"/>
    <w:rsid w:val="005C2E6C"/>
    <w:rsid w:val="005D0CCF"/>
    <w:rsid w:val="005D1C01"/>
    <w:rsid w:val="005E297D"/>
    <w:rsid w:val="005E3F12"/>
    <w:rsid w:val="005F627E"/>
    <w:rsid w:val="0061652E"/>
    <w:rsid w:val="006205E9"/>
    <w:rsid w:val="00622D0B"/>
    <w:rsid w:val="006270DA"/>
    <w:rsid w:val="00630B75"/>
    <w:rsid w:val="00634DFF"/>
    <w:rsid w:val="00635337"/>
    <w:rsid w:val="0064265B"/>
    <w:rsid w:val="0064519C"/>
    <w:rsid w:val="0065082E"/>
    <w:rsid w:val="006512D0"/>
    <w:rsid w:val="006560A3"/>
    <w:rsid w:val="00656301"/>
    <w:rsid w:val="006600C9"/>
    <w:rsid w:val="006701CC"/>
    <w:rsid w:val="00671F58"/>
    <w:rsid w:val="006762A4"/>
    <w:rsid w:val="006900E7"/>
    <w:rsid w:val="006A00A8"/>
    <w:rsid w:val="006A482D"/>
    <w:rsid w:val="006B11E0"/>
    <w:rsid w:val="006B386A"/>
    <w:rsid w:val="006B7CB4"/>
    <w:rsid w:val="006C24D3"/>
    <w:rsid w:val="006C7917"/>
    <w:rsid w:val="006E51AE"/>
    <w:rsid w:val="0070081F"/>
    <w:rsid w:val="007018F5"/>
    <w:rsid w:val="00710897"/>
    <w:rsid w:val="00712F45"/>
    <w:rsid w:val="00734305"/>
    <w:rsid w:val="007370E1"/>
    <w:rsid w:val="007732A1"/>
    <w:rsid w:val="00774C4A"/>
    <w:rsid w:val="00782BBB"/>
    <w:rsid w:val="007A0690"/>
    <w:rsid w:val="007A078F"/>
    <w:rsid w:val="007B34D4"/>
    <w:rsid w:val="007C0633"/>
    <w:rsid w:val="007D086C"/>
    <w:rsid w:val="007F1BE1"/>
    <w:rsid w:val="007F707F"/>
    <w:rsid w:val="007F794C"/>
    <w:rsid w:val="007F7AC9"/>
    <w:rsid w:val="00803B42"/>
    <w:rsid w:val="008073EF"/>
    <w:rsid w:val="0081095C"/>
    <w:rsid w:val="00810C41"/>
    <w:rsid w:val="008212FF"/>
    <w:rsid w:val="0082593B"/>
    <w:rsid w:val="00827537"/>
    <w:rsid w:val="008468EA"/>
    <w:rsid w:val="00867140"/>
    <w:rsid w:val="00881134"/>
    <w:rsid w:val="008904F0"/>
    <w:rsid w:val="008B2F27"/>
    <w:rsid w:val="008B4A72"/>
    <w:rsid w:val="008B585E"/>
    <w:rsid w:val="008E6C0C"/>
    <w:rsid w:val="008F1E63"/>
    <w:rsid w:val="008F3052"/>
    <w:rsid w:val="00901E19"/>
    <w:rsid w:val="009214F7"/>
    <w:rsid w:val="00921CD7"/>
    <w:rsid w:val="00940EB6"/>
    <w:rsid w:val="00944771"/>
    <w:rsid w:val="009601FC"/>
    <w:rsid w:val="00965426"/>
    <w:rsid w:val="0096654A"/>
    <w:rsid w:val="009711E4"/>
    <w:rsid w:val="00971572"/>
    <w:rsid w:val="00981E55"/>
    <w:rsid w:val="00986CEF"/>
    <w:rsid w:val="00987212"/>
    <w:rsid w:val="009A0E5F"/>
    <w:rsid w:val="009F1AF3"/>
    <w:rsid w:val="009F233E"/>
    <w:rsid w:val="00A024AB"/>
    <w:rsid w:val="00A050A5"/>
    <w:rsid w:val="00A05B8B"/>
    <w:rsid w:val="00A1372F"/>
    <w:rsid w:val="00A170EC"/>
    <w:rsid w:val="00A217B3"/>
    <w:rsid w:val="00A23D04"/>
    <w:rsid w:val="00A277D9"/>
    <w:rsid w:val="00A30CEB"/>
    <w:rsid w:val="00A31318"/>
    <w:rsid w:val="00A5432A"/>
    <w:rsid w:val="00A55F8A"/>
    <w:rsid w:val="00A9670E"/>
    <w:rsid w:val="00AA1423"/>
    <w:rsid w:val="00AB7996"/>
    <w:rsid w:val="00AC43C3"/>
    <w:rsid w:val="00AE2EAD"/>
    <w:rsid w:val="00AF77BE"/>
    <w:rsid w:val="00B11CEE"/>
    <w:rsid w:val="00B23428"/>
    <w:rsid w:val="00B264BF"/>
    <w:rsid w:val="00B42E74"/>
    <w:rsid w:val="00B46874"/>
    <w:rsid w:val="00B50E8F"/>
    <w:rsid w:val="00B51151"/>
    <w:rsid w:val="00B523E4"/>
    <w:rsid w:val="00B52B4F"/>
    <w:rsid w:val="00B6108C"/>
    <w:rsid w:val="00B649AD"/>
    <w:rsid w:val="00B64B9C"/>
    <w:rsid w:val="00B67A3E"/>
    <w:rsid w:val="00B735CC"/>
    <w:rsid w:val="00B82C95"/>
    <w:rsid w:val="00B83F87"/>
    <w:rsid w:val="00B84DFD"/>
    <w:rsid w:val="00BB4E38"/>
    <w:rsid w:val="00BC3879"/>
    <w:rsid w:val="00BD0E0D"/>
    <w:rsid w:val="00BD41BC"/>
    <w:rsid w:val="00BD55AD"/>
    <w:rsid w:val="00BE0305"/>
    <w:rsid w:val="00BF15F0"/>
    <w:rsid w:val="00BF7DF9"/>
    <w:rsid w:val="00C03559"/>
    <w:rsid w:val="00C05395"/>
    <w:rsid w:val="00C22AD7"/>
    <w:rsid w:val="00C272C1"/>
    <w:rsid w:val="00C32A68"/>
    <w:rsid w:val="00C34282"/>
    <w:rsid w:val="00C35350"/>
    <w:rsid w:val="00C3564B"/>
    <w:rsid w:val="00C53721"/>
    <w:rsid w:val="00C64D2E"/>
    <w:rsid w:val="00C70F97"/>
    <w:rsid w:val="00C7497C"/>
    <w:rsid w:val="00C757A2"/>
    <w:rsid w:val="00C75966"/>
    <w:rsid w:val="00C76577"/>
    <w:rsid w:val="00C80225"/>
    <w:rsid w:val="00C81349"/>
    <w:rsid w:val="00C93139"/>
    <w:rsid w:val="00CA08A0"/>
    <w:rsid w:val="00CA32D2"/>
    <w:rsid w:val="00CA4E07"/>
    <w:rsid w:val="00CA737D"/>
    <w:rsid w:val="00CB1EF5"/>
    <w:rsid w:val="00CC05D4"/>
    <w:rsid w:val="00CC7166"/>
    <w:rsid w:val="00CF5275"/>
    <w:rsid w:val="00CF6136"/>
    <w:rsid w:val="00D0023D"/>
    <w:rsid w:val="00D006C6"/>
    <w:rsid w:val="00D14A65"/>
    <w:rsid w:val="00D162B9"/>
    <w:rsid w:val="00D251E2"/>
    <w:rsid w:val="00D254F4"/>
    <w:rsid w:val="00D263A7"/>
    <w:rsid w:val="00D26B5D"/>
    <w:rsid w:val="00D33159"/>
    <w:rsid w:val="00D33A19"/>
    <w:rsid w:val="00D355B5"/>
    <w:rsid w:val="00D43DC3"/>
    <w:rsid w:val="00D51791"/>
    <w:rsid w:val="00D5281E"/>
    <w:rsid w:val="00D6531B"/>
    <w:rsid w:val="00D6612D"/>
    <w:rsid w:val="00D71AD9"/>
    <w:rsid w:val="00D73C02"/>
    <w:rsid w:val="00D872ED"/>
    <w:rsid w:val="00D913C6"/>
    <w:rsid w:val="00DA0236"/>
    <w:rsid w:val="00DA5D51"/>
    <w:rsid w:val="00DA5E29"/>
    <w:rsid w:val="00DA61CA"/>
    <w:rsid w:val="00DB66BB"/>
    <w:rsid w:val="00DB73AF"/>
    <w:rsid w:val="00DC2865"/>
    <w:rsid w:val="00DD0894"/>
    <w:rsid w:val="00DE1888"/>
    <w:rsid w:val="00DF1250"/>
    <w:rsid w:val="00DF6EF7"/>
    <w:rsid w:val="00E05454"/>
    <w:rsid w:val="00E074C3"/>
    <w:rsid w:val="00E23329"/>
    <w:rsid w:val="00E24D6D"/>
    <w:rsid w:val="00E341B2"/>
    <w:rsid w:val="00E42633"/>
    <w:rsid w:val="00E5699E"/>
    <w:rsid w:val="00E570E1"/>
    <w:rsid w:val="00E72773"/>
    <w:rsid w:val="00E76739"/>
    <w:rsid w:val="00E81946"/>
    <w:rsid w:val="00E82BB7"/>
    <w:rsid w:val="00E86D13"/>
    <w:rsid w:val="00E936C2"/>
    <w:rsid w:val="00E95346"/>
    <w:rsid w:val="00EA0CEF"/>
    <w:rsid w:val="00EA2E2A"/>
    <w:rsid w:val="00EB79D2"/>
    <w:rsid w:val="00EC0174"/>
    <w:rsid w:val="00ED3EEB"/>
    <w:rsid w:val="00ED5749"/>
    <w:rsid w:val="00ED5FA3"/>
    <w:rsid w:val="00ED68C4"/>
    <w:rsid w:val="00ED6A4E"/>
    <w:rsid w:val="00ED72EA"/>
    <w:rsid w:val="00EE3A4F"/>
    <w:rsid w:val="00EF10C3"/>
    <w:rsid w:val="00EF3BD2"/>
    <w:rsid w:val="00F16BCE"/>
    <w:rsid w:val="00F45DA1"/>
    <w:rsid w:val="00F5267B"/>
    <w:rsid w:val="00F53E8B"/>
    <w:rsid w:val="00F663FD"/>
    <w:rsid w:val="00F743B0"/>
    <w:rsid w:val="00F82409"/>
    <w:rsid w:val="00F8264F"/>
    <w:rsid w:val="00F833E9"/>
    <w:rsid w:val="00F84580"/>
    <w:rsid w:val="00F873DA"/>
    <w:rsid w:val="00F95982"/>
    <w:rsid w:val="00FA006C"/>
    <w:rsid w:val="00FA190E"/>
    <w:rsid w:val="00FA288B"/>
    <w:rsid w:val="00FA2997"/>
    <w:rsid w:val="00FA2C71"/>
    <w:rsid w:val="00FB3345"/>
    <w:rsid w:val="00FD0228"/>
    <w:rsid w:val="00FD3BB7"/>
    <w:rsid w:val="00FE0D93"/>
    <w:rsid w:val="00FF2572"/>
    <w:rsid w:val="00FF32AD"/>
    <w:rsid w:val="05BF6D88"/>
    <w:rsid w:val="0DC31556"/>
    <w:rsid w:val="145E6E6F"/>
    <w:rsid w:val="1A3D6143"/>
    <w:rsid w:val="1C013801"/>
    <w:rsid w:val="1C5246ED"/>
    <w:rsid w:val="1DFD8D3B"/>
    <w:rsid w:val="1FB79DC9"/>
    <w:rsid w:val="1FBFC3F2"/>
    <w:rsid w:val="1FFFE033"/>
    <w:rsid w:val="262D17A0"/>
    <w:rsid w:val="27F352A6"/>
    <w:rsid w:val="2D527252"/>
    <w:rsid w:val="2DDC1740"/>
    <w:rsid w:val="2DE6240C"/>
    <w:rsid w:val="2EAE55F2"/>
    <w:rsid w:val="2EDF4302"/>
    <w:rsid w:val="2EFE1A04"/>
    <w:rsid w:val="2FFF3854"/>
    <w:rsid w:val="35BBF80F"/>
    <w:rsid w:val="3AC020F1"/>
    <w:rsid w:val="3B0B3937"/>
    <w:rsid w:val="3B736F08"/>
    <w:rsid w:val="3BE3D531"/>
    <w:rsid w:val="3D431A40"/>
    <w:rsid w:val="3EFF42CA"/>
    <w:rsid w:val="3F6FCA38"/>
    <w:rsid w:val="3FD5AF3D"/>
    <w:rsid w:val="3FFED8BE"/>
    <w:rsid w:val="3FFF43BB"/>
    <w:rsid w:val="3FFFFC14"/>
    <w:rsid w:val="433DCF8E"/>
    <w:rsid w:val="45FF973D"/>
    <w:rsid w:val="47550EBA"/>
    <w:rsid w:val="48634AC7"/>
    <w:rsid w:val="494F165A"/>
    <w:rsid w:val="4BF7E09D"/>
    <w:rsid w:val="4F2C7347"/>
    <w:rsid w:val="53BB74FC"/>
    <w:rsid w:val="55FDDF92"/>
    <w:rsid w:val="55FFBC03"/>
    <w:rsid w:val="56CDA72E"/>
    <w:rsid w:val="576F5916"/>
    <w:rsid w:val="577FDAE2"/>
    <w:rsid w:val="57FBE2C7"/>
    <w:rsid w:val="5B335734"/>
    <w:rsid w:val="5B7F322F"/>
    <w:rsid w:val="5BCAB023"/>
    <w:rsid w:val="5BEACB58"/>
    <w:rsid w:val="5D8649C7"/>
    <w:rsid w:val="5DDA9B94"/>
    <w:rsid w:val="5EAB810D"/>
    <w:rsid w:val="5EFA9846"/>
    <w:rsid w:val="5EFF9DA6"/>
    <w:rsid w:val="5F7751B9"/>
    <w:rsid w:val="5F9F7232"/>
    <w:rsid w:val="5F9F9588"/>
    <w:rsid w:val="5FBD32D2"/>
    <w:rsid w:val="5FD450B0"/>
    <w:rsid w:val="5FEF60CD"/>
    <w:rsid w:val="5FFB203D"/>
    <w:rsid w:val="5FFB8CF9"/>
    <w:rsid w:val="61BB5530"/>
    <w:rsid w:val="63DBAF21"/>
    <w:rsid w:val="6636451A"/>
    <w:rsid w:val="67425DF4"/>
    <w:rsid w:val="67DE80AA"/>
    <w:rsid w:val="697E3B47"/>
    <w:rsid w:val="69BF132E"/>
    <w:rsid w:val="6B7F84D8"/>
    <w:rsid w:val="6BFEE5F3"/>
    <w:rsid w:val="6CAFF34E"/>
    <w:rsid w:val="6CFFCF4F"/>
    <w:rsid w:val="6DFFF8B6"/>
    <w:rsid w:val="6E9FE641"/>
    <w:rsid w:val="6EEDE807"/>
    <w:rsid w:val="6EEE4BE4"/>
    <w:rsid w:val="6EF65E9C"/>
    <w:rsid w:val="6F3D9197"/>
    <w:rsid w:val="6F6F75B6"/>
    <w:rsid w:val="6FAB3EC4"/>
    <w:rsid w:val="6FB6AF41"/>
    <w:rsid w:val="6FD52DA7"/>
    <w:rsid w:val="6FD894C8"/>
    <w:rsid w:val="6FE36A9E"/>
    <w:rsid w:val="6FEFB2D1"/>
    <w:rsid w:val="6FFF97E6"/>
    <w:rsid w:val="71397E03"/>
    <w:rsid w:val="71C82A73"/>
    <w:rsid w:val="71FB5B08"/>
    <w:rsid w:val="73FB87D9"/>
    <w:rsid w:val="75EF0FBA"/>
    <w:rsid w:val="7607C293"/>
    <w:rsid w:val="76793C4E"/>
    <w:rsid w:val="767B0EE7"/>
    <w:rsid w:val="76DF783A"/>
    <w:rsid w:val="76DFA4E8"/>
    <w:rsid w:val="778720BD"/>
    <w:rsid w:val="77A7D615"/>
    <w:rsid w:val="77FF366A"/>
    <w:rsid w:val="77FF8C96"/>
    <w:rsid w:val="77FFA8F9"/>
    <w:rsid w:val="7976604B"/>
    <w:rsid w:val="79F3BC78"/>
    <w:rsid w:val="7A5B6CAA"/>
    <w:rsid w:val="7A9314AC"/>
    <w:rsid w:val="7B4F6850"/>
    <w:rsid w:val="7BABD5C4"/>
    <w:rsid w:val="7BB12055"/>
    <w:rsid w:val="7BBFADBA"/>
    <w:rsid w:val="7BF7F9C6"/>
    <w:rsid w:val="7BFF492D"/>
    <w:rsid w:val="7C631402"/>
    <w:rsid w:val="7C978C63"/>
    <w:rsid w:val="7CA35AD0"/>
    <w:rsid w:val="7CDF8BC3"/>
    <w:rsid w:val="7CEB72A5"/>
    <w:rsid w:val="7D18750B"/>
    <w:rsid w:val="7DDFDC39"/>
    <w:rsid w:val="7DFDEECD"/>
    <w:rsid w:val="7E140770"/>
    <w:rsid w:val="7E5D92FB"/>
    <w:rsid w:val="7E635AE7"/>
    <w:rsid w:val="7EF51D64"/>
    <w:rsid w:val="7EFFF488"/>
    <w:rsid w:val="7F574612"/>
    <w:rsid w:val="7F7F4920"/>
    <w:rsid w:val="7FB7C299"/>
    <w:rsid w:val="7FBFFB92"/>
    <w:rsid w:val="7FD76ACB"/>
    <w:rsid w:val="7FD89DA2"/>
    <w:rsid w:val="7FDBD805"/>
    <w:rsid w:val="7FDEC14D"/>
    <w:rsid w:val="7FDF8B76"/>
    <w:rsid w:val="7FDFE693"/>
    <w:rsid w:val="7FEFB5DD"/>
    <w:rsid w:val="7FEFBBD9"/>
    <w:rsid w:val="7FFD6A57"/>
    <w:rsid w:val="7FFDA7EC"/>
    <w:rsid w:val="7FFDEA1E"/>
    <w:rsid w:val="7FFEC1F6"/>
    <w:rsid w:val="7FFF0917"/>
    <w:rsid w:val="7FFF2F52"/>
    <w:rsid w:val="8F7B4EC8"/>
    <w:rsid w:val="8FBD4480"/>
    <w:rsid w:val="8FF7AE96"/>
    <w:rsid w:val="955F5184"/>
    <w:rsid w:val="9F6311D7"/>
    <w:rsid w:val="9FF54399"/>
    <w:rsid w:val="9FFF1B60"/>
    <w:rsid w:val="A46D76C1"/>
    <w:rsid w:val="A7FF43C2"/>
    <w:rsid w:val="ABF66286"/>
    <w:rsid w:val="AD9E3F04"/>
    <w:rsid w:val="ADA70464"/>
    <w:rsid w:val="AFE97CD3"/>
    <w:rsid w:val="B1BF5C63"/>
    <w:rsid w:val="B1FF3A18"/>
    <w:rsid w:val="B3CDF284"/>
    <w:rsid w:val="B3E8107B"/>
    <w:rsid w:val="B579A608"/>
    <w:rsid w:val="B5F66F24"/>
    <w:rsid w:val="B7F5200A"/>
    <w:rsid w:val="BABDA1AA"/>
    <w:rsid w:val="BB1B4BF1"/>
    <w:rsid w:val="BBE5FE68"/>
    <w:rsid w:val="BBFEB9C1"/>
    <w:rsid w:val="BDF7406A"/>
    <w:rsid w:val="BE6FD8DB"/>
    <w:rsid w:val="BEEF57C2"/>
    <w:rsid w:val="BF6CD6FF"/>
    <w:rsid w:val="BF6D5596"/>
    <w:rsid w:val="BFBEBB2C"/>
    <w:rsid w:val="BFC68935"/>
    <w:rsid w:val="BFDD0F1D"/>
    <w:rsid w:val="BFDDD096"/>
    <w:rsid w:val="C5B3F496"/>
    <w:rsid w:val="C96F3E49"/>
    <w:rsid w:val="CBBF14F3"/>
    <w:rsid w:val="CBE5DCF2"/>
    <w:rsid w:val="CCFCC735"/>
    <w:rsid w:val="CEEB8A74"/>
    <w:rsid w:val="D37FB642"/>
    <w:rsid w:val="D7F99798"/>
    <w:rsid w:val="D7FF400C"/>
    <w:rsid w:val="D9DB2628"/>
    <w:rsid w:val="DBED1CD4"/>
    <w:rsid w:val="DBFBB328"/>
    <w:rsid w:val="DDD7453A"/>
    <w:rsid w:val="DE3E1FD7"/>
    <w:rsid w:val="DEBFCF8E"/>
    <w:rsid w:val="DFBE1B79"/>
    <w:rsid w:val="DFCF1FEC"/>
    <w:rsid w:val="DFE75A3D"/>
    <w:rsid w:val="DFED2117"/>
    <w:rsid w:val="DFEF594B"/>
    <w:rsid w:val="DFF3F960"/>
    <w:rsid w:val="DFFE0D61"/>
    <w:rsid w:val="E35C4B3C"/>
    <w:rsid w:val="E3A781CA"/>
    <w:rsid w:val="E5DFAB50"/>
    <w:rsid w:val="E6FC647F"/>
    <w:rsid w:val="EAE6D6D4"/>
    <w:rsid w:val="EBFBC8F1"/>
    <w:rsid w:val="EBFDF757"/>
    <w:rsid w:val="ED758B5D"/>
    <w:rsid w:val="ED76A08D"/>
    <w:rsid w:val="EDBDD81F"/>
    <w:rsid w:val="EDFDB542"/>
    <w:rsid w:val="EF0FCF96"/>
    <w:rsid w:val="EF95E20F"/>
    <w:rsid w:val="EFAF7DFF"/>
    <w:rsid w:val="EFAFB283"/>
    <w:rsid w:val="EFBDA38B"/>
    <w:rsid w:val="EFEE9A76"/>
    <w:rsid w:val="F1BF6FBC"/>
    <w:rsid w:val="F1F9A9B5"/>
    <w:rsid w:val="F3779FC2"/>
    <w:rsid w:val="F3D5C239"/>
    <w:rsid w:val="F3F37DF4"/>
    <w:rsid w:val="F3F96DE6"/>
    <w:rsid w:val="F3FBC54A"/>
    <w:rsid w:val="F47BB68A"/>
    <w:rsid w:val="F47F523E"/>
    <w:rsid w:val="F69FD6B0"/>
    <w:rsid w:val="F7E7F921"/>
    <w:rsid w:val="F7F7AC6A"/>
    <w:rsid w:val="F7FD93B9"/>
    <w:rsid w:val="F8D9A400"/>
    <w:rsid w:val="FABF64A5"/>
    <w:rsid w:val="FABF7411"/>
    <w:rsid w:val="FBA53981"/>
    <w:rsid w:val="FBE4457E"/>
    <w:rsid w:val="FBFC558A"/>
    <w:rsid w:val="FBFF71AC"/>
    <w:rsid w:val="FBFFEA2B"/>
    <w:rsid w:val="FCCB27AA"/>
    <w:rsid w:val="FCFF8F4B"/>
    <w:rsid w:val="FD9595AD"/>
    <w:rsid w:val="FDDF4F05"/>
    <w:rsid w:val="FDF9DD9A"/>
    <w:rsid w:val="FDFF2821"/>
    <w:rsid w:val="FDFFA696"/>
    <w:rsid w:val="FE7FB02B"/>
    <w:rsid w:val="FEBD0232"/>
    <w:rsid w:val="FED5A77F"/>
    <w:rsid w:val="FEDFD193"/>
    <w:rsid w:val="FEE7097E"/>
    <w:rsid w:val="FEEF8230"/>
    <w:rsid w:val="FEF1F1BE"/>
    <w:rsid w:val="FEF99316"/>
    <w:rsid w:val="FEFB20CB"/>
    <w:rsid w:val="FEFD95B3"/>
    <w:rsid w:val="FEFE4E93"/>
    <w:rsid w:val="FEFFA483"/>
    <w:rsid w:val="FF29B32D"/>
    <w:rsid w:val="FF2E6944"/>
    <w:rsid w:val="FF5F9D52"/>
    <w:rsid w:val="FF7A0B6A"/>
    <w:rsid w:val="FF7B6DC2"/>
    <w:rsid w:val="FF7FFF75"/>
    <w:rsid w:val="FF921F59"/>
    <w:rsid w:val="FFB75E44"/>
    <w:rsid w:val="FFBB1E09"/>
    <w:rsid w:val="FFBB6A0C"/>
    <w:rsid w:val="FFBD894B"/>
    <w:rsid w:val="FFBF33B3"/>
    <w:rsid w:val="FFD09362"/>
    <w:rsid w:val="FFD1DA08"/>
    <w:rsid w:val="FFD7DEDD"/>
    <w:rsid w:val="FFDE369F"/>
    <w:rsid w:val="FFEF98C9"/>
    <w:rsid w:val="FFEFCE62"/>
    <w:rsid w:val="FFF973B0"/>
    <w:rsid w:val="FFFB4F05"/>
    <w:rsid w:val="FFFEC8F5"/>
    <w:rsid w:val="FFFEF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">
    <w:name w:val="Normal Indent"/>
    <w:basedOn w:val="1"/>
    <w:next w:val="1"/>
    <w:qFormat/>
    <w:uiPriority w:val="0"/>
    <w:pPr>
      <w:spacing w:before="156" w:beforeLines="50" w:line="360" w:lineRule="auto"/>
      <w:ind w:firstLine="480" w:firstLineChars="200"/>
    </w:pPr>
    <w:rPr>
      <w:rFonts w:eastAsia="仿宋"/>
      <w:sz w:val="24"/>
      <w:szCs w:val="23"/>
      <w:lang w:eastAsia="ar-SA"/>
    </w:rPr>
  </w:style>
  <w:style w:type="paragraph" w:styleId="4">
    <w:name w:val="Document Map"/>
    <w:basedOn w:val="1"/>
    <w:link w:val="21"/>
    <w:qFormat/>
    <w:uiPriority w:val="0"/>
    <w:rPr>
      <w:rFonts w:ascii="宋体" w:eastAsia="宋体"/>
      <w:sz w:val="18"/>
      <w:szCs w:val="18"/>
    </w:r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Body Text Indent"/>
    <w:basedOn w:val="1"/>
    <w:qFormat/>
    <w:uiPriority w:val="0"/>
    <w:pPr>
      <w:spacing w:after="120"/>
      <w:ind w:leftChars="200"/>
    </w:pPr>
    <w:rPr>
      <w:rFonts w:ascii="仿宋_GB2312"/>
      <w:szCs w:val="32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 2"/>
    <w:basedOn w:val="6"/>
    <w:unhideWhenUsed/>
    <w:qFormat/>
    <w:uiPriority w:val="99"/>
    <w:pPr>
      <w:ind w:firstLine="420" w:firstLineChars="200"/>
    </w:p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page number"/>
    <w:basedOn w:val="15"/>
    <w:qFormat/>
    <w:uiPriority w:val="0"/>
  </w:style>
  <w:style w:type="paragraph" w:customStyle="1" w:styleId="18">
    <w:name w:val="标题 5（有编号）（绿盟科技）"/>
    <w:next w:val="1"/>
    <w:qFormat/>
    <w:uiPriority w:val="99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  <w:style w:type="paragraph" w:customStyle="1" w:styleId="19">
    <w:name w:val="四号正文"/>
    <w:basedOn w:val="1"/>
    <w:link w:val="20"/>
    <w:qFormat/>
    <w:uiPriority w:val="0"/>
    <w:pPr>
      <w:spacing w:line="360" w:lineRule="auto"/>
    </w:pPr>
    <w:rPr>
      <w:rFonts w:ascii="??" w:hAnsi="??" w:eastAsia="宋体" w:cs="宋体"/>
      <w:color w:val="000000"/>
      <w:kern w:val="0"/>
      <w:sz w:val="28"/>
      <w:szCs w:val="21"/>
    </w:rPr>
  </w:style>
  <w:style w:type="character" w:customStyle="1" w:styleId="20">
    <w:name w:val="四号正文 Char"/>
    <w:basedOn w:val="15"/>
    <w:link w:val="19"/>
    <w:qFormat/>
    <w:uiPriority w:val="0"/>
    <w:rPr>
      <w:rFonts w:ascii="??" w:hAnsi="??" w:eastAsia="宋体" w:cs="宋体"/>
      <w:color w:val="000000"/>
      <w:sz w:val="28"/>
      <w:szCs w:val="21"/>
      <w:lang w:val="en-US" w:eastAsia="zh-CN" w:bidi="ar-SA"/>
    </w:rPr>
  </w:style>
  <w:style w:type="character" w:customStyle="1" w:styleId="21">
    <w:name w:val="文档结构图 Char"/>
    <w:basedOn w:val="15"/>
    <w:link w:val="4"/>
    <w:qFormat/>
    <w:uiPriority w:val="0"/>
    <w:rPr>
      <w:rFonts w:ascii="宋体"/>
      <w:kern w:val="2"/>
      <w:sz w:val="18"/>
      <w:szCs w:val="18"/>
    </w:rPr>
  </w:style>
  <w:style w:type="paragraph" w:customStyle="1" w:styleId="22">
    <w:name w:val="a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23">
    <w:name w:val="页脚 Char"/>
    <w:basedOn w:val="15"/>
    <w:link w:val="8"/>
    <w:qFormat/>
    <w:uiPriority w:val="99"/>
    <w:rPr>
      <w:kern w:val="2"/>
      <w:sz w:val="18"/>
      <w:szCs w:val="18"/>
    </w:rPr>
  </w:style>
  <w:style w:type="character" w:customStyle="1" w:styleId="24">
    <w:name w:val="font3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5">
    <w:name w:val="font51"/>
    <w:basedOn w:val="15"/>
    <w:qFormat/>
    <w:uiPriority w:val="0"/>
    <w:rPr>
      <w:rFonts w:hint="default" w:ascii="Wingdings 2" w:hAnsi="Wingdings 2" w:eastAsia="Wingdings 2" w:cs="Wingdings 2"/>
      <w:color w:val="000000"/>
      <w:sz w:val="18"/>
      <w:szCs w:val="18"/>
      <w:u w:val="none"/>
    </w:rPr>
  </w:style>
  <w:style w:type="character" w:customStyle="1" w:styleId="26">
    <w:name w:val="font01"/>
    <w:basedOn w:val="15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27">
    <w:name w:val="font41"/>
    <w:basedOn w:val="15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PSZX</Company>
  <Pages>15</Pages>
  <Words>6147</Words>
  <Characters>6911</Characters>
  <Lines>2</Lines>
  <Paragraphs>1</Paragraphs>
  <TotalTime>8</TotalTime>
  <ScaleCrop>false</ScaleCrop>
  <LinksUpToDate>false</LinksUpToDate>
  <CharactersWithSpaces>6938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2019-05-31T19:06:00Z</dcterms:created>
  <dc:creator>陈萍</dc:creator>
  <cp:lastModifiedBy>李</cp:lastModifiedBy>
  <cp:lastPrinted>2025-03-18T15:26:00Z</cp:lastPrinted>
  <dcterms:modified xsi:type="dcterms:W3CDTF">2025-08-27T09:43:42Z</dcterms:modified>
  <dc:title>区域性就业培训基地建设项目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05B9CF28E92E42BAAD4775D6BCCF8C5C_13</vt:lpwstr>
  </property>
  <property fmtid="{D5CDD505-2E9C-101B-9397-08002B2CF9AE}" pid="4" name="KSOTemplateDocerSaveRecord">
    <vt:lpwstr>eyJoZGlkIjoiZWZjOWY4ZGFjNzkxZjM1N2FmZWNhNzc0MDBhMTM3OWQiLCJ1c2VySWQiOiI1MTE5NDk0OTQifQ==</vt:lpwstr>
  </property>
</Properties>
</file>