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default" w:ascii="仿宋_GB2312" w:hAnsi="黑体" w:eastAsia="仿宋_GB2312" w:cs="方正小标宋简体"/>
          <w:b/>
          <w:sz w:val="32"/>
          <w:szCs w:val="32"/>
          <w:lang w:val="en-US" w:eastAsia="zh-CN"/>
        </w:rPr>
      </w:pPr>
      <w:r>
        <w:rPr>
          <w:rFonts w:hint="eastAsia" w:ascii="仿宋_GB2312" w:hAnsi="黑体" w:eastAsia="仿宋_GB2312" w:cs="方正小标宋简体"/>
          <w:b/>
          <w:sz w:val="32"/>
          <w:szCs w:val="32"/>
        </w:rPr>
        <w:t>20</w:t>
      </w:r>
      <w:r>
        <w:rPr>
          <w:rFonts w:hint="eastAsia" w:ascii="仿宋_GB2312" w:hAnsi="黑体" w:eastAsia="仿宋_GB2312" w:cs="方正小标宋简体"/>
          <w:b/>
          <w:sz w:val="32"/>
          <w:szCs w:val="32"/>
          <w:lang w:val="en-US" w:eastAsia="zh-CN"/>
        </w:rPr>
        <w:t>25</w:t>
      </w:r>
      <w:r>
        <w:rPr>
          <w:rFonts w:hint="eastAsia" w:ascii="仿宋_GB2312" w:hAnsi="黑体" w:eastAsia="仿宋_GB2312" w:cs="方正小标宋简体"/>
          <w:b/>
          <w:sz w:val="32"/>
          <w:szCs w:val="32"/>
        </w:rPr>
        <w:t>年</w:t>
      </w:r>
      <w:r>
        <w:rPr>
          <w:rFonts w:hint="default" w:ascii="仿宋_GB2312" w:hAnsi="黑体" w:eastAsia="仿宋_GB2312" w:cs="方正小标宋简体"/>
          <w:b/>
          <w:sz w:val="32"/>
          <w:szCs w:val="32"/>
          <w:lang w:val="en-US" w:eastAsia="zh-CN"/>
        </w:rPr>
        <w:t>中央文化人才专项</w:t>
      </w:r>
    </w:p>
    <w:p>
      <w:pPr>
        <w:spacing w:line="580" w:lineRule="exact"/>
        <w:jc w:val="center"/>
        <w:rPr>
          <w:rFonts w:ascii="仿宋_GB2312" w:hAnsi="黑体" w:eastAsia="仿宋_GB2312" w:cs="方正小标宋简体"/>
          <w:b/>
          <w:sz w:val="32"/>
          <w:szCs w:val="32"/>
        </w:rPr>
      </w:pPr>
      <w:r>
        <w:rPr>
          <w:rFonts w:hint="eastAsia" w:ascii="仿宋_GB2312" w:hAnsi="黑体" w:eastAsia="仿宋_GB2312" w:cs="方正小标宋简体"/>
          <w:b/>
          <w:sz w:val="32"/>
          <w:szCs w:val="32"/>
        </w:rPr>
        <w:t>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一、评价工作开展及项目情况</w:t>
      </w:r>
    </w:p>
    <w:p>
      <w:pPr>
        <w:spacing w:line="580" w:lineRule="exact"/>
        <w:ind w:firstLine="640" w:firstLineChars="200"/>
        <w:rPr>
          <w:rFonts w:hint="default" w:ascii="仿宋_GB2312" w:hAnsi="仿宋" w:eastAsia="仿宋_GB2312" w:cs="仿宋_GB2312"/>
          <w:sz w:val="32"/>
          <w:szCs w:val="32"/>
          <w:lang w:val="zh-CN"/>
        </w:rPr>
      </w:pPr>
      <w:r>
        <w:rPr>
          <w:rFonts w:hint="default" w:ascii="仿宋_GB2312" w:hAnsi="仿宋" w:eastAsia="仿宋_GB2312" w:cs="仿宋_GB2312"/>
          <w:sz w:val="32"/>
          <w:szCs w:val="32"/>
          <w:lang w:val="zh-CN"/>
        </w:rPr>
        <w:t>（一）评价目的</w:t>
      </w:r>
    </w:p>
    <w:p>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rPr>
        <w:t>通过绩效评价，及时发现</w:t>
      </w:r>
      <w:r>
        <w:rPr>
          <w:rFonts w:hint="eastAsia" w:ascii="仿宋_GB2312" w:hAnsi="仿宋" w:eastAsia="仿宋_GB2312" w:cs="仿宋_GB2312"/>
          <w:sz w:val="32"/>
          <w:szCs w:val="32"/>
          <w:lang w:eastAsia="zh-CN"/>
        </w:rPr>
        <w:t>项目实施及经费使用中</w:t>
      </w:r>
      <w:r>
        <w:rPr>
          <w:rFonts w:hint="eastAsia" w:ascii="仿宋_GB2312" w:hAnsi="仿宋" w:eastAsia="仿宋_GB2312" w:cs="仿宋_GB2312"/>
          <w:sz w:val="32"/>
          <w:szCs w:val="32"/>
        </w:rPr>
        <w:t>存在的薄弱环节，总结推广好的经验和做法，进一步规范项目管理。</w:t>
      </w:r>
      <w:r>
        <w:rPr>
          <w:rFonts w:hint="eastAsia" w:ascii="仿宋_GB2312" w:hAnsi="仿宋" w:eastAsia="仿宋_GB2312" w:cs="仿宋_GB2312"/>
          <w:sz w:val="32"/>
          <w:szCs w:val="32"/>
          <w:lang w:eastAsia="zh-CN"/>
        </w:rPr>
        <w:t>提升“</w:t>
      </w:r>
      <w:r>
        <w:rPr>
          <w:rFonts w:hint="eastAsia" w:ascii="仿宋_GB2312" w:hAnsi="仿宋" w:eastAsia="仿宋_GB2312" w:cs="仿宋_GB2312"/>
          <w:sz w:val="32"/>
          <w:szCs w:val="32"/>
          <w:lang w:val="en-US" w:eastAsia="zh-CN"/>
        </w:rPr>
        <w:t>三区”人才培养</w:t>
      </w:r>
      <w:r>
        <w:rPr>
          <w:rFonts w:hint="eastAsia" w:ascii="仿宋_GB2312" w:hAnsi="仿宋" w:eastAsia="仿宋_GB2312" w:cs="仿宋_GB2312"/>
          <w:sz w:val="32"/>
          <w:szCs w:val="32"/>
          <w:lang w:eastAsia="zh-CN"/>
        </w:rPr>
        <w:t>。</w:t>
      </w:r>
    </w:p>
    <w:p>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二</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预设问题及评价重点</w:t>
      </w:r>
    </w:p>
    <w:p>
      <w:pPr>
        <w:numPr>
          <w:ilvl w:val="0"/>
          <w:numId w:val="0"/>
        </w:num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1.长效机制建立情况。项目实施单位建立项目实施管理制度等。</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2.项目实施程序严密性。建设项目的招投标资料完整、真实，无弄虚作假套取财政资金等问题。</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3.资金拨付和使用的合规性。严格按照国库集中支付规定办理资金拨付手续；按时拨付，未造成滞留资金积压；资金专款专用，未随意变更项目内容及地点；遵守</w:t>
      </w:r>
      <w:r>
        <w:rPr>
          <w:rFonts w:hint="eastAsia" w:ascii="仿宋_GB2312" w:hAnsi="仿宋" w:eastAsia="仿宋_GB2312" w:cs="仿宋_GB2312"/>
          <w:sz w:val="32"/>
          <w:szCs w:val="32"/>
          <w:lang w:val="en-US" w:eastAsia="zh-CN"/>
        </w:rPr>
        <w:t>法律法规</w:t>
      </w:r>
      <w:r>
        <w:rPr>
          <w:rFonts w:hint="eastAsia" w:ascii="仿宋_GB2312" w:hAnsi="仿宋" w:eastAsia="仿宋_GB2312" w:cs="仿宋_GB2312"/>
          <w:sz w:val="32"/>
          <w:szCs w:val="32"/>
          <w:lang w:val="zh-CN"/>
        </w:rPr>
        <w:t>规定；无</w:t>
      </w:r>
      <w:r>
        <w:rPr>
          <w:rFonts w:hint="eastAsia" w:ascii="仿宋_GB2312" w:hAnsi="仿宋" w:eastAsia="仿宋_GB2312" w:cs="仿宋_GB2312"/>
          <w:sz w:val="32"/>
          <w:szCs w:val="32"/>
          <w:lang w:val="en-US" w:eastAsia="zh-CN"/>
        </w:rPr>
        <w:t>挤占</w:t>
      </w:r>
      <w:r>
        <w:rPr>
          <w:rFonts w:hint="eastAsia" w:ascii="仿宋_GB2312" w:hAnsi="仿宋" w:eastAsia="仿宋_GB2312" w:cs="仿宋_GB2312"/>
          <w:sz w:val="32"/>
          <w:szCs w:val="32"/>
          <w:lang w:val="zh-CN"/>
        </w:rPr>
        <w:t>、挪用、截留等违纪违规等问题。</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4.信息的公开透明度。项目资金管理单位的公开公示情况。</w:t>
      </w:r>
    </w:p>
    <w:p>
      <w:pPr>
        <w:spacing w:line="580" w:lineRule="exact"/>
        <w:ind w:firstLine="640" w:firstLineChars="200"/>
        <w:rPr>
          <w:rFonts w:hint="eastAsia" w:ascii="仿宋_GB2312" w:hAnsi="仿宋" w:eastAsia="仿宋_GB2312" w:cs="仿宋_GB2312"/>
          <w:sz w:val="32"/>
          <w:szCs w:val="32"/>
          <w:lang w:val="zh-CN"/>
        </w:rPr>
      </w:pPr>
      <w:r>
        <w:rPr>
          <w:rFonts w:hint="eastAsia" w:ascii="仿宋_GB2312" w:hAnsi="仿宋" w:eastAsia="仿宋_GB2312" w:cs="仿宋_GB2312"/>
          <w:sz w:val="32"/>
          <w:szCs w:val="32"/>
          <w:lang w:val="zh-CN"/>
        </w:rPr>
        <w:t>5.财务管理和会计核算规范性。财务核算符合《中华人民共和国会计法》《会计基础工作规范》等要求、符合基本建设财务管理和会计制度规定。</w:t>
      </w:r>
    </w:p>
    <w:p>
      <w:pPr>
        <w:spacing w:line="580" w:lineRule="exact"/>
        <w:ind w:firstLine="640" w:firstLineChars="200"/>
        <w:rPr>
          <w:rFonts w:hint="default" w:ascii="仿宋_GB2312" w:hAnsi="仿宋" w:eastAsia="仿宋_GB2312" w:cs="仿宋_GB2312"/>
          <w:sz w:val="32"/>
          <w:szCs w:val="32"/>
          <w:lang w:eastAsia="zh-CN"/>
        </w:rPr>
      </w:pPr>
      <w:r>
        <w:rPr>
          <w:rFonts w:hint="eastAsia" w:ascii="仿宋_GB2312" w:hAnsi="仿宋" w:eastAsia="仿宋_GB2312" w:cs="仿宋_GB2312"/>
          <w:sz w:val="32"/>
          <w:szCs w:val="32"/>
          <w:lang w:val="zh-CN"/>
        </w:rPr>
        <w:t>6.项目实施单位绩效自评情况。项目实施单位是否严格按照预算绩效管理规定开展绩效自评。</w:t>
      </w:r>
    </w:p>
    <w:p>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三</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评价选点</w:t>
      </w:r>
    </w:p>
    <w:p>
      <w:pPr>
        <w:numPr>
          <w:ilvl w:val="0"/>
          <w:numId w:val="0"/>
        </w:numPr>
        <w:spacing w:line="580" w:lineRule="exact"/>
        <w:ind w:firstLine="640" w:firstLineChars="200"/>
        <w:rPr>
          <w:rFonts w:hint="default"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eastAsia="zh-CN"/>
        </w:rPr>
        <w:t>黑水县文化广播电视和旅游局，黑水县芦花镇长征路</w:t>
      </w:r>
      <w:r>
        <w:rPr>
          <w:rFonts w:hint="eastAsia" w:ascii="仿宋_GB2312" w:hAnsi="仿宋" w:eastAsia="仿宋_GB2312" w:cs="仿宋_GB2312"/>
          <w:sz w:val="32"/>
          <w:szCs w:val="32"/>
          <w:lang w:val="en-US" w:eastAsia="zh-CN"/>
        </w:rPr>
        <w:t>100号。</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四</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评价方法。</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目标对照法</w:t>
      </w:r>
    </w:p>
    <w:p>
      <w:p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严格对照“三区”人才支持计划实施方案、选派协议、年度绩效目标、政策任务要求，将实际选派人才数量、服务时长、服务内容、本土人才培养、基层帮扶成果、资金使用等情况，与预设目标、任务清单逐项对标核查，核算任务完成率、目标达成率、协议履约率，精准衡量人才支持工作是否按政策要求、按计划完成全部既定任务。</w:t>
      </w:r>
    </w:p>
    <w:p>
      <w:pPr>
        <w:numPr>
          <w:ilvl w:val="0"/>
          <w:numId w:val="0"/>
        </w:numPr>
        <w:spacing w:line="580" w:lineRule="exact"/>
        <w:ind w:firstLine="640" w:firstLineChars="200"/>
        <w:rPr>
          <w:rFonts w:hint="default" w:ascii="仿宋_GB2312" w:hAnsi="仿宋" w:eastAsia="仿宋_GB2312" w:cs="仿宋_GB2312"/>
          <w:sz w:val="32"/>
          <w:szCs w:val="32"/>
          <w:lang w:val="zh-CN"/>
        </w:rPr>
      </w:pPr>
      <w:r>
        <w:rPr>
          <w:rFonts w:hint="eastAsia" w:ascii="仿宋_GB2312" w:hAnsi="仿宋" w:eastAsia="仿宋_GB2312" w:cs="仿宋_GB2312"/>
          <w:sz w:val="32"/>
          <w:szCs w:val="32"/>
          <w:lang w:val="zh-CN"/>
        </w:rPr>
        <w:t>（</w:t>
      </w:r>
      <w:r>
        <w:rPr>
          <w:rFonts w:hint="eastAsia" w:ascii="仿宋_GB2312" w:hAnsi="仿宋" w:eastAsia="仿宋_GB2312" w:cs="仿宋_GB2312"/>
          <w:sz w:val="32"/>
          <w:szCs w:val="32"/>
          <w:lang w:val="en-US" w:eastAsia="zh-CN"/>
        </w:rPr>
        <w:t>五</w:t>
      </w:r>
      <w:r>
        <w:rPr>
          <w:rFonts w:hint="eastAsia" w:ascii="仿宋_GB2312" w:hAnsi="仿宋" w:eastAsia="仿宋_GB2312" w:cs="仿宋_GB2312"/>
          <w:sz w:val="32"/>
          <w:szCs w:val="32"/>
          <w:lang w:val="zh-CN"/>
        </w:rPr>
        <w:t>）</w:t>
      </w:r>
      <w:r>
        <w:rPr>
          <w:rFonts w:hint="default" w:ascii="仿宋_GB2312" w:hAnsi="仿宋" w:eastAsia="仿宋_GB2312" w:cs="仿宋_GB2312"/>
          <w:sz w:val="32"/>
          <w:szCs w:val="32"/>
          <w:lang w:val="zh-CN"/>
        </w:rPr>
        <w:t>评价组织</w:t>
      </w:r>
    </w:p>
    <w:p>
      <w:pPr>
        <w:numPr>
          <w:ilvl w:val="0"/>
          <w:numId w:val="0"/>
        </w:num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1. 自评工作领导小组</w:t>
      </w:r>
    </w:p>
    <w:p>
      <w:p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由</w:t>
      </w:r>
      <w:r>
        <w:rPr>
          <w:rFonts w:hint="eastAsia" w:ascii="仿宋_GB2312" w:hAnsi="仿宋" w:eastAsia="仿宋_GB2312" w:cs="仿宋_GB2312"/>
          <w:sz w:val="32"/>
          <w:szCs w:val="32"/>
          <w:lang w:val="en-US" w:eastAsia="zh-CN"/>
        </w:rPr>
        <w:t>我单位</w:t>
      </w:r>
      <w:r>
        <w:rPr>
          <w:rFonts w:hint="default" w:ascii="仿宋_GB2312" w:hAnsi="仿宋" w:eastAsia="仿宋_GB2312" w:cs="仿宋_GB2312"/>
          <w:sz w:val="32"/>
          <w:szCs w:val="32"/>
        </w:rPr>
        <w:t>主要负责人任组长，分管领导</w:t>
      </w:r>
      <w:r>
        <w:rPr>
          <w:rFonts w:hint="eastAsia" w:ascii="仿宋_GB2312" w:hAnsi="仿宋" w:eastAsia="仿宋_GB2312" w:cs="仿宋_GB2312"/>
          <w:sz w:val="32"/>
          <w:szCs w:val="32"/>
          <w:lang w:eastAsia="zh-CN"/>
        </w:rPr>
        <w:t>任</w:t>
      </w:r>
      <w:r>
        <w:rPr>
          <w:rFonts w:hint="default" w:ascii="仿宋_GB2312" w:hAnsi="仿宋" w:eastAsia="仿宋_GB2312" w:cs="仿宋_GB2312"/>
          <w:sz w:val="32"/>
          <w:szCs w:val="32"/>
        </w:rPr>
        <w:t>副组长，主要职责为统筹部署自评工作，审定自评方案、评价指标与自评报告，协调解决自评过程中的重大问题，监督自评工作全程合规开展，把控自评工作质量与政策方向。</w:t>
      </w:r>
    </w:p>
    <w:p>
      <w:p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2. 自评工作执行小组</w:t>
      </w:r>
    </w:p>
    <w:p>
      <w:pPr>
        <w:spacing w:line="580" w:lineRule="exact"/>
        <w:ind w:firstLine="640" w:firstLineChars="200"/>
        <w:rPr>
          <w:rFonts w:hint="default" w:ascii="仿宋_GB2312" w:hAnsi="仿宋" w:eastAsia="仿宋_GB2312" w:cs="仿宋_GB2312"/>
          <w:sz w:val="32"/>
          <w:szCs w:val="32"/>
        </w:rPr>
      </w:pPr>
      <w:r>
        <w:rPr>
          <w:rFonts w:hint="default" w:ascii="仿宋_GB2312" w:hAnsi="仿宋" w:eastAsia="仿宋_GB2312" w:cs="仿宋_GB2312"/>
          <w:sz w:val="32"/>
          <w:szCs w:val="32"/>
        </w:rPr>
        <w:t>从</w:t>
      </w:r>
      <w:r>
        <w:rPr>
          <w:rFonts w:hint="eastAsia" w:ascii="仿宋_GB2312" w:hAnsi="仿宋" w:eastAsia="仿宋_GB2312" w:cs="仿宋_GB2312"/>
          <w:sz w:val="32"/>
          <w:szCs w:val="32"/>
          <w:lang w:val="en-US" w:eastAsia="zh-CN"/>
        </w:rPr>
        <w:t>我单位</w:t>
      </w:r>
      <w:r>
        <w:rPr>
          <w:rFonts w:hint="default" w:ascii="仿宋_GB2312" w:hAnsi="仿宋" w:eastAsia="仿宋_GB2312" w:cs="仿宋_GB2312"/>
          <w:sz w:val="32"/>
          <w:szCs w:val="32"/>
        </w:rPr>
        <w:t>办公室抽调骨干人员组成，具体承担自评落地工作。财务人员负责资金使用核算、财务资料审核，各岗位分工协作、交叉复核，确保自评工作全面细致。</w:t>
      </w:r>
    </w:p>
    <w:tbl>
      <w:tblPr>
        <w:tblStyle w:val="6"/>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9"/>
        <w:gridCol w:w="1530"/>
        <w:gridCol w:w="1339"/>
        <w:gridCol w:w="1721"/>
        <w:gridCol w:w="396"/>
        <w:gridCol w:w="1264"/>
        <w:gridCol w:w="397"/>
        <w:gridCol w:w="899"/>
        <w:gridCol w:w="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8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w:t>
            </w:r>
          </w:p>
        </w:tc>
        <w:tc>
          <w:tcPr>
            <w:tcW w:w="89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8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红色旅游人才6人，自主招募3人，非遗工坊4人</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13</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人</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13</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一年人均补助</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20000</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元/人</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20000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787"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开展文化工作者</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13</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13</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7"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文化、旅游工作者对工作的完成度</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对非遗、旅游文化的宣传</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787"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支持文旅工作，旅游开发及非遗文化宣传</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时效指标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全年人才培养</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年</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成本指标</w:t>
            </w: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经济成本指标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人才培养人员所需经费</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26</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万元</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26</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解决红色旅游人才及文化非遗人才的就业岗位</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ascii="宋体" w:hAnsi="宋体" w:eastAsia="宋体" w:cs="宋体"/>
                <w:i w:val="0"/>
                <w:iCs w:val="0"/>
                <w:color w:val="000000"/>
                <w:kern w:val="0"/>
                <w:sz w:val="18"/>
                <w:szCs w:val="18"/>
                <w:u w:val="none"/>
                <w:lang w:val="en-US" w:eastAsia="zh-CN" w:bidi="ar"/>
              </w:rPr>
              <w:t>13</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13</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p>
        </w:tc>
        <w:tc>
          <w:tcPr>
            <w:tcW w:w="787"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可持续发展指标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促进红色旅游及非遗文化发展</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8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18"/>
                <w:szCs w:val="18"/>
                <w:u w:val="none"/>
              </w:rPr>
            </w:pPr>
          </w:p>
        </w:tc>
        <w:tc>
          <w:tcPr>
            <w:tcW w:w="89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人才培养使用单位满意</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4714" w:type="pct"/>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r>
    </w:tbl>
    <w:p>
      <w:pPr>
        <w:spacing w:line="580" w:lineRule="exact"/>
        <w:ind w:firstLine="640" w:firstLineChars="200"/>
        <w:rPr>
          <w:rFonts w:hint="eastAsia" w:ascii="仿宋_GB2312" w:hAnsi="仿宋" w:eastAsia="仿宋_GB2312" w:cs="仿宋_GB2312"/>
          <w:sz w:val="32"/>
          <w:szCs w:val="32"/>
        </w:rPr>
      </w:pP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二、评价结论及绩效分析</w:t>
      </w:r>
    </w:p>
    <w:p>
      <w:p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（一）评价结论</w:t>
      </w:r>
    </w:p>
    <w:p>
      <w:pPr>
        <w:spacing w:line="580" w:lineRule="exact"/>
        <w:ind w:firstLine="640" w:firstLineChars="200"/>
        <w:rPr>
          <w:rFonts w:hint="default" w:ascii="Times New Roman" w:hAnsi="Times New Roman" w:eastAsia="黑体" w:cs="Times New Roman"/>
          <w:color w:val="auto"/>
          <w:sz w:val="32"/>
          <w:szCs w:val="32"/>
          <w:highlight w:val="none"/>
          <w:u w:val="none"/>
        </w:rPr>
      </w:pPr>
      <w:r>
        <w:rPr>
          <w:rFonts w:hint="eastAsia" w:ascii="仿宋_GB2312" w:hAnsi="仿宋_GB2312" w:eastAsia="仿宋_GB2312" w:cs="仿宋_GB2312"/>
          <w:b w:val="0"/>
          <w:bCs w:val="0"/>
          <w:kern w:val="0"/>
          <w:position w:val="0"/>
          <w:sz w:val="32"/>
          <w:szCs w:val="32"/>
          <w:highlight w:val="none"/>
          <w:lang w:val="en-US" w:eastAsia="zh-CN" w:bidi="ar-SA"/>
        </w:rPr>
        <w:t>通过汇总、整理、分析黑水县文化广播电视和旅游局公共文化服务体系绩效评价指标体系，绩效目标基本实现，自评得分为100分。</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（二）绩效分析</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1.</w:t>
      </w:r>
      <w:r>
        <w:rPr>
          <w:rFonts w:hint="eastAsia" w:ascii="仿宋_GB2312" w:hAnsi="仿宋" w:eastAsia="仿宋_GB2312" w:cs="仿宋_GB2312"/>
          <w:sz w:val="32"/>
          <w:szCs w:val="32"/>
        </w:rPr>
        <w:t>项目决策</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决策程序：项目设立、调整延续等方面符合资金管理基本规范和决策程序要求。</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规划论证：项目规划论证符合要求，项目绩效目标设置科学合理，项目资金与项目总体规划、相关行业事业发展相匹配，聚焦重大任务、重点领域、重点环节和重点项目。</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资金投向：项目资金与项目总体规划、相关行业事业发展相匹配，聚焦重大任务、重点领域、重点环节和重点项目。体现“集中力量办大事”原则，避免“撒胡椒面”。</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2.</w:t>
      </w:r>
      <w:r>
        <w:rPr>
          <w:rFonts w:hint="eastAsia" w:ascii="仿宋_GB2312" w:hAnsi="仿宋" w:eastAsia="仿宋_GB2312" w:cs="仿宋_GB2312"/>
          <w:sz w:val="32"/>
          <w:szCs w:val="32"/>
        </w:rPr>
        <w:t>项目管理</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制度办法：项目制度办法体系健全、要素完备。资金管理办法等管理制度体系健全完善，不存在管理制度缺失、管理办法过期情况。</w:t>
      </w:r>
    </w:p>
    <w:p>
      <w:pPr>
        <w:spacing w:line="580" w:lineRule="exact"/>
        <w:ind w:firstLine="640"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分配管理：项目资金分配因素选取、权重设置、区域分布，项目管理、审批符合管理要求，管资金、项目、政策管绩效，项目绩效监管按要求开展，对下指导有力有效。</w:t>
      </w:r>
    </w:p>
    <w:p>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绩效监管：明确要求“事前评估”“事中监控”“事后评价”，层层把控，对相关人员进行绩效业务培训，使人人“懂理念、会分析”。并严抓项目决策是否科学的“牛鼻子”，力求项目决策科学。让项目“目标科学、全面”才能“拎得清”，“跟踪及时、严格”才能“管得准”，避免偏离轨道造成的损耗成本、影响质量、效率低下。“花钱必问效，无效必问责”，该局将绩效理念融入预算编制、执行、监督全过程，抓好项目效益是否提升的“落脚点”，发挥绩效评价导向作用，通过奖优惩劣，确保被评价单位把每一笔钱都用在刀刃上、紧要处，力求项目效益提升。</w:t>
      </w:r>
    </w:p>
    <w:p>
      <w:pPr>
        <w:spacing w:line="58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lang w:eastAsia="zh-CN"/>
        </w:rPr>
        <w:t>3.</w:t>
      </w:r>
      <w:r>
        <w:rPr>
          <w:rFonts w:hint="eastAsia" w:ascii="仿宋_GB2312" w:hAnsi="仿宋" w:eastAsia="仿宋_GB2312" w:cs="仿宋_GB2312"/>
          <w:sz w:val="32"/>
          <w:szCs w:val="32"/>
        </w:rPr>
        <w:t>项目绩效</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资金项目内容与具体实施内容相符的、申报目标是合理可行。项目运行成本、管理效率、履职效能、社会效应、可持续发展能力和服务对象满意度等方面均取得良好成果，预算绩效实现全覆盖。截至2025年底完成项目资金拨付。资金项目按照目标任务已于2025年底完成。</w:t>
      </w:r>
    </w:p>
    <w:p>
      <w:pPr>
        <w:numPr>
          <w:ilvl w:val="0"/>
          <w:numId w:val="0"/>
        </w:numPr>
        <w:spacing w:line="580" w:lineRule="exact"/>
        <w:ind w:firstLine="640" w:firstLineChars="200"/>
        <w:rPr>
          <w:rFonts w:hint="default" w:ascii="仿宋_GB2312" w:hAnsi="仿宋" w:eastAsia="仿宋_GB2312" w:cs="仿宋_GB2312"/>
          <w:sz w:val="32"/>
          <w:szCs w:val="32"/>
          <w:lang w:eastAsia="zh-CN"/>
        </w:rPr>
      </w:pPr>
      <w:r>
        <w:rPr>
          <w:rFonts w:hint="eastAsia" w:ascii="仿宋_GB2312" w:hAnsi="仿宋" w:eastAsia="仿宋_GB2312" w:cs="仿宋_GB2312"/>
          <w:sz w:val="32"/>
          <w:szCs w:val="32"/>
          <w:lang w:val="en-US" w:eastAsia="zh-CN"/>
        </w:rPr>
        <w:t>资金分配均衡公平，资金实际支持对象符合管理要求，符合支持对象范围，资金实际补贴标准符合资金管理办法规定的补助标准，及时按标准兑现，资金涉及服务对象满意度不低于90%。我单位在规定时间内做好</w:t>
      </w:r>
      <w:r>
        <w:rPr>
          <w:rFonts w:hint="default" w:ascii="仿宋_GB2312" w:hAnsi="仿宋" w:eastAsia="仿宋_GB2312" w:cs="仿宋_GB2312"/>
          <w:sz w:val="32"/>
          <w:szCs w:val="32"/>
          <w:lang w:val="en-US" w:eastAsia="zh-CN"/>
        </w:rPr>
        <w:t>中央</w:t>
      </w:r>
      <w:r>
        <w:rPr>
          <w:rFonts w:hint="eastAsia" w:ascii="仿宋_GB2312" w:hAnsi="仿宋" w:eastAsia="仿宋_GB2312" w:cs="仿宋_GB2312"/>
          <w:sz w:val="32"/>
          <w:szCs w:val="32"/>
          <w:lang w:val="en-US" w:eastAsia="zh-CN"/>
        </w:rPr>
        <w:t>支持</w:t>
      </w:r>
      <w:r>
        <w:rPr>
          <w:rFonts w:hint="default" w:ascii="仿宋_GB2312" w:hAnsi="仿宋" w:eastAsia="仿宋_GB2312" w:cs="仿宋_GB2312"/>
          <w:sz w:val="32"/>
          <w:szCs w:val="32"/>
          <w:lang w:val="en-US" w:eastAsia="zh-CN"/>
        </w:rPr>
        <w:t>地方公共文化服务体系建设补助资金</w:t>
      </w:r>
      <w:r>
        <w:rPr>
          <w:rFonts w:hint="eastAsia" w:ascii="仿宋_GB2312" w:hAnsi="仿宋" w:eastAsia="仿宋_GB2312" w:cs="仿宋_GB2312"/>
          <w:sz w:val="32"/>
          <w:szCs w:val="32"/>
          <w:lang w:val="en-US" w:eastAsia="zh-CN"/>
        </w:rPr>
        <w:t>的个性化绩效评价指标具有特定的针对性，能够更好地反映公共文化服务工作在其特定业务领域的表现，“三区”人才培养，支持红色旅游、托底性帮扶文旅、非遗工坊等。通过公共文化服务体系建设的实施，进一步提升公共文化服务的力度。推进公共文化服务的发展、提升旅游服务。资金涉及服务对象满意度不低于90%，群众对参与的公共文化服务</w:t>
      </w:r>
      <w:bookmarkStart w:id="0" w:name="_GoBack"/>
      <w:bookmarkEnd w:id="0"/>
      <w:r>
        <w:rPr>
          <w:rFonts w:hint="eastAsia" w:ascii="仿宋_GB2312" w:hAnsi="仿宋" w:eastAsia="仿宋_GB2312" w:cs="仿宋_GB2312"/>
          <w:sz w:val="32"/>
          <w:szCs w:val="32"/>
          <w:lang w:val="en-US" w:eastAsia="zh-CN"/>
        </w:rPr>
        <w:t>体系的满意度不低于90%。</w:t>
      </w:r>
    </w:p>
    <w:p>
      <w:pPr>
        <w:numPr>
          <w:ilvl w:val="0"/>
          <w:numId w:val="0"/>
        </w:num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lang w:val="en-US" w:eastAsia="zh-CN"/>
        </w:rPr>
        <w:t>三、</w:t>
      </w:r>
      <w:r>
        <w:rPr>
          <w:rFonts w:hint="eastAsia" w:ascii="仿宋_GB2312" w:hAnsi="仿宋" w:eastAsia="仿宋_GB2312" w:cs="仿宋_GB2312"/>
          <w:sz w:val="32"/>
          <w:szCs w:val="32"/>
        </w:rPr>
        <w:t>存在主要问题</w:t>
      </w:r>
    </w:p>
    <w:p>
      <w:pPr>
        <w:numPr>
          <w:ilvl w:val="0"/>
          <w:numId w:val="0"/>
        </w:numPr>
        <w:spacing w:line="58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无</w:t>
      </w:r>
    </w:p>
    <w:p>
      <w:pPr>
        <w:spacing w:line="580" w:lineRule="exact"/>
        <w:ind w:firstLine="640" w:firstLineChars="200"/>
        <w:rPr>
          <w:rFonts w:hint="eastAsia" w:ascii="仿宋_GB2312" w:hAnsi="仿宋" w:eastAsia="仿宋_GB2312" w:cs="仿宋_GB2312"/>
          <w:sz w:val="32"/>
          <w:szCs w:val="32"/>
        </w:rPr>
      </w:pPr>
      <w:r>
        <w:rPr>
          <w:rFonts w:hint="eastAsia" w:ascii="仿宋_GB2312" w:hAnsi="仿宋" w:eastAsia="仿宋_GB2312" w:cs="仿宋_GB2312"/>
          <w:sz w:val="32"/>
          <w:szCs w:val="32"/>
        </w:rPr>
        <w:t>四、相关措施建议</w:t>
      </w:r>
    </w:p>
    <w:p>
      <w:pPr>
        <w:rPr>
          <w:rFonts w:hint="default" w:ascii="仿宋_GB2312" w:hAnsi="仿宋" w:eastAsia="仿宋_GB2312" w:cs="仿宋_GB2312"/>
          <w:sz w:val="32"/>
          <w:szCs w:val="32"/>
          <w:lang w:val="en-US" w:eastAsia="zh-CN"/>
        </w:rPr>
      </w:pPr>
      <w:r>
        <w:rPr>
          <w:rFonts w:hint="eastAsia"/>
          <w:lang w:val="en-US" w:eastAsia="zh-CN"/>
        </w:rPr>
        <w:t xml:space="preserve"> </w:t>
      </w:r>
      <w:r>
        <w:rPr>
          <w:rFonts w:hint="eastAsia" w:ascii="仿宋_GB2312" w:hAnsi="仿宋" w:eastAsia="仿宋_GB2312" w:cs="仿宋_GB2312"/>
          <w:sz w:val="32"/>
          <w:szCs w:val="32"/>
          <w:lang w:val="en-US" w:eastAsia="zh-CN"/>
        </w:rPr>
        <w:t xml:space="preserve">   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anumGothic">
    <w:panose1 w:val="020D0604000000000000"/>
    <w:charset w:val="81"/>
    <w:family w:val="auto"/>
    <w:pitch w:val="default"/>
    <w:sig w:usb0="900002A7" w:usb1="29D7FCFB" w:usb2="00000010" w:usb3="00000000" w:csb0="0008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zNmEyOTFjMjZjODc0OGIyZjk3N2Q1Zjc3YWU5MjEifQ=="/>
  </w:docVars>
  <w:rsids>
    <w:rsidRoot w:val="004C22EC"/>
    <w:rsid w:val="004C22EC"/>
    <w:rsid w:val="007B38C6"/>
    <w:rsid w:val="100566B3"/>
    <w:rsid w:val="1B4A3EC4"/>
    <w:rsid w:val="1F2A4412"/>
    <w:rsid w:val="1F887BDD"/>
    <w:rsid w:val="1FC133BE"/>
    <w:rsid w:val="23A94E9B"/>
    <w:rsid w:val="2439349C"/>
    <w:rsid w:val="244E01D1"/>
    <w:rsid w:val="33DA011B"/>
    <w:rsid w:val="35893F23"/>
    <w:rsid w:val="358B1B11"/>
    <w:rsid w:val="35CA353C"/>
    <w:rsid w:val="423607D0"/>
    <w:rsid w:val="4A0B0DD8"/>
    <w:rsid w:val="55704B34"/>
    <w:rsid w:val="57B166CC"/>
    <w:rsid w:val="5DBC40E7"/>
    <w:rsid w:val="75BD203B"/>
    <w:rsid w:val="77991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widowControl/>
      <w:tabs>
        <w:tab w:val="left" w:pos="2160"/>
      </w:tabs>
      <w:spacing w:line="480" w:lineRule="auto"/>
      <w:jc w:val="left"/>
    </w:pPr>
    <w:rPr>
      <w:rFonts w:ascii="楷体_GB2312" w:eastAsia="黑体"/>
      <w:kern w:val="0"/>
      <w:position w:val="3"/>
      <w:sz w:val="20"/>
      <w:szCs w:val="20"/>
      <w:lang w:eastAsia="en-US"/>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character" w:customStyle="1" w:styleId="10">
    <w:name w:val="标题 1 Char"/>
    <w:basedOn w:val="7"/>
    <w:link w:val="2"/>
    <w:qFormat/>
    <w:uiPriority w:val="9"/>
    <w:rPr>
      <w:rFonts w:ascii="Times New Roman" w:hAnsi="Times New Roman" w:eastAsia="宋体" w:cs="Times New Roman"/>
      <w:b/>
      <w:bCs/>
      <w:kern w:val="44"/>
      <w:sz w:val="44"/>
      <w:szCs w:val="44"/>
    </w:rPr>
  </w:style>
  <w:style w:type="paragraph" w:customStyle="1" w:styleId="1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Pages>
  <Words>2176</Words>
  <Characters>2242</Characters>
  <Lines>2</Lines>
  <Paragraphs>1</Paragraphs>
  <TotalTime>1</TotalTime>
  <ScaleCrop>false</ScaleCrop>
  <LinksUpToDate>false</LinksUpToDate>
  <CharactersWithSpaces>2248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2019-08-19T09:06:00Z</dcterms:created>
  <dc:creator>Sky123.Org</dc:creator>
  <cp:lastModifiedBy>user</cp:lastModifiedBy>
  <dcterms:modified xsi:type="dcterms:W3CDTF">2026-09-04T16:05:42Z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6E42BFFCAC3041748F68294D7D80AADD_13</vt:lpwstr>
  </property>
  <property fmtid="{D5CDD505-2E9C-101B-9397-08002B2CF9AE}" pid="4" name="KSOTemplateDocerSaveRecord">
    <vt:lpwstr>eyJoZGlkIjoiODVkMGZhMjA1OTRlNGIxZmM5MTdiNGRlMGZhODg2Y2YiLCJ1c2VySWQiOiI1MTE5NDk0OTQifQ==</vt:lpwstr>
  </property>
</Properties>
</file>