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6AF6F">
      <w:pPr>
        <w:spacing w:line="600" w:lineRule="exact"/>
        <w:jc w:val="center"/>
        <w:outlineLvl w:val="0"/>
        <w:rPr>
          <w:rFonts w:hint="eastAsia" w:ascii="仿宋_GB2312" w:hAnsi="黑体" w:eastAsia="仿宋_GB2312" w:cs="方正小标宋简体"/>
          <w:b/>
          <w:sz w:val="32"/>
          <w:szCs w:val="32"/>
        </w:rPr>
      </w:pPr>
      <w:bookmarkStart w:id="0" w:name="_Toc15396616"/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黑水县文化广播电视和旅游局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部门20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25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年部门</w:t>
      </w:r>
    </w:p>
    <w:p w14:paraId="3F636069">
      <w:pPr>
        <w:spacing w:line="600" w:lineRule="exact"/>
        <w:jc w:val="center"/>
        <w:outlineLvl w:val="0"/>
        <w:rPr>
          <w:rFonts w:ascii="仿宋_GB2312" w:hAnsi="黑体" w:eastAsia="仿宋_GB2312" w:cs="方正小标宋简体"/>
          <w:b/>
          <w:sz w:val="32"/>
          <w:szCs w:val="32"/>
        </w:rPr>
      </w:pPr>
      <w:r>
        <w:rPr>
          <w:rFonts w:hint="eastAsia" w:ascii="仿宋_GB2312" w:hAnsi="黑体" w:eastAsia="仿宋_GB2312" w:cs="方正小标宋简体"/>
          <w:b/>
          <w:sz w:val="32"/>
          <w:szCs w:val="32"/>
        </w:rPr>
        <w:t>整体支出绩效评价报告</w:t>
      </w:r>
      <w:bookmarkEnd w:id="0"/>
    </w:p>
    <w:p w14:paraId="47A8E375">
      <w:pPr>
        <w:spacing w:line="580" w:lineRule="exact"/>
        <w:ind w:firstLine="643" w:firstLineChars="200"/>
        <w:rPr>
          <w:rFonts w:ascii="仿宋_GB2312" w:hAnsi="黑体" w:eastAsia="仿宋_GB2312" w:cs="黑体"/>
          <w:b/>
          <w:sz w:val="32"/>
          <w:szCs w:val="32"/>
        </w:rPr>
      </w:pPr>
    </w:p>
    <w:p w14:paraId="0124D079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一、部门（单位）概况</w:t>
      </w:r>
    </w:p>
    <w:p w14:paraId="76A260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Autospacing="0" w:line="560" w:lineRule="exact"/>
        <w:ind w:firstLine="640" w:firstLineChars="200"/>
        <w:contextualSpacing/>
        <w:jc w:val="both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（一）机构组成。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黑水县文化广播电视和旅游局，取得黑水县委机构编制委员会办公室颁发的统一社会信用代码：5132281876186M，机构地址：四川省阿坝州黑水县长征路100号，法定代表人：黄海斌，机构性质：机关。</w:t>
      </w:r>
    </w:p>
    <w:p w14:paraId="5A6635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（二）机构职能。</w:t>
      </w:r>
      <w:r>
        <w:rPr>
          <w:rFonts w:hint="eastAsia" w:ascii="仿宋_GB2312" w:hAnsi="宋体" w:eastAsia="仿宋_GB2312"/>
          <w:sz w:val="32"/>
          <w:szCs w:val="32"/>
        </w:rPr>
        <w:t>黑水县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文化广播电视和旅游</w:t>
      </w:r>
      <w:r>
        <w:rPr>
          <w:rFonts w:hint="eastAsia" w:ascii="仿宋_GB2312" w:hAnsi="宋体" w:eastAsia="仿宋_GB2312"/>
          <w:sz w:val="32"/>
          <w:szCs w:val="32"/>
        </w:rPr>
        <w:t>局是负责指导和协调全县文化，广播影视，新闻出版基础设施布局规划实施，并对设施的使用管理，指导全县重大文化活动的开展，指导协调全县民间艺术的挖掘，整理工作，负责管理全县文物事业，保护，抢救等工作负责全县文化建设的政府组成部门。根据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县委、县政府</w:t>
      </w:r>
      <w:r>
        <w:rPr>
          <w:rFonts w:hint="eastAsia" w:ascii="仿宋_GB2312" w:hAnsi="宋体" w:eastAsia="仿宋_GB2312"/>
          <w:sz w:val="32"/>
          <w:szCs w:val="32"/>
        </w:rPr>
        <w:t>关于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年全州工作的总体部署，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年的主要工作是：指导和协调全县文化，广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播</w:t>
      </w:r>
      <w:r>
        <w:rPr>
          <w:rFonts w:hint="eastAsia" w:ascii="仿宋_GB2312" w:hAnsi="宋体" w:eastAsia="仿宋_GB2312"/>
          <w:sz w:val="32"/>
          <w:szCs w:val="32"/>
        </w:rPr>
        <w:t>影视，新闻出版产业发展，协调解决相关产业运行中的重大问题。</w:t>
      </w:r>
    </w:p>
    <w:p w14:paraId="092F8089">
      <w:pPr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（三）人员概况。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本单位本年度行政编制8人，实有人数6人、参照公务员管理的事业编制25人，实有人数22人、工勤编制3人，实有人数3人、事业编制46人，实有人数23人，共计82人，年末实有人数为64人。</w:t>
      </w:r>
    </w:p>
    <w:p w14:paraId="3584F626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二、部门财政资金收支情况</w:t>
      </w:r>
    </w:p>
    <w:p w14:paraId="1457FC2B">
      <w:pPr>
        <w:spacing w:line="600" w:lineRule="exact"/>
        <w:ind w:firstLine="640" w:firstLineChars="200"/>
        <w:outlineLvl w:val="1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（一）部门财政资金收入情况。</w:t>
      </w:r>
      <w:r>
        <w:rPr>
          <w:rFonts w:hint="eastAsia" w:ascii="仿宋_GB2312" w:eastAsia="仿宋_GB2312"/>
          <w:sz w:val="32"/>
          <w:szCs w:val="32"/>
        </w:rPr>
        <w:t>本单位本年度总收入为</w:t>
      </w:r>
      <w:r>
        <w:rPr>
          <w:rFonts w:hint="eastAsia" w:ascii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万元。其中：一般公共预算财政拨款收入为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3069.37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68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eastAsia="仿宋_GB2312"/>
          <w:sz w:val="32"/>
          <w:szCs w:val="32"/>
        </w:rPr>
        <w:t>；政府性基金预算财政拨款收入为</w:t>
      </w:r>
      <w:r>
        <w:rPr>
          <w:rFonts w:hint="eastAsia" w:ascii="仿宋_GB2312"/>
          <w:sz w:val="32"/>
          <w:szCs w:val="32"/>
          <w:lang w:val="en-US" w:eastAsia="zh-CN"/>
        </w:rPr>
        <w:t>62.77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占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年初结转和结余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1400.58万元，占31%</w:t>
      </w:r>
      <w:r>
        <w:rPr>
          <w:rFonts w:hint="eastAsia" w:ascii="仿宋_GB2312" w:eastAsia="仿宋_GB2312"/>
          <w:sz w:val="32"/>
          <w:szCs w:val="32"/>
        </w:rPr>
        <w:t>。本单位本年度收入调整预算数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4532.72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4532.72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4532.72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4532.72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76BBF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（二）部门财政资金支出情况。</w:t>
      </w:r>
      <w:r>
        <w:rPr>
          <w:rFonts w:hint="eastAsia" w:ascii="仿宋_GB2312" w:eastAsia="仿宋_GB2312"/>
          <w:sz w:val="32"/>
          <w:szCs w:val="32"/>
        </w:rPr>
        <w:t>本年度总支出为</w:t>
      </w:r>
      <w:r>
        <w:rPr>
          <w:rFonts w:hint="eastAsia" w:ascii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万元。其中：文化旅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游体育与传媒支出为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4145.60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sz w:val="32"/>
          <w:szCs w:val="32"/>
        </w:rPr>
        <w:t>占比</w:t>
      </w:r>
      <w:r>
        <w:rPr>
          <w:rFonts w:hint="eastAsia" w:ascii="仿宋_GB2312"/>
          <w:sz w:val="32"/>
          <w:szCs w:val="32"/>
          <w:lang w:val="en-US" w:eastAsia="zh-CN"/>
        </w:rPr>
        <w:t>93</w:t>
      </w:r>
      <w:r>
        <w:rPr>
          <w:rFonts w:hint="eastAsia"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166.64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卫生健康支出为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67.05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eastAsia="仿宋_GB2312"/>
          <w:sz w:val="32"/>
          <w:szCs w:val="32"/>
        </w:rPr>
        <w:t>住房保障支出为</w:t>
      </w:r>
      <w:r>
        <w:rPr>
          <w:rFonts w:hint="eastAsia" w:ascii="仿宋_GB2312"/>
          <w:sz w:val="32"/>
          <w:szCs w:val="32"/>
          <w:lang w:val="en-US" w:eastAsia="zh-CN"/>
        </w:rPr>
        <w:t>90.65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%；其他支出为</w:t>
      </w:r>
      <w:r>
        <w:rPr>
          <w:rFonts w:hint="eastAsia" w:ascii="仿宋_GB2312"/>
          <w:sz w:val="32"/>
          <w:szCs w:val="32"/>
          <w:lang w:val="en-US" w:eastAsia="zh-CN"/>
        </w:rPr>
        <w:t>62.77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8F14957"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三、部门整体预算绩效管理情况</w:t>
      </w:r>
    </w:p>
    <w:p w14:paraId="11F3F537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（一）部门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预算管理</w:t>
      </w:r>
    </w:p>
    <w:p w14:paraId="532B4A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目标完成：项目从经济、社会、生态、可持续效益以及服务对象满意度等方面科学制定目标任务。截至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2025年年底</w:t>
      </w:r>
      <w:r>
        <w:rPr>
          <w:rFonts w:hint="eastAsia" w:ascii="仿宋_GB2312" w:eastAsia="仿宋_GB2312"/>
          <w:sz w:val="32"/>
          <w:szCs w:val="32"/>
          <w:lang w:val="zh-CN"/>
        </w:rPr>
        <w:t>项目按照目标任务完成数量、质量、时效、成本等计划完成目标。</w:t>
      </w:r>
    </w:p>
    <w:p w14:paraId="0DC3A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实现效果：加快构建全方位、全过程、全覆盖预算绩效管理体系，财政资源配置效率和资金使用效益实现“双提升”。截至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年12月31日，固定资产总计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3139.25</w:t>
      </w:r>
      <w:r>
        <w:rPr>
          <w:rFonts w:hint="eastAsia" w:ascii="仿宋_GB2312" w:eastAsia="仿宋_GB2312"/>
          <w:sz w:val="32"/>
          <w:szCs w:val="32"/>
        </w:rPr>
        <w:t>万元，在用的固定资产总计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3139.25</w:t>
      </w:r>
      <w:r>
        <w:rPr>
          <w:rFonts w:hint="eastAsia" w:ascii="仿宋_GB2312" w:eastAsia="仿宋_GB2312"/>
          <w:sz w:val="32"/>
          <w:szCs w:val="32"/>
        </w:rPr>
        <w:t>万元，固定资产在用率达100%。</w:t>
      </w:r>
    </w:p>
    <w:p w14:paraId="34DFE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</w:rPr>
        <w:t>预算编制质量：本单位本年度收入调整预算数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万元，收入决算数为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万元，预算完成度为100.00%。本年度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完成度为100.00%。</w:t>
      </w:r>
      <w:r>
        <w:rPr>
          <w:rFonts w:hint="eastAsia" w:ascii="仿宋_GB2312" w:eastAsia="仿宋_GB2312"/>
          <w:sz w:val="32"/>
          <w:szCs w:val="32"/>
          <w:lang w:eastAsia="zh-CN"/>
        </w:rPr>
        <w:t>截至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年度我单位资金无结转结余。</w:t>
      </w:r>
    </w:p>
    <w:p w14:paraId="51FF4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单位收入统筹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我单位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涉及三部分收入，分别为三奥雪山旅游景区运营费392.97万元，卡龙景区服务中心门票收入19.12万元，利息收入0.002643万元，按照要求上缴国库。</w:t>
      </w:r>
    </w:p>
    <w:p w14:paraId="47E62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支出执行进度：202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</w:rPr>
        <w:t>年1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—</w:t>
      </w:r>
      <w:r>
        <w:rPr>
          <w:rFonts w:hint="eastAsia" w:ascii="仿宋_GB2312" w:eastAsia="仿宋_GB2312"/>
          <w:sz w:val="32"/>
          <w:szCs w:val="32"/>
          <w:highlight w:val="none"/>
        </w:rPr>
        <w:t>12月预算数据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1790.22</w:t>
      </w:r>
      <w:r>
        <w:rPr>
          <w:rFonts w:hint="eastAsia" w:ascii="仿宋_GB2312" w:eastAsia="仿宋_GB2312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</w:rPr>
        <w:t>，支付数据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4532.72</w:t>
      </w:r>
      <w:r>
        <w:rPr>
          <w:rFonts w:hint="eastAsia" w:ascii="仿宋_GB2312" w:eastAsia="仿宋_GB2312"/>
          <w:sz w:val="32"/>
          <w:szCs w:val="32"/>
        </w:rPr>
        <w:t>万元，支付率100%。</w:t>
      </w:r>
    </w:p>
    <w:p w14:paraId="0FEF54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严控一般性支出：我单位严控“三公”经费、会议、培训、差旅、办节办展、办公设备购置、信息网络及软件购置更新、课题经费等8项一般性支出。</w:t>
      </w:r>
    </w:p>
    <w:p w14:paraId="7B11A050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专项</w:t>
      </w:r>
      <w:r>
        <w:rPr>
          <w:rFonts w:hint="eastAsia" w:ascii="仿宋_GB2312" w:hAnsi="仿宋" w:eastAsia="仿宋_GB2312" w:cs="仿宋_GB2312"/>
          <w:sz w:val="32"/>
          <w:szCs w:val="32"/>
        </w:rPr>
        <w:t>预算管理</w:t>
      </w:r>
    </w:p>
    <w:p w14:paraId="408DF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持续深化文广旅领域专项预算全流程管理，构建“事前评估、事中监控、事后评价”闭环绩效管理体系。在预算编制阶段，紧扣年度文旅重点工作，对文化场馆免费开放、文物修缮保护、非遗传承利用、文旅品牌打造等专项项目开展可行性论证，细化量化绩效指标，提升预算编制精准度。资金执行环节，严格遵守专项资金管理办法，划定支出边界，规范国库集中支付、项目报账及资产入账管理，及时纠偏执行滞后、资金使用不规范等问题。预算完成后全面组织绩效自评，主动接受审计与监督检查，建立评价结果与下一年度预算安排联动机制，压实业务股室和项目实施单位管理责任，筑牢廉政风险防线，推动文旅专项资金从“重投入”向“重效益”转变，以规范高效的资金管理助力文旅事业高质量发展 。</w:t>
      </w:r>
    </w:p>
    <w:p w14:paraId="01AF2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afterAutospacing="0"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</w:rPr>
        <w:t>结果应用</w:t>
      </w:r>
      <w:r>
        <w:rPr>
          <w:rFonts w:hint="eastAsia" w:ascii="仿宋_GB2312" w:hAnsi="仿宋" w:eastAsia="仿宋_GB2312" w:cs="仿宋_GB2312"/>
          <w:sz w:val="32"/>
          <w:szCs w:val="32"/>
        </w:rPr>
        <w:t>情况</w:t>
      </w:r>
    </w:p>
    <w:p w14:paraId="4FEB49CD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我单位于20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年3月在黑水县人民政府信息公开网站上公开了《黑水县文化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广播电视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和旅游局202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年预算编制说明》。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2025年3月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在黑水县人民政府信息公开网站上公开了《黑水县文化广播电视和旅游局202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年预算编制说明》。202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年8月在黑水县人民政府信息公开网站上公开了《202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年度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黑水县文化广播电视和旅游局</w:t>
      </w: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决算编制说明》。</w:t>
      </w:r>
    </w:p>
    <w:p w14:paraId="21CF2D17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四、</w:t>
      </w:r>
      <w:r>
        <w:rPr>
          <w:rFonts w:hint="eastAsia" w:ascii="仿宋_GB2312" w:hAnsi="黑体" w:eastAsia="仿宋_GB2312" w:cs="黑体"/>
          <w:sz w:val="32"/>
          <w:szCs w:val="32"/>
        </w:rPr>
        <w:t>评价结论及建议</w:t>
      </w:r>
    </w:p>
    <w:p w14:paraId="3888BA4F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（一）评价结论。</w:t>
      </w:r>
      <w:r>
        <w:rPr>
          <w:rFonts w:hint="eastAsia" w:ascii="仿宋_GB2312" w:hAnsi="仿宋" w:eastAsia="仿宋_GB2312" w:cs="仿宋_GB2312"/>
          <w:sz w:val="32"/>
          <w:szCs w:val="32"/>
        </w:rPr>
        <w:t>我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" w:eastAsia="仿宋_GB2312" w:cs="仿宋_GB2312"/>
          <w:sz w:val="32"/>
          <w:szCs w:val="32"/>
        </w:rPr>
        <w:t>严格对照评分标准，202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  <w:szCs w:val="32"/>
        </w:rPr>
        <w:t>年度财政</w:t>
      </w:r>
      <w:bookmarkStart w:id="2" w:name="_GoBack"/>
      <w:bookmarkEnd w:id="2"/>
      <w:r>
        <w:rPr>
          <w:rFonts w:hint="eastAsia" w:ascii="仿宋_GB2312" w:hAnsi="仿宋" w:eastAsia="仿宋_GB2312" w:cs="仿宋_GB2312"/>
          <w:sz w:val="32"/>
          <w:szCs w:val="32"/>
        </w:rPr>
        <w:t>部门整体支出绩效评价自评分数为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92.29</w:t>
      </w:r>
      <w:r>
        <w:rPr>
          <w:rFonts w:hint="eastAsia" w:ascii="仿宋_GB2312" w:hAnsi="仿宋" w:eastAsia="仿宋_GB2312" w:cs="仿宋_GB2312"/>
          <w:sz w:val="32"/>
          <w:szCs w:val="32"/>
        </w:rPr>
        <w:t>分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_GB2312"/>
          <w:sz w:val="32"/>
          <w:szCs w:val="32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详见附表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</w:t>
      </w:r>
    </w:p>
    <w:p w14:paraId="404C8019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（二）存在问题。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一是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预算编制不够精确，财政资金紧张，存在中期调整取消资金的情况。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因本部门整体支出预算资金的安排及使用上有不可预见性。</w:t>
      </w:r>
    </w:p>
    <w:p w14:paraId="1A95E442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 w:eastAsia="zh-CN"/>
        </w:rPr>
        <w:t>（三）改进建议</w:t>
      </w:r>
      <w:bookmarkStart w:id="1" w:name="_Hlk110546638"/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。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一是重视绩效管理，切实履行好职责。努力提升工作绩效，围绕财政项目计划安排，合理使用财政资金，让财政监督职责发挥作用。二是建立长效机制。把绩效评价作为部门内控的日常工作，建立绩效评价管理工作考核长效机制。科学设定绩效目标，加强预算执行管理。</w:t>
      </w:r>
      <w:bookmarkEnd w:id="1"/>
    </w:p>
    <w:p w14:paraId="03AF62C7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</w:t>
      </w:r>
    </w:p>
    <w:p w14:paraId="412B151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附表：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1.部门预算绩效自评打分表</w:t>
      </w:r>
    </w:p>
    <w:p w14:paraId="3D979B36">
      <w:pPr>
        <w:spacing w:line="580" w:lineRule="exact"/>
        <w:ind w:firstLine="1600" w:firstLineChars="5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部门整体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支出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绩效目标完成情况自评表</w:t>
      </w:r>
    </w:p>
    <w:p w14:paraId="4AF783A4">
      <w:pPr>
        <w:spacing w:line="580" w:lineRule="exact"/>
        <w:ind w:firstLine="1920" w:firstLineChars="6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6297E36D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 xml:space="preserve">  </w:t>
      </w:r>
    </w:p>
    <w:p w14:paraId="1FB804C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</w:p>
    <w:p w14:paraId="1401D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1</w:t>
      </w:r>
    </w:p>
    <w:p w14:paraId="7925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9"/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部门预算绩效自评打分表</w:t>
      </w:r>
    </w:p>
    <w:tbl>
      <w:tblPr>
        <w:tblStyle w:val="5"/>
        <w:tblW w:w="10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0122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EA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8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2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A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在职人员工资保险履职效果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BE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全县重大文化活动的开展履职效果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4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AD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指导和协调全县文化，广播影视，新闻出版基础设施布局规划实施履职效果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29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负责管理全县文物事业，保护，抢救及三馆免费开放等工作履职效果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85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8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6E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9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F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DD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F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BE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63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2E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E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AA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7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3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F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B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1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32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6C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04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2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1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7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6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0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D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63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505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6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85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28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56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6D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4A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B6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820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16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5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0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85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5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2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0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73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9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B2E6B40">
      <w:pPr>
        <w:pStyle w:val="9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p w14:paraId="1821E675">
      <w:pP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br w:type="page"/>
      </w:r>
    </w:p>
    <w:p w14:paraId="2C8A6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2</w:t>
      </w:r>
    </w:p>
    <w:tbl>
      <w:tblPr>
        <w:tblStyle w:val="5"/>
        <w:tblW w:w="10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47"/>
        <w:gridCol w:w="1273"/>
        <w:gridCol w:w="1100"/>
        <w:gridCol w:w="1144"/>
        <w:gridCol w:w="1290"/>
        <w:gridCol w:w="1058"/>
        <w:gridCol w:w="926"/>
        <w:gridCol w:w="1057"/>
      </w:tblGrid>
      <w:tr w14:paraId="0757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132A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</w:t>
            </w:r>
            <w:r>
              <w:rPr>
                <w:rFonts w:hint="eastAsia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支出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绩效目标完成情况自评表</w:t>
            </w:r>
          </w:p>
        </w:tc>
      </w:tr>
      <w:tr w14:paraId="1958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2121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（202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年度）</w:t>
            </w:r>
          </w:p>
        </w:tc>
      </w:tr>
      <w:tr w14:paraId="02B6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435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4A90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黑水县文化广播电视和旅游局</w:t>
            </w:r>
          </w:p>
        </w:tc>
      </w:tr>
      <w:tr w14:paraId="0F7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61A6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4532.72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4532.72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B61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</w:p>
          <w:p w14:paraId="2663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9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1：不断完善公共服务体系建设</w:t>
            </w:r>
          </w:p>
          <w:p w14:paraId="53D4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2：持续推进旅游向好发展</w:t>
            </w:r>
          </w:p>
          <w:p w14:paraId="21C0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3：不断加强文旅市场监管</w:t>
            </w:r>
          </w:p>
          <w:p w14:paraId="3E2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4：做好文物遗产保护工作</w:t>
            </w:r>
          </w:p>
          <w:p w14:paraId="47F7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F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</w:p>
          <w:p w14:paraId="3EC3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7E3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基本支出：在职人员工资保险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在职人员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人工资、保险</w:t>
            </w:r>
          </w:p>
        </w:tc>
      </w:tr>
      <w:tr w14:paraId="0D7A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：两馆及文化站免费开放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馆及15个文化站定时免费开放个及管理维护共计完成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118.68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万元支付</w:t>
            </w:r>
          </w:p>
        </w:tc>
      </w:tr>
      <w:tr w14:paraId="67B7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1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基本支出：定额经费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年定额公用经费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129.67万元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，其中行政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82.16万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元，事业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47.51万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元。车运行维护费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21.27万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办公费43.37万元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;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手续费0.09万元；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水费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0.5万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元；电费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邮电费6.89万元；差旅费42.63万元；福利费0.3万元，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培训费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3.61万</w:t>
            </w:r>
            <w:r>
              <w:rPr>
                <w:rFonts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  <w:r>
              <w:rPr>
                <w:rFonts w:hint="eastAsia" w:asci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 w14:paraId="7557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0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公共文化服务活动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参加各级各类文化赛事系列活动及开展文化活动；开展文化线上、线下宣传推广展示展演；开展文物及非物质文化遗产保护等；文化馆（站））提升相关工作等，</w:t>
            </w:r>
            <w:r>
              <w:rPr>
                <w:rFonts w:hint="default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zh-CN" w:eastAsia="zh-CN"/>
              </w:rPr>
              <w:t>公共文化服务活动共计</w:t>
            </w:r>
            <w:r>
              <w:rPr>
                <w:rFonts w:hint="eastAsia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155.84</w:t>
            </w:r>
            <w:r>
              <w:rPr>
                <w:rFonts w:hint="default" w:ascii="宋体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zh-CN" w:eastAsia="zh-CN"/>
              </w:rPr>
              <w:t>万元</w:t>
            </w:r>
          </w:p>
        </w:tc>
      </w:tr>
      <w:tr w14:paraId="42B5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0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</w:p>
          <w:p w14:paraId="458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  <w:p w14:paraId="5232A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4E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</w:p>
          <w:p w14:paraId="1B18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25F64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7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发放职工工资保险人数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2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06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 w14:paraId="5411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8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A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完成送戏下乡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99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4A97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免费开放相关场馆及文化站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C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F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</w:tr>
      <w:tr w14:paraId="7644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3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非遗、三区人才旅游人才培养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8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9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</w:tr>
      <w:tr w14:paraId="1EAE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3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按时完成在职职工的工资保险支付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7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24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484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C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送戏下乡活动开展率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9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6859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0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6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公共文化活动开展完成率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2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  <w:tr w14:paraId="7D15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3D12E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8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9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9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A34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  <w:p w14:paraId="0A7E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工资保险完成时间及项目完成时间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1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9DA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C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8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1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43C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4175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  <w:p w14:paraId="372B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63DEE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7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6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8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6A06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A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完善了公共服务体系建设</w:t>
            </w:r>
          </w:p>
          <w:p w14:paraId="2F80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9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6D1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D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提升文物遗产保护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0212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408A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0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惠及职工及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公共文化服务对象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9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</w:tbl>
    <w:p w14:paraId="3A28FD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center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ThkOGJjMjEzYTQzZGVhZDAyNzhhZGRiODMyZTgifQ=="/>
  </w:docVars>
  <w:rsids>
    <w:rsidRoot w:val="00491B22"/>
    <w:rsid w:val="00291808"/>
    <w:rsid w:val="00491B22"/>
    <w:rsid w:val="0052390C"/>
    <w:rsid w:val="1E487CF3"/>
    <w:rsid w:val="277B6FB6"/>
    <w:rsid w:val="34EB1F43"/>
    <w:rsid w:val="36435EC2"/>
    <w:rsid w:val="36B33242"/>
    <w:rsid w:val="3C330563"/>
    <w:rsid w:val="414E0369"/>
    <w:rsid w:val="43EB7E23"/>
    <w:rsid w:val="45372834"/>
    <w:rsid w:val="48F5607F"/>
    <w:rsid w:val="4DD97D2F"/>
    <w:rsid w:val="57262EB5"/>
    <w:rsid w:val="60D032A5"/>
    <w:rsid w:val="651662EB"/>
    <w:rsid w:val="6880349D"/>
    <w:rsid w:val="6AA77A2C"/>
    <w:rsid w:val="7079109E"/>
    <w:rsid w:val="759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3576</Words>
  <Characters>3951</Characters>
  <Lines>2</Lines>
  <Paragraphs>1</Paragraphs>
  <TotalTime>2</TotalTime>
  <ScaleCrop>false</ScaleCrop>
  <LinksUpToDate>false</LinksUpToDate>
  <CharactersWithSpaces>3958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WPS_1604458475</cp:lastModifiedBy>
  <dcterms:modified xsi:type="dcterms:W3CDTF">2026-09-01T08:21:02Z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976E806EFDC14D87A2D986E2468BADD3_13</vt:lpwstr>
  </property>
  <property fmtid="{D5CDD505-2E9C-101B-9397-08002B2CF9AE}" pid="4" name="KSOTemplateDocerSaveRecord">
    <vt:lpwstr>eyJoZGlkIjoiYmMxZWViYzY2OTBkMWNmMDZlNjI2NmUwYzQyZTk2ZTMiLCJ1c2VySWQiOiIxMTM5OTQ5NTAyIn0=</vt:lpwstr>
  </property>
</Properties>
</file>