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val="0"/>
        <w:kinsoku/>
        <w:wordWrap/>
        <w:overflowPunct/>
        <w:topLinePunct w:val="0"/>
        <w:autoSpaceDE/>
        <w:autoSpaceDN/>
        <w:bidi w:val="0"/>
        <w:spacing w:line="578" w:lineRule="exact"/>
        <w:ind w:left="0" w:leftChars="0"/>
        <w:jc w:val="center"/>
        <w:textAlignment w:val="auto"/>
        <w:rPr>
          <w:rFonts w:ascii="仿宋_GB2312" w:hAnsi="黑体" w:eastAsia="仿宋_GB2312" w:cs="方正小标宋简体"/>
          <w:b/>
          <w:sz w:val="32"/>
          <w:szCs w:val="32"/>
        </w:rPr>
      </w:pPr>
      <w:r>
        <w:rPr>
          <w:rFonts w:hint="eastAsia" w:ascii="仿宋_GB2312" w:hAnsi="黑体" w:eastAsia="仿宋_GB2312" w:cs="方正小标宋简体"/>
          <w:b/>
          <w:sz w:val="32"/>
          <w:szCs w:val="32"/>
        </w:rPr>
        <w:t>20</w:t>
      </w:r>
      <w:r>
        <w:rPr>
          <w:rFonts w:hint="eastAsia" w:ascii="仿宋_GB2312" w:hAnsi="黑体" w:eastAsia="仿宋_GB2312" w:cs="方正小标宋简体"/>
          <w:b/>
          <w:sz w:val="32"/>
          <w:szCs w:val="32"/>
          <w:lang w:val="en-US" w:eastAsia="zh-CN"/>
        </w:rPr>
        <w:t>25</w:t>
      </w:r>
      <w:r>
        <w:rPr>
          <w:rFonts w:hint="eastAsia" w:ascii="仿宋_GB2312" w:hAnsi="黑体" w:eastAsia="仿宋_GB2312" w:cs="方正小标宋简体"/>
          <w:b/>
          <w:sz w:val="32"/>
          <w:szCs w:val="32"/>
        </w:rPr>
        <w:t>年</w:t>
      </w:r>
      <w:r>
        <w:rPr>
          <w:rFonts w:hint="default" w:ascii="仿宋_GB2312" w:hAnsi="黑体" w:eastAsia="仿宋_GB2312" w:cs="方正小标宋简体"/>
          <w:b/>
          <w:color w:val="auto"/>
          <w:kern w:val="2"/>
          <w:sz w:val="32"/>
          <w:szCs w:val="32"/>
          <w:lang w:val="en-US" w:eastAsia="zh-CN" w:bidi="ar-SA"/>
        </w:rPr>
        <w:t>中央</w:t>
      </w:r>
      <w:r>
        <w:rPr>
          <w:rFonts w:hint="eastAsia" w:ascii="仿宋_GB2312" w:hAnsi="黑体" w:eastAsia="仿宋_GB2312" w:cs="方正小标宋简体"/>
          <w:b/>
          <w:color w:val="auto"/>
          <w:kern w:val="2"/>
          <w:sz w:val="32"/>
          <w:szCs w:val="32"/>
          <w:lang w:val="en-US" w:eastAsia="zh-CN" w:bidi="ar-SA"/>
        </w:rPr>
        <w:t>支出</w:t>
      </w:r>
      <w:r>
        <w:rPr>
          <w:rFonts w:hint="default" w:ascii="仿宋_GB2312" w:hAnsi="黑体" w:eastAsia="仿宋_GB2312" w:cs="方正小标宋简体"/>
          <w:b/>
          <w:color w:val="auto"/>
          <w:kern w:val="2"/>
          <w:sz w:val="32"/>
          <w:szCs w:val="32"/>
          <w:lang w:val="en-US" w:eastAsia="zh-CN" w:bidi="ar-SA"/>
        </w:rPr>
        <w:t>地方公共文化服务体系建设补助资金专项</w:t>
      </w:r>
      <w:r>
        <w:rPr>
          <w:rFonts w:hint="eastAsia" w:ascii="仿宋_GB2312" w:hAnsi="黑体" w:eastAsia="仿宋_GB2312" w:cs="方正小标宋简体"/>
          <w:b/>
          <w:sz w:val="32"/>
          <w:szCs w:val="32"/>
        </w:rPr>
        <w:t>项目支出绩效评价报告</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一、评价工作开展及项目情况</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zh-CN"/>
        </w:rPr>
      </w:pPr>
      <w:r>
        <w:rPr>
          <w:rFonts w:hint="default" w:ascii="仿宋_GB2312" w:hAnsi="仿宋" w:eastAsia="仿宋_GB2312" w:cs="仿宋_GB2312"/>
          <w:sz w:val="32"/>
          <w:szCs w:val="32"/>
          <w:lang w:val="zh-CN"/>
        </w:rPr>
        <w:t>（一）评价目的</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通过绩效评价，及时发现</w:t>
      </w:r>
      <w:r>
        <w:rPr>
          <w:rFonts w:hint="eastAsia" w:ascii="仿宋_GB2312" w:hAnsi="仿宋" w:eastAsia="仿宋_GB2312" w:cs="仿宋_GB2312"/>
          <w:sz w:val="32"/>
          <w:szCs w:val="32"/>
          <w:lang w:eastAsia="zh-CN"/>
        </w:rPr>
        <w:t>项目实施及经费使用中</w:t>
      </w:r>
      <w:r>
        <w:rPr>
          <w:rFonts w:hint="eastAsia" w:ascii="仿宋_GB2312" w:hAnsi="仿宋" w:eastAsia="仿宋_GB2312" w:cs="仿宋_GB2312"/>
          <w:sz w:val="32"/>
          <w:szCs w:val="32"/>
        </w:rPr>
        <w:t>存在的薄弱环节，总结推广好的经验和做法，进一步规范项目管理。</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lang w:val="zh-CN"/>
        </w:rPr>
      </w:pPr>
      <w:r>
        <w:rPr>
          <w:rFonts w:hint="default" w:ascii="仿宋_GB2312" w:hAnsi="仿宋" w:eastAsia="仿宋_GB2312" w:cs="仿宋_GB2312"/>
          <w:sz w:val="32"/>
          <w:szCs w:val="32"/>
          <w:lang w:val="zh-CN"/>
        </w:rPr>
        <w:t>（二）预设问题及评价重点</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1.长效机制建立情况。项目实施单位建立项目实施管理制度等。</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2.项目实施程序严密性。建设项目的招投标资料完整、真实，无弄虚作假套取财政资金等问题。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3.资金拨付和使用的合规性。严格按照国库集中支付规定办理资金拨付手续；按时拨付，未造成滞留资金积压；资金专款专用，未随意变更项目内容及地点；遵守</w:t>
      </w:r>
      <w:r>
        <w:rPr>
          <w:rFonts w:hint="eastAsia" w:ascii="仿宋_GB2312" w:hAnsi="仿宋" w:eastAsia="仿宋_GB2312" w:cs="仿宋_GB2312"/>
          <w:sz w:val="32"/>
          <w:szCs w:val="32"/>
          <w:lang w:val="en-US" w:eastAsia="zh-CN"/>
        </w:rPr>
        <w:t>法律法规</w:t>
      </w:r>
      <w:r>
        <w:rPr>
          <w:rFonts w:hint="eastAsia" w:ascii="仿宋_GB2312" w:hAnsi="仿宋" w:eastAsia="仿宋_GB2312" w:cs="仿宋_GB2312"/>
          <w:sz w:val="32"/>
          <w:szCs w:val="32"/>
          <w:lang w:val="zh-CN"/>
        </w:rPr>
        <w:t>规定；无</w:t>
      </w:r>
      <w:r>
        <w:rPr>
          <w:rFonts w:hint="eastAsia" w:ascii="仿宋_GB2312" w:hAnsi="仿宋" w:eastAsia="仿宋_GB2312" w:cs="仿宋_GB2312"/>
          <w:sz w:val="32"/>
          <w:szCs w:val="32"/>
          <w:lang w:val="en-US" w:eastAsia="zh-CN"/>
        </w:rPr>
        <w:t>挤占</w:t>
      </w:r>
      <w:r>
        <w:rPr>
          <w:rFonts w:hint="eastAsia" w:ascii="仿宋_GB2312" w:hAnsi="仿宋" w:eastAsia="仿宋_GB2312" w:cs="仿宋_GB2312"/>
          <w:sz w:val="32"/>
          <w:szCs w:val="32"/>
          <w:lang w:val="zh-CN"/>
        </w:rPr>
        <w:t>、挪用、截留等违纪违规等问题。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4.信息的公开透明度。项目资金管理单位的公开公示情况。</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5.财务管理和会计核算规范性。财务核算符合《中华人民共和国会计法》《会计基础工作规范》等要求、符合基本建设财务管理和会计制度规定。</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lang w:eastAsia="zh-CN"/>
        </w:rPr>
      </w:pPr>
      <w:r>
        <w:rPr>
          <w:rFonts w:hint="eastAsia" w:ascii="仿宋_GB2312" w:hAnsi="仿宋" w:eastAsia="仿宋_GB2312" w:cs="仿宋_GB2312"/>
          <w:sz w:val="32"/>
          <w:szCs w:val="32"/>
          <w:lang w:val="zh-CN"/>
        </w:rPr>
        <w:t>6.项目实施单位绩效自评情况。项目实施单位是否严格按照预算绩效管理规定开展绩效自评。</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lang w:val="zh-CN"/>
        </w:rPr>
      </w:pPr>
      <w:r>
        <w:rPr>
          <w:rFonts w:hint="default" w:ascii="仿宋_GB2312" w:hAnsi="仿宋" w:eastAsia="仿宋_GB2312" w:cs="仿宋_GB2312"/>
          <w:sz w:val="32"/>
          <w:szCs w:val="32"/>
          <w:lang w:val="zh-CN"/>
        </w:rPr>
        <w:t>（三）评价选点</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val="zh-CN" w:eastAsia="zh-CN"/>
        </w:rPr>
        <w:t>黑水县文化广播电视和旅游局，黑水县芦花镇长征路</w:t>
      </w:r>
      <w:r>
        <w:rPr>
          <w:rFonts w:hint="eastAsia" w:ascii="仿宋_GB2312" w:hAnsi="仿宋" w:eastAsia="仿宋_GB2312" w:cs="仿宋_GB2312"/>
          <w:sz w:val="32"/>
          <w:szCs w:val="32"/>
          <w:lang w:val="en-US" w:eastAsia="zh-CN"/>
        </w:rPr>
        <w:t>100号。</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lang w:val="zh-CN"/>
        </w:rPr>
      </w:pPr>
      <w:r>
        <w:rPr>
          <w:rFonts w:hint="default" w:ascii="仿宋_GB2312" w:hAnsi="仿宋" w:eastAsia="仿宋_GB2312" w:cs="仿宋_GB2312"/>
          <w:sz w:val="32"/>
          <w:szCs w:val="32"/>
          <w:lang w:val="zh-CN"/>
        </w:rPr>
        <w:t>（四）评价方法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1. 文献研究法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 xml:space="preserve"> 做法：系统梳理国家及地方关于公共文化服务体系建设的政策文件、国家标准、行业规范以及年度工作计划。</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目的：确立评价的政策依据和技术标准，确保评价指标体系的科学性和合规性。</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2. 指标对比法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做法：将实际完成情况与绩效目标指标（服务人次、经费保障水平等）进行定量对比。</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目的：直观衡量目标达成度，通过数据量化分析，评估体系建设的成效与不足。</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3. 实地考察法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做法：对各级公共文化设施（图书馆、文化馆、乡镇综合文化站、村/社区文化服务中心等）进行现场走访。</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内容：检查设施开放运行状态、设备完好情况、环境氛围及日常管理规范度。</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目的：获取一线真实情况，验证台账数据的真实性，发现硬件与软件建设的实际问题。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4. 问卷调查与访谈法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做法：面向服务对象、基层工作人员及管理部门开展抽样问卷调查，并进行深度访谈。</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内容：收集公众对公共文化服务的满意度、知晓度、需求偏好以及工作人员的工作体验。</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目的：弥补定量数据不足，获取服务质量的主观感受与深层次反馈，提升评价的群众参与度。</w:t>
      </w:r>
    </w:p>
    <w:p>
      <w:pPr>
        <w:keepNext w:val="0"/>
        <w:keepLines w:val="0"/>
        <w:pageBreakBefore w:val="0"/>
        <w:widowControl w:val="0"/>
        <w:numPr>
          <w:ilvl w:val="0"/>
          <w:numId w:val="0"/>
        </w:numPr>
        <w:kinsoku/>
        <w:wordWrap/>
        <w:overflowPunct/>
        <w:topLinePunct w:val="0"/>
        <w:autoSpaceDE/>
        <w:autoSpaceDN/>
        <w:bidi w:val="0"/>
        <w:spacing w:line="578" w:lineRule="exact"/>
        <w:ind w:firstLine="640" w:firstLineChars="200"/>
        <w:textAlignment w:val="auto"/>
        <w:outlineLvl w:val="9"/>
        <w:rPr>
          <w:rFonts w:hint="default" w:ascii="仿宋_GB2312" w:hAnsi="仿宋" w:eastAsia="仿宋_GB2312" w:cs="仿宋_GB2312"/>
          <w:sz w:val="32"/>
          <w:szCs w:val="32"/>
          <w:lang w:val="zh-CN"/>
        </w:rPr>
      </w:pPr>
      <w:r>
        <w:rPr>
          <w:rFonts w:hint="eastAsia" w:ascii="仿宋_GB2312" w:hAnsi="仿宋" w:eastAsia="仿宋_GB2312" w:cs="仿宋_GB2312"/>
          <w:sz w:val="32"/>
          <w:szCs w:val="32"/>
          <w:lang w:val="zh-CN"/>
        </w:rPr>
        <w:t>（</w:t>
      </w:r>
      <w:r>
        <w:rPr>
          <w:rFonts w:hint="eastAsia" w:ascii="仿宋_GB2312" w:hAnsi="仿宋" w:eastAsia="仿宋_GB2312" w:cs="仿宋_GB2312"/>
          <w:sz w:val="32"/>
          <w:szCs w:val="32"/>
          <w:lang w:val="en-US" w:eastAsia="zh-CN"/>
        </w:rPr>
        <w:t>五</w:t>
      </w:r>
      <w:r>
        <w:rPr>
          <w:rFonts w:hint="eastAsia" w:ascii="仿宋_GB2312" w:hAnsi="仿宋" w:eastAsia="仿宋_GB2312" w:cs="仿宋_GB2312"/>
          <w:sz w:val="32"/>
          <w:szCs w:val="32"/>
          <w:lang w:val="zh-CN"/>
        </w:rPr>
        <w:t>）</w:t>
      </w:r>
      <w:r>
        <w:rPr>
          <w:rFonts w:hint="default" w:ascii="仿宋_GB2312" w:hAnsi="仿宋" w:eastAsia="仿宋_GB2312" w:cs="仿宋_GB2312"/>
          <w:sz w:val="32"/>
          <w:szCs w:val="32"/>
          <w:lang w:val="zh-CN"/>
        </w:rPr>
        <w:t>评价组织</w:t>
      </w:r>
    </w:p>
    <w:p>
      <w:pPr>
        <w:keepNext w:val="0"/>
        <w:keepLines w:val="0"/>
        <w:pageBreakBefore w:val="0"/>
        <w:widowControl w:val="0"/>
        <w:numPr>
          <w:ilvl w:val="0"/>
          <w:numId w:val="0"/>
        </w:numPr>
        <w:kinsoku/>
        <w:wordWrap/>
        <w:overflowPunct/>
        <w:topLinePunct w:val="0"/>
        <w:autoSpaceDE/>
        <w:autoSpaceDN/>
        <w:bidi w:val="0"/>
        <w:spacing w:line="578" w:lineRule="exact"/>
        <w:ind w:firstLine="640" w:firstLineChars="200"/>
        <w:textAlignment w:val="auto"/>
        <w:outlineLvl w:val="9"/>
        <w:rPr>
          <w:rFonts w:hint="default" w:ascii="仿宋_GB2312" w:hAnsi="仿宋" w:eastAsia="仿宋_GB2312" w:cs="仿宋_GB2312"/>
          <w:sz w:val="32"/>
          <w:szCs w:val="32"/>
        </w:rPr>
      </w:pPr>
      <w:r>
        <w:rPr>
          <w:rFonts w:hint="default" w:ascii="仿宋_GB2312" w:hAnsi="仿宋" w:eastAsia="仿宋_GB2312" w:cs="仿宋_GB2312"/>
          <w:sz w:val="32"/>
          <w:szCs w:val="32"/>
        </w:rPr>
        <w:t>为保障评价工作的有序开展和结果的公正权威，需明确建立层级分明、职责清晰的评价组织体系。</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rPr>
      </w:pPr>
      <w:r>
        <w:rPr>
          <w:rFonts w:hint="default" w:ascii="仿宋_GB2312" w:hAnsi="仿宋" w:eastAsia="仿宋_GB2312" w:cs="仿宋_GB2312"/>
          <w:sz w:val="32"/>
          <w:szCs w:val="32"/>
        </w:rPr>
        <w:t xml:space="preserve"> 1. 领导小组</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rPr>
      </w:pPr>
      <w:r>
        <w:rPr>
          <w:rFonts w:hint="default" w:ascii="仿宋_GB2312" w:hAnsi="仿宋" w:eastAsia="仿宋_GB2312" w:cs="仿宋_GB2312"/>
          <w:sz w:val="32"/>
          <w:szCs w:val="32"/>
        </w:rPr>
        <w:t>构成：由单位主要领导担任组长，相关分管领导任副组长，各</w:t>
      </w:r>
      <w:r>
        <w:rPr>
          <w:rFonts w:hint="eastAsia" w:ascii="仿宋_GB2312" w:hAnsi="仿宋" w:eastAsia="仿宋_GB2312" w:cs="仿宋_GB2312"/>
          <w:sz w:val="32"/>
          <w:szCs w:val="32"/>
          <w:lang w:eastAsia="zh-CN"/>
        </w:rPr>
        <w:t>经办股室</w:t>
      </w:r>
      <w:r>
        <w:rPr>
          <w:rFonts w:hint="default" w:ascii="仿宋_GB2312" w:hAnsi="仿宋" w:eastAsia="仿宋_GB2312" w:cs="仿宋_GB2312"/>
          <w:sz w:val="32"/>
          <w:szCs w:val="32"/>
        </w:rPr>
        <w:t>负责人为成员。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rPr>
      </w:pPr>
      <w:r>
        <w:rPr>
          <w:rFonts w:hint="default" w:ascii="仿宋_GB2312" w:hAnsi="仿宋" w:eastAsia="仿宋_GB2312" w:cs="仿宋_GB2312"/>
          <w:sz w:val="32"/>
          <w:szCs w:val="32"/>
        </w:rPr>
        <w:t>职责：审定评价工作方案；统筹协调跨部门评价事项；审议评价结果及整改建议；对重大评价问题进行决策。</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rPr>
      </w:pPr>
      <w:r>
        <w:rPr>
          <w:rFonts w:hint="default" w:ascii="仿宋_GB2312" w:hAnsi="仿宋" w:eastAsia="仿宋_GB2312" w:cs="仿宋_GB2312"/>
          <w:sz w:val="32"/>
          <w:szCs w:val="32"/>
        </w:rPr>
        <w:t>2. 工作实施小组</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rPr>
      </w:pPr>
      <w:r>
        <w:rPr>
          <w:rFonts w:hint="default" w:ascii="仿宋_GB2312" w:hAnsi="仿宋" w:eastAsia="仿宋_GB2312" w:cs="仿宋_GB2312"/>
          <w:sz w:val="32"/>
          <w:szCs w:val="32"/>
        </w:rPr>
        <w:t>构成：以绩效评价管理部门或业务主管部门为核心，抽调各相关科室业务骨干组成。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仿宋_GB2312" w:hAnsi="仿宋" w:eastAsia="仿宋_GB2312" w:cs="仿宋_GB2312"/>
          <w:sz w:val="32"/>
          <w:szCs w:val="32"/>
          <w:lang w:eastAsia="zh-CN"/>
        </w:rPr>
      </w:pPr>
      <w:r>
        <w:rPr>
          <w:rFonts w:hint="default" w:ascii="仿宋_GB2312" w:hAnsi="仿宋" w:eastAsia="仿宋_GB2312" w:cs="仿宋_GB2312"/>
          <w:sz w:val="32"/>
          <w:szCs w:val="32"/>
        </w:rPr>
        <w:t>职责：具体制定评价实施方案与指标细则；组织实施上述各项评价方法（如发放问卷、实地考察）；汇总整理各类数据与资料；撰写初步的自评报告。</w:t>
      </w:r>
    </w:p>
    <w:tbl>
      <w:tblPr>
        <w:tblStyle w:val="5"/>
        <w:tblW w:w="543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3"/>
        <w:gridCol w:w="1516"/>
        <w:gridCol w:w="1331"/>
        <w:gridCol w:w="1721"/>
        <w:gridCol w:w="396"/>
        <w:gridCol w:w="1265"/>
        <w:gridCol w:w="396"/>
        <w:gridCol w:w="938"/>
        <w:gridCol w:w="12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8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6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50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6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5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w:t>
            </w:r>
          </w:p>
        </w:tc>
        <w:tc>
          <w:tcPr>
            <w:tcW w:w="8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0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6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18"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参加比赛人次</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1000</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人次</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1000</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9"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18"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非遗文化活动场次</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3</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场</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3</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p>
        </w:tc>
        <w:tc>
          <w:tcPr>
            <w:tcW w:w="718"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开展2025年系列活动</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1</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8" w:type="pct"/>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购买设施设备</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10</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10</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8"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文化非遗及广播电视完成率</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8"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文物\非物质文化一次宣传群众覆盖率</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85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85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18"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完成文化馆数字文化建设及达标建设</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100</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right w:val="single" w:color="000000" w:sz="4" w:space="0"/>
            </w:tcBorders>
            <w:noWrap w:val="0"/>
            <w:vAlign w:val="center"/>
          </w:tcPr>
          <w:p>
            <w:pPr>
              <w:jc w:val="center"/>
              <w:rPr>
                <w:rFonts w:ascii="宋体" w:hAnsi="宋体" w:eastAsia="宋体" w:cs="宋体"/>
                <w:i w:val="0"/>
                <w:iCs w:val="0"/>
                <w:color w:val="000000"/>
                <w:kern w:val="0"/>
                <w:sz w:val="18"/>
                <w:szCs w:val="18"/>
                <w:u w:val="none"/>
                <w:lang w:val="en-US" w:eastAsia="zh-CN" w:bidi="ar"/>
              </w:rPr>
            </w:pPr>
          </w:p>
        </w:tc>
        <w:tc>
          <w:tcPr>
            <w:tcW w:w="718"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时效指标</w:t>
            </w: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项目完成时间</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2025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年</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2025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18"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资金支付完成时间</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2025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年</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2025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13"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效益指标</w:t>
            </w:r>
          </w:p>
        </w:tc>
        <w:tc>
          <w:tcPr>
            <w:tcW w:w="718"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社会效益指标</w:t>
            </w: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丰富基层文化活动</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普及黑水本土文化及非遗</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18"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对全民健身运动的促进程度</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18"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项目申报预算范围内</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155.84</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104.74</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50"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群众满意度</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95</w:t>
            </w:r>
          </w:p>
        </w:tc>
        <w:tc>
          <w:tcPr>
            <w:tcW w:w="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95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6" w:hRule="atLeast"/>
        </w:trPr>
        <w:tc>
          <w:tcPr>
            <w:tcW w:w="4328" w:type="pct"/>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6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r>
    </w:tbl>
    <w:p>
      <w:pPr>
        <w:spacing w:line="580" w:lineRule="exact"/>
        <w:ind w:firstLine="640" w:firstLineChars="200"/>
        <w:rPr>
          <w:rFonts w:ascii="仿宋_GB2312" w:hAnsi="仿宋" w:eastAsia="仿宋_GB2312" w:cs="仿宋_GB2312"/>
          <w:sz w:val="32"/>
          <w:szCs w:val="32"/>
        </w:rPr>
      </w:pP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二、评价结论及绩效分析</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（一）评价结论</w:t>
      </w:r>
    </w:p>
    <w:p>
      <w:pPr>
        <w:spacing w:line="580" w:lineRule="exact"/>
        <w:ind w:firstLine="640" w:firstLineChars="200"/>
        <w:rPr>
          <w:rFonts w:ascii="仿宋_GB2312" w:hAnsi="仿宋" w:eastAsia="仿宋_GB2312" w:cs="仿宋_GB2312"/>
          <w:sz w:val="32"/>
          <w:szCs w:val="32"/>
        </w:rPr>
      </w:pPr>
      <w:r>
        <w:rPr>
          <w:rFonts w:hint="eastAsia" w:ascii="仿宋_GB2312" w:hAnsi="仿宋_GB2312" w:eastAsia="仿宋_GB2312" w:cs="仿宋_GB2312"/>
          <w:b w:val="0"/>
          <w:bCs w:val="0"/>
          <w:kern w:val="0"/>
          <w:position w:val="0"/>
          <w:sz w:val="32"/>
          <w:szCs w:val="32"/>
          <w:highlight w:val="none"/>
          <w:lang w:val="en-US" w:eastAsia="zh-CN" w:bidi="ar-SA"/>
        </w:rPr>
        <w:t>通过汇总、整理、分析黑水县文化广播电视和旅游局公共文化服务体系绩效评价指标体系，绩效目标基本实现，自评得分为100分。</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（二）绩效分析</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eastAsia="zh-CN"/>
        </w:rPr>
        <w:t>1.</w:t>
      </w:r>
      <w:r>
        <w:rPr>
          <w:rFonts w:hint="eastAsia" w:ascii="仿宋_GB2312" w:hAnsi="仿宋" w:eastAsia="仿宋_GB2312" w:cs="仿宋_GB2312"/>
          <w:sz w:val="32"/>
          <w:szCs w:val="32"/>
        </w:rPr>
        <w:t>项目决策</w:t>
      </w:r>
    </w:p>
    <w:p>
      <w:pPr>
        <w:spacing w:line="580" w:lineRule="exact"/>
        <w:ind w:firstLine="640" w:firstLineChars="200"/>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决策程序：项目设立、调整延续等方面符合资金管理基本规范和决策程序要求。</w:t>
      </w:r>
    </w:p>
    <w:p>
      <w:pPr>
        <w:spacing w:line="580" w:lineRule="exact"/>
        <w:ind w:firstLine="640" w:firstLineChars="200"/>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规划论证：项目规划论证符合要求，项目绩效目标设置科学合理，项目资金与项目总体规划、相关行业事业发展相匹配，聚焦重大任务、重点领域、重点环节和重点项目。</w:t>
      </w:r>
    </w:p>
    <w:p>
      <w:pPr>
        <w:spacing w:line="580" w:lineRule="exact"/>
        <w:ind w:firstLine="640" w:firstLineChars="200"/>
        <w:rPr>
          <w:rFonts w:ascii="仿宋_GB2312" w:hAnsi="仿宋" w:eastAsia="仿宋_GB2312" w:cs="仿宋_GB2312"/>
          <w:sz w:val="32"/>
          <w:szCs w:val="32"/>
        </w:rPr>
      </w:pPr>
      <w:r>
        <w:rPr>
          <w:rFonts w:hint="eastAsia" w:ascii="仿宋_GB2312" w:hAnsi="仿宋_GB2312" w:eastAsia="仿宋_GB2312" w:cs="仿宋_GB2312"/>
          <w:b w:val="0"/>
          <w:bCs w:val="0"/>
          <w:kern w:val="0"/>
          <w:position w:val="0"/>
          <w:sz w:val="32"/>
          <w:szCs w:val="32"/>
          <w:highlight w:val="none"/>
          <w:lang w:val="en-US" w:eastAsia="zh-CN" w:bidi="ar-SA"/>
        </w:rPr>
        <w:t>资金投向：项目资金与项目总体规划、相关行业事业发展相匹配，聚焦重大任务、重点领域、重点环节和重点项目。体现“集中力量办大事”原则，避免“撒胡椒面”。</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eastAsia="zh-CN"/>
        </w:rPr>
        <w:t>2.</w:t>
      </w:r>
      <w:r>
        <w:rPr>
          <w:rFonts w:hint="eastAsia" w:ascii="仿宋_GB2312" w:hAnsi="仿宋" w:eastAsia="仿宋_GB2312" w:cs="仿宋_GB2312"/>
          <w:sz w:val="32"/>
          <w:szCs w:val="32"/>
        </w:rPr>
        <w:t>项目管理</w:t>
      </w:r>
    </w:p>
    <w:p>
      <w:pPr>
        <w:spacing w:line="580" w:lineRule="exact"/>
        <w:ind w:firstLine="640" w:firstLineChars="200"/>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制度办法：项目制度办法体系健全、要素完备。资金管理办法等管理制度体系健全完善，不存在管理制度缺失、管理办法过期情况。</w:t>
      </w:r>
    </w:p>
    <w:p>
      <w:pPr>
        <w:spacing w:line="580" w:lineRule="exact"/>
        <w:ind w:firstLine="640" w:firstLineChars="200"/>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分配管理：项目资金分配因素选取、权重设置、区域分布，项目管理、审批符合管理要求，管资金、项目、政策管绩效，项目绩效监管按要求开展，对下指导有力有效。</w:t>
      </w:r>
    </w:p>
    <w:p>
      <w:pPr>
        <w:spacing w:line="580" w:lineRule="exact"/>
        <w:ind w:firstLine="640" w:firstLineChars="200"/>
        <w:rPr>
          <w:rFonts w:ascii="仿宋_GB2312" w:hAnsi="仿宋" w:eastAsia="仿宋_GB2312" w:cs="仿宋_GB2312"/>
          <w:sz w:val="32"/>
          <w:szCs w:val="32"/>
        </w:rPr>
      </w:pPr>
      <w:r>
        <w:rPr>
          <w:rFonts w:hint="eastAsia" w:ascii="仿宋_GB2312" w:hAnsi="仿宋_GB2312" w:eastAsia="仿宋_GB2312" w:cs="仿宋_GB2312"/>
          <w:b w:val="0"/>
          <w:bCs w:val="0"/>
          <w:kern w:val="0"/>
          <w:position w:val="0"/>
          <w:sz w:val="32"/>
          <w:szCs w:val="32"/>
          <w:highlight w:val="none"/>
          <w:lang w:val="en-US" w:eastAsia="zh-CN" w:bidi="ar-SA"/>
        </w:rPr>
        <w:t>绩效监管：明确要求“事前评估”“事中监控”“事后评价”，层层把控，对相关人员进行绩效业务培训，使人人“懂理念、会分析”。并严抓项目决策是否科学的“牛鼻子”，力求项目决策科学。让项目“目标科学、全面”才能“拎得清”，“跟踪及时、严格”才能“管得准”，避免偏离轨道造成的损耗成本、影响质量、效率低下。“花钱必问效，无效必问责”，该局将绩效理念融入预算编制、执行、监督全过程，抓好项目效益是否提升的“落脚点”，发挥绩效评价导向作用，通过奖优惩劣，确保被评价单位把每一笔钱都用在刀刃上、紧要处，力求项目效益提升。</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eastAsia="zh-CN"/>
        </w:rPr>
        <w:t>3.</w:t>
      </w:r>
      <w:r>
        <w:rPr>
          <w:rFonts w:hint="eastAsia" w:ascii="仿宋_GB2312" w:hAnsi="仿宋" w:eastAsia="仿宋_GB2312" w:cs="仿宋_GB2312"/>
          <w:sz w:val="32"/>
          <w:szCs w:val="32"/>
        </w:rPr>
        <w:t>项目绩效</w:t>
      </w:r>
    </w:p>
    <w:p>
      <w:p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资金项目内容与具体实施内容相符的、申报目标是合理可行。项目运行成本、管理效率、履职效能、社会效应、可持续发展能力和服务对象满意度等方面均取得良好成果，预算绩效实现全覆盖。截至2025年底完成项目资金拨付。资金项目按照目标任务已于2025年底完成。</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资金分配均衡公平，资金实际支持对象符合管理要求，符合支持对象范围，资金实际补贴标准符合资金管理办法规定的补助标准，及时按标准兑现，资金涉及服务对象满意度不低于90%。我单位在规定时间内做好</w:t>
      </w:r>
      <w:r>
        <w:rPr>
          <w:rFonts w:hint="default" w:ascii="仿宋_GB2312" w:hAnsi="仿宋" w:eastAsia="仿宋_GB2312" w:cs="仿宋_GB2312"/>
          <w:sz w:val="32"/>
          <w:szCs w:val="32"/>
          <w:lang w:val="en-US" w:eastAsia="zh-CN"/>
        </w:rPr>
        <w:t>中央</w:t>
      </w:r>
      <w:r>
        <w:rPr>
          <w:rFonts w:hint="eastAsia" w:ascii="仿宋_GB2312" w:hAnsi="仿宋" w:eastAsia="仿宋_GB2312" w:cs="仿宋_GB2312"/>
          <w:sz w:val="32"/>
          <w:szCs w:val="32"/>
          <w:lang w:val="en-US" w:eastAsia="zh-CN"/>
        </w:rPr>
        <w:t>支持</w:t>
      </w:r>
      <w:r>
        <w:rPr>
          <w:rFonts w:hint="default" w:ascii="仿宋_GB2312" w:hAnsi="仿宋" w:eastAsia="仿宋_GB2312" w:cs="仿宋_GB2312"/>
          <w:sz w:val="32"/>
          <w:szCs w:val="32"/>
          <w:lang w:val="en-US" w:eastAsia="zh-CN"/>
        </w:rPr>
        <w:t>地方公共文化服务体系建设补助资金</w:t>
      </w:r>
      <w:r>
        <w:rPr>
          <w:rFonts w:hint="eastAsia" w:ascii="仿宋_GB2312" w:hAnsi="仿宋" w:eastAsia="仿宋_GB2312" w:cs="仿宋_GB2312"/>
          <w:sz w:val="32"/>
          <w:szCs w:val="32"/>
          <w:lang w:val="en-US" w:eastAsia="zh-CN"/>
        </w:rPr>
        <w:t>的个性化绩效评价指标具有特定的针对性，能够更好地反映公共文化服务工作在其特定业务领域的表现，可以增强群众的积极性，提高部门的整体绩效水平。通过公共文化服务体系建设的实施，进一步提升公共文化服务的力度。推进基层文化服务发展、提升人民生活幸福指数，积极参与基层文化活动。资金涉及服务对象满意度不低于90%，群众对参与公共文化服务</w:t>
      </w:r>
      <w:bookmarkStart w:id="0" w:name="_GoBack"/>
      <w:bookmarkEnd w:id="0"/>
      <w:r>
        <w:rPr>
          <w:rFonts w:hint="eastAsia" w:ascii="仿宋_GB2312" w:hAnsi="仿宋" w:eastAsia="仿宋_GB2312" w:cs="仿宋_GB2312"/>
          <w:sz w:val="32"/>
          <w:szCs w:val="32"/>
          <w:lang w:val="en-US" w:eastAsia="zh-CN"/>
        </w:rPr>
        <w:t>体系的满意度不低于90%。</w:t>
      </w:r>
    </w:p>
    <w:p>
      <w:pPr>
        <w:numPr>
          <w:ilvl w:val="0"/>
          <w:numId w:val="0"/>
        </w:numPr>
        <w:spacing w:line="58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val="en-US" w:eastAsia="zh-CN"/>
        </w:rPr>
        <w:t>三、</w:t>
      </w:r>
      <w:r>
        <w:rPr>
          <w:rFonts w:hint="eastAsia" w:ascii="仿宋_GB2312" w:hAnsi="仿宋" w:eastAsia="仿宋_GB2312" w:cs="仿宋_GB2312"/>
          <w:sz w:val="32"/>
          <w:szCs w:val="32"/>
        </w:rPr>
        <w:t>存在主要问题</w:t>
      </w:r>
    </w:p>
    <w:p>
      <w:pPr>
        <w:numPr>
          <w:ilvl w:val="0"/>
          <w:numId w:val="0"/>
        </w:num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无</w:t>
      </w:r>
    </w:p>
    <w:p>
      <w:pPr>
        <w:spacing w:line="58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四、相关措施建议</w:t>
      </w:r>
    </w:p>
    <w:p>
      <w:pPr>
        <w:numPr>
          <w:ilvl w:val="0"/>
          <w:numId w:val="0"/>
        </w:num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
    <w:altName w:val="AR PL UKai C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方正小标宋_GBK"/>
    <w:panose1 w:val="03000509000000000000"/>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anumGothic">
    <w:panose1 w:val="020D0604000000000000"/>
    <w:charset w:val="81"/>
    <w:family w:val="auto"/>
    <w:pitch w:val="default"/>
    <w:sig w:usb0="900002A7" w:usb1="29D7FCFB" w:usb2="00000010" w:usb3="00000000" w:csb0="00080001" w:csb1="00000000"/>
  </w:font>
  <w:font w:name="DejaVu Sans">
    <w:panose1 w:val="020B0603030804020204"/>
    <w:charset w:val="00"/>
    <w:family w:val="auto"/>
    <w:pitch w:val="default"/>
    <w:sig w:usb0="E7006EFF" w:usb1="D200FDFF" w:usb2="0A246029" w:usb3="0400200C" w:csb0="600001FF" w:csb1="DFFF0000"/>
  </w:font>
  <w:font w:name="AR PL UKai CN">
    <w:panose1 w:val="02000503000000000000"/>
    <w:charset w:val="86"/>
    <w:family w:val="auto"/>
    <w:pitch w:val="default"/>
    <w:sig w:usb0="A00002FF" w:usb1="3ACFFDFF" w:usb2="00000036" w:usb3="00000000" w:csb0="2016009F" w:csb1="DFD7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zNmEyOTFjMjZjODc0OGIyZjk3N2Q1Zjc3YWU5MjEifQ=="/>
  </w:docVars>
  <w:rsids>
    <w:rsidRoot w:val="004C22EC"/>
    <w:rsid w:val="004C22EC"/>
    <w:rsid w:val="007B38C6"/>
    <w:rsid w:val="100566B3"/>
    <w:rsid w:val="135D1D5F"/>
    <w:rsid w:val="168D0F71"/>
    <w:rsid w:val="1B4A3EC4"/>
    <w:rsid w:val="1F887BDD"/>
    <w:rsid w:val="2439349C"/>
    <w:rsid w:val="244E01D1"/>
    <w:rsid w:val="2AE211EE"/>
    <w:rsid w:val="2D0C31F9"/>
    <w:rsid w:val="33DA011B"/>
    <w:rsid w:val="358B1B11"/>
    <w:rsid w:val="423607D0"/>
    <w:rsid w:val="4A0B0DD8"/>
    <w:rsid w:val="527B0053"/>
    <w:rsid w:val="55704B34"/>
    <w:rsid w:val="57B166CC"/>
    <w:rsid w:val="5BDB831F"/>
    <w:rsid w:val="5DBC40E7"/>
    <w:rsid w:val="60D1338B"/>
    <w:rsid w:val="7733456E"/>
    <w:rsid w:val="77991202"/>
    <w:rsid w:val="7CC962C6"/>
    <w:rsid w:val="7DBE3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标题 1 Char"/>
    <w:basedOn w:val="6"/>
    <w:link w:val="2"/>
    <w:qFormat/>
    <w:uiPriority w:val="9"/>
    <w:rPr>
      <w:rFonts w:ascii="Times New Roman" w:hAnsi="Times New Roman" w:eastAsia="宋体" w:cs="Times New Roman"/>
      <w:b/>
      <w:bCs/>
      <w:kern w:val="44"/>
      <w:sz w:val="44"/>
      <w:szCs w:val="44"/>
    </w:rPr>
  </w:style>
  <w:style w:type="paragraph" w:customStyle="1" w:styleId="1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1">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6</Pages>
  <Words>2494</Words>
  <Characters>2582</Characters>
  <Lines>2</Lines>
  <Paragraphs>1</Paragraphs>
  <TotalTime>24</TotalTime>
  <ScaleCrop>false</ScaleCrop>
  <LinksUpToDate>false</LinksUpToDate>
  <CharactersWithSpaces>2590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2019-08-19T09:06:00Z</dcterms:created>
  <dc:creator>Sky123.Org</dc:creator>
  <cp:lastModifiedBy>user</cp:lastModifiedBy>
  <dcterms:modified xsi:type="dcterms:W3CDTF">2026-09-04T16:00:24Z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5D3C82D051A14EFFB17CF53CA6CB6C69_13</vt:lpwstr>
  </property>
  <property fmtid="{D5CDD505-2E9C-101B-9397-08002B2CF9AE}" pid="4" name="KSOTemplateDocerSaveRecord">
    <vt:lpwstr>eyJoZGlkIjoiYmMxZWViYzY2OTBkMWNmMDZlNjI2NmUwYzQyZTk2ZTMiLCJ1c2VySWQiOiIxMTM5OTQ5NTAyIn0=</vt:lpwstr>
  </property>
</Properties>
</file>