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FFDDE">
      <w:pPr>
        <w:spacing w:line="580" w:lineRule="exact"/>
        <w:jc w:val="center"/>
        <w:rPr>
          <w:rFonts w:hint="default" w:ascii="仿宋_GB2312" w:hAnsi="黑体" w:eastAsia="仿宋_GB2312" w:cs="方正小标宋简体"/>
          <w:b/>
          <w:sz w:val="32"/>
          <w:szCs w:val="32"/>
          <w:lang w:val="en-US" w:eastAsia="zh-CN"/>
        </w:rPr>
      </w:pPr>
      <w:r>
        <w:rPr>
          <w:rFonts w:hint="eastAsia" w:ascii="仿宋_GB2312" w:hAnsi="黑体" w:eastAsia="仿宋_GB2312" w:cs="方正小标宋简体"/>
          <w:b/>
          <w:sz w:val="32"/>
          <w:szCs w:val="32"/>
        </w:rPr>
        <w:t>20</w:t>
      </w:r>
      <w:r>
        <w:rPr>
          <w:rFonts w:hint="eastAsia" w:ascii="仿宋_GB2312" w:hAnsi="黑体" w:eastAsia="仿宋_GB2312" w:cs="方正小标宋简体"/>
          <w:b/>
          <w:sz w:val="32"/>
          <w:szCs w:val="32"/>
          <w:lang w:val="en-US" w:eastAsia="zh-CN"/>
        </w:rPr>
        <w:t>25</w:t>
      </w:r>
      <w:r>
        <w:rPr>
          <w:rFonts w:hint="eastAsia" w:ascii="仿宋_GB2312" w:hAnsi="黑体" w:eastAsia="仿宋_GB2312" w:cs="方正小标宋简体"/>
          <w:b/>
          <w:sz w:val="32"/>
          <w:szCs w:val="32"/>
        </w:rPr>
        <w:t>年</w:t>
      </w:r>
      <w:r>
        <w:rPr>
          <w:rFonts w:hint="default" w:ascii="仿宋_GB2312" w:hAnsi="黑体" w:eastAsia="仿宋_GB2312" w:cs="方正小标宋简体"/>
          <w:b/>
          <w:sz w:val="32"/>
          <w:szCs w:val="32"/>
          <w:lang w:val="en-US" w:eastAsia="zh-CN"/>
        </w:rPr>
        <w:t>黑水县公共文化云建设项目专项</w:t>
      </w:r>
    </w:p>
    <w:p w14:paraId="45B6D1D0">
      <w:pPr>
        <w:spacing w:line="580" w:lineRule="exact"/>
        <w:jc w:val="center"/>
        <w:rPr>
          <w:rFonts w:ascii="仿宋_GB2312" w:hAnsi="黑体" w:eastAsia="仿宋_GB2312" w:cs="方正小标宋简体"/>
          <w:b/>
          <w:sz w:val="32"/>
          <w:szCs w:val="32"/>
        </w:rPr>
      </w:pPr>
      <w:r>
        <w:rPr>
          <w:rFonts w:hint="eastAsia" w:ascii="仿宋_GB2312" w:hAnsi="黑体" w:eastAsia="仿宋_GB2312" w:cs="方正小标宋简体"/>
          <w:b/>
          <w:sz w:val="32"/>
          <w:szCs w:val="32"/>
        </w:rPr>
        <w:t>项目支出绩效评价报告</w:t>
      </w:r>
    </w:p>
    <w:p w14:paraId="75AA39AC">
      <w:pPr>
        <w:spacing w:line="580" w:lineRule="exact"/>
        <w:ind w:firstLine="640" w:firstLineChars="200"/>
        <w:rPr>
          <w:rFonts w:ascii="仿宋_GB2312" w:hAnsi="仿宋_GB2312" w:eastAsia="仿宋_GB2312" w:cs="仿宋_GB2312"/>
          <w:sz w:val="32"/>
          <w:szCs w:val="32"/>
        </w:rPr>
      </w:pPr>
    </w:p>
    <w:p w14:paraId="22EAC279">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一、评价工作开展及项目情况</w:t>
      </w:r>
    </w:p>
    <w:p w14:paraId="501842CE">
      <w:pPr>
        <w:spacing w:line="580" w:lineRule="exact"/>
        <w:ind w:firstLine="640" w:firstLineChars="200"/>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（一）评价目的</w:t>
      </w:r>
    </w:p>
    <w:p w14:paraId="73EC1F1C">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rPr>
        <w:t>通过绩效评价，及时发现</w:t>
      </w:r>
      <w:r>
        <w:rPr>
          <w:rFonts w:hint="eastAsia" w:ascii="仿宋_GB2312" w:hAnsi="仿宋" w:eastAsia="仿宋_GB2312" w:cs="仿宋_GB2312"/>
          <w:sz w:val="32"/>
          <w:szCs w:val="32"/>
          <w:lang w:eastAsia="zh-CN"/>
        </w:rPr>
        <w:t>项目实施及经费使用中</w:t>
      </w:r>
      <w:r>
        <w:rPr>
          <w:rFonts w:hint="eastAsia" w:ascii="仿宋_GB2312" w:hAnsi="仿宋" w:eastAsia="仿宋_GB2312" w:cs="仿宋_GB2312"/>
          <w:sz w:val="32"/>
          <w:szCs w:val="32"/>
        </w:rPr>
        <w:t>存在的薄弱环节，总结推广好的经验和做法，进一步规范项目管理。</w:t>
      </w:r>
      <w:r>
        <w:rPr>
          <w:rFonts w:hint="eastAsia" w:ascii="仿宋_GB2312" w:hAnsi="仿宋" w:eastAsia="仿宋_GB2312" w:cs="仿宋_GB2312"/>
          <w:sz w:val="32"/>
          <w:szCs w:val="32"/>
          <w:lang w:eastAsia="zh-CN"/>
        </w:rPr>
        <w:t>提升黑水县公共文化云建设</w:t>
      </w:r>
      <w:r>
        <w:rPr>
          <w:rFonts w:hint="eastAsia" w:ascii="仿宋_GB2312" w:hAnsi="仿宋" w:eastAsia="仿宋_GB2312" w:cs="仿宋_GB2312"/>
          <w:sz w:val="32"/>
          <w:szCs w:val="32"/>
          <w:lang w:val="en-US" w:eastAsia="zh-CN"/>
        </w:rPr>
        <w:t>项目</w:t>
      </w:r>
      <w:r>
        <w:rPr>
          <w:rFonts w:hint="eastAsia" w:ascii="仿宋_GB2312" w:hAnsi="仿宋" w:eastAsia="仿宋_GB2312" w:cs="仿宋_GB2312"/>
          <w:sz w:val="32"/>
          <w:szCs w:val="32"/>
          <w:lang w:eastAsia="zh-CN"/>
        </w:rPr>
        <w:t>的使用效率。</w:t>
      </w:r>
    </w:p>
    <w:p w14:paraId="7AF526E8">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二</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预设问题及评价重点</w:t>
      </w:r>
    </w:p>
    <w:p w14:paraId="62A54EE6">
      <w:pPr>
        <w:numPr>
          <w:ilvl w:val="0"/>
          <w:numId w:val="0"/>
        </w:num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1.长效机制建立情况。项目实施单位建立项目实施管理制度等。</w:t>
      </w:r>
    </w:p>
    <w:p w14:paraId="2CFCE45D">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2.项目实施程序严密性。建设项目的招投标资料完整、真实，无弄虚作假套取财政资金等问题。</w:t>
      </w:r>
    </w:p>
    <w:p w14:paraId="28EA5584">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3.资金拨付和使用的合规性。严格按照国库集中支付规定办理资金拨付手续；按时拨付，未造成滞留资金积压；资金专款专用，未随意变更项目内容及地点；遵守</w:t>
      </w:r>
      <w:r>
        <w:rPr>
          <w:rFonts w:hint="eastAsia" w:ascii="仿宋_GB2312" w:hAnsi="仿宋" w:eastAsia="仿宋_GB2312" w:cs="仿宋_GB2312"/>
          <w:sz w:val="32"/>
          <w:szCs w:val="32"/>
          <w:lang w:val="en-US" w:eastAsia="zh-CN"/>
        </w:rPr>
        <w:t>法律法规</w:t>
      </w:r>
      <w:r>
        <w:rPr>
          <w:rFonts w:hint="eastAsia" w:ascii="仿宋_GB2312" w:hAnsi="仿宋" w:eastAsia="仿宋_GB2312" w:cs="仿宋_GB2312"/>
          <w:sz w:val="32"/>
          <w:szCs w:val="32"/>
          <w:lang w:val="zh-CN"/>
        </w:rPr>
        <w:t>规定；无</w:t>
      </w:r>
      <w:r>
        <w:rPr>
          <w:rFonts w:hint="eastAsia" w:ascii="仿宋_GB2312" w:hAnsi="仿宋" w:eastAsia="仿宋_GB2312" w:cs="仿宋_GB2312"/>
          <w:sz w:val="32"/>
          <w:szCs w:val="32"/>
          <w:lang w:val="en-US" w:eastAsia="zh-CN"/>
        </w:rPr>
        <w:t>挤占</w:t>
      </w:r>
      <w:r>
        <w:rPr>
          <w:rFonts w:hint="eastAsia" w:ascii="仿宋_GB2312" w:hAnsi="仿宋" w:eastAsia="仿宋_GB2312" w:cs="仿宋_GB2312"/>
          <w:sz w:val="32"/>
          <w:szCs w:val="32"/>
          <w:lang w:val="zh-CN"/>
        </w:rPr>
        <w:t>、挪用、截留等违纪违规等问题。</w:t>
      </w:r>
    </w:p>
    <w:p w14:paraId="503E69FB">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4.信息的公开透明度。项目资金管理单位的公开公示情况。</w:t>
      </w:r>
    </w:p>
    <w:p w14:paraId="1F8B61FB">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5.财务管理和会计核算规范性。财务核算符合《中华人民共和国会计法》《会计基础工作规范》等要求、符合基本建设财务管理和会计制度规定。</w:t>
      </w:r>
    </w:p>
    <w:p w14:paraId="1F857199">
      <w:pPr>
        <w:spacing w:line="580" w:lineRule="exact"/>
        <w:ind w:firstLine="640" w:firstLineChars="200"/>
        <w:rPr>
          <w:rFonts w:hint="default" w:ascii="仿宋_GB2312" w:hAnsi="仿宋" w:eastAsia="仿宋_GB2312" w:cs="仿宋_GB2312"/>
          <w:sz w:val="32"/>
          <w:szCs w:val="32"/>
          <w:lang w:eastAsia="zh-CN"/>
        </w:rPr>
      </w:pPr>
      <w:r>
        <w:rPr>
          <w:rFonts w:hint="eastAsia" w:ascii="仿宋_GB2312" w:hAnsi="仿宋" w:eastAsia="仿宋_GB2312" w:cs="仿宋_GB2312"/>
          <w:sz w:val="32"/>
          <w:szCs w:val="32"/>
          <w:lang w:val="zh-CN"/>
        </w:rPr>
        <w:t>6.项目实施单位绩效自评情况。项目实施单位是否严格按照预算绩效管理规定开展绩效自评。</w:t>
      </w:r>
    </w:p>
    <w:p w14:paraId="012DE81C">
      <w:pPr>
        <w:spacing w:line="580" w:lineRule="exact"/>
        <w:ind w:firstLine="640" w:firstLineChars="200"/>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（三）评价选点</w:t>
      </w:r>
    </w:p>
    <w:p w14:paraId="2CD7ACEE">
      <w:pPr>
        <w:spacing w:line="580" w:lineRule="exact"/>
        <w:ind w:firstLine="640" w:firstLineChars="200"/>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zh-CN" w:eastAsia="zh-CN"/>
        </w:rPr>
        <w:t>黑水县文化广播电视和旅游局，黑水县芦花镇长征路</w:t>
      </w:r>
      <w:r>
        <w:rPr>
          <w:rFonts w:hint="eastAsia" w:ascii="仿宋_GB2312" w:hAnsi="仿宋" w:eastAsia="仿宋_GB2312" w:cs="仿宋_GB2312"/>
          <w:sz w:val="32"/>
          <w:szCs w:val="32"/>
          <w:lang w:val="en-US" w:eastAsia="zh-CN"/>
        </w:rPr>
        <w:t>100号。</w:t>
      </w:r>
    </w:p>
    <w:p w14:paraId="28A149C9">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四</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评价方法</w:t>
      </w:r>
    </w:p>
    <w:p w14:paraId="7280AD65">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指标评分法（定量为主）</w:t>
      </w:r>
    </w:p>
    <w:p w14:paraId="16ECA35B">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 xml:space="preserve">建立三级指标体系（决策—过程—产出—效益—满意度）权重赋值、百分制、等级评定（优/良/中/差） </w:t>
      </w:r>
    </w:p>
    <w:p w14:paraId="3642EEB1">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产出：平台功能完成率、资源上线量、用户活跃度</w:t>
      </w:r>
    </w:p>
    <w:p w14:paraId="01AF5313">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 xml:space="preserve">效益：服务人次、覆盖率、社会影响力 </w:t>
      </w:r>
    </w:p>
    <w:p w14:paraId="65C5262B">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满意度：群众、文化机构、主管部门评分</w:t>
      </w:r>
    </w:p>
    <w:p w14:paraId="2F5CE4E1">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五</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评价组织</w:t>
      </w:r>
    </w:p>
    <w:p w14:paraId="2B2998AF">
      <w:pPr>
        <w:numPr>
          <w:ilvl w:val="0"/>
          <w:numId w:val="0"/>
        </w:numPr>
        <w:spacing w:line="580" w:lineRule="exact"/>
        <w:ind w:firstLine="640" w:firstLineChars="200"/>
        <w:rPr>
          <w:rFonts w:hint="default" w:ascii="仿宋_GB2312" w:hAnsi="仿宋" w:eastAsia="仿宋_GB2312" w:cs="仿宋_GB2312"/>
          <w:sz w:val="32"/>
          <w:szCs w:val="32"/>
          <w:lang w:val="zh-CN" w:eastAsia="zh-CN"/>
        </w:rPr>
      </w:pPr>
      <w:r>
        <w:rPr>
          <w:rFonts w:hint="default" w:ascii="仿宋_GB2312" w:hAnsi="仿宋" w:eastAsia="仿宋_GB2312" w:cs="仿宋_GB2312"/>
          <w:sz w:val="32"/>
          <w:szCs w:val="32"/>
          <w:lang w:val="zh-CN" w:eastAsia="zh-CN"/>
        </w:rPr>
        <w:t>明确依据：政策、绩效目标、合同、专项资金管理办法</w:t>
      </w:r>
    </w:p>
    <w:p w14:paraId="3BDBE419">
      <w:pPr>
        <w:spacing w:line="580" w:lineRule="exact"/>
        <w:ind w:firstLine="640" w:firstLineChars="200"/>
        <w:rPr>
          <w:rFonts w:hint="default" w:ascii="仿宋_GB2312" w:hAnsi="仿宋" w:eastAsia="仿宋_GB2312" w:cs="仿宋_GB2312"/>
          <w:sz w:val="32"/>
          <w:szCs w:val="32"/>
          <w:lang w:val="zh-CN" w:eastAsia="zh-CN"/>
        </w:rPr>
      </w:pPr>
      <w:r>
        <w:rPr>
          <w:rFonts w:hint="default" w:ascii="仿宋_GB2312" w:hAnsi="仿宋" w:eastAsia="仿宋_GB2312" w:cs="仿宋_GB2312"/>
          <w:sz w:val="32"/>
          <w:szCs w:val="32"/>
          <w:lang w:val="zh-CN" w:eastAsia="zh-CN"/>
        </w:rPr>
        <w:t>制定方案：指标、权重、方法、样本、时间表</w:t>
      </w:r>
    </w:p>
    <w:p w14:paraId="6AFAC4DC">
      <w:pPr>
        <w:spacing w:line="580" w:lineRule="exact"/>
        <w:ind w:firstLine="640" w:firstLineChars="200"/>
        <w:rPr>
          <w:rFonts w:hint="default" w:ascii="仿宋_GB2312" w:hAnsi="仿宋" w:eastAsia="仿宋_GB2312" w:cs="仿宋_GB2312"/>
          <w:sz w:val="32"/>
          <w:szCs w:val="32"/>
          <w:lang w:val="zh-CN" w:eastAsia="zh-CN"/>
        </w:rPr>
      </w:pPr>
      <w:r>
        <w:rPr>
          <w:rFonts w:hint="default" w:ascii="仿宋_GB2312" w:hAnsi="仿宋" w:eastAsia="仿宋_GB2312" w:cs="仿宋_GB2312"/>
          <w:sz w:val="32"/>
          <w:szCs w:val="32"/>
          <w:lang w:val="zh-CN" w:eastAsia="zh-CN"/>
        </w:rPr>
        <w:t>单位自评</w:t>
      </w:r>
    </w:p>
    <w:p w14:paraId="3D59747B">
      <w:p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项目单位填报、数据核实、形成自评报告</w:t>
      </w:r>
    </w:p>
    <w:tbl>
      <w:tblPr>
        <w:tblStyle w:val="5"/>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7"/>
        <w:gridCol w:w="1488"/>
        <w:gridCol w:w="1304"/>
        <w:gridCol w:w="1693"/>
        <w:gridCol w:w="535"/>
        <w:gridCol w:w="1241"/>
        <w:gridCol w:w="397"/>
        <w:gridCol w:w="971"/>
        <w:gridCol w:w="486"/>
      </w:tblGrid>
      <w:tr w14:paraId="023D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34" w:type="pct"/>
            <w:tcBorders>
              <w:top w:val="single" w:color="000000" w:sz="4" w:space="0"/>
              <w:left w:val="single" w:color="000000" w:sz="4" w:space="0"/>
              <w:bottom w:val="single" w:color="000000" w:sz="4" w:space="0"/>
              <w:right w:val="single" w:color="000000" w:sz="4" w:space="0"/>
            </w:tcBorders>
            <w:noWrap w:val="0"/>
            <w:vAlign w:val="center"/>
          </w:tcPr>
          <w:p w14:paraId="69AE622B">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74" w:type="pct"/>
            <w:tcBorders>
              <w:top w:val="single" w:color="000000" w:sz="4" w:space="0"/>
              <w:left w:val="single" w:color="000000" w:sz="4" w:space="0"/>
              <w:bottom w:val="single" w:color="000000" w:sz="4" w:space="0"/>
              <w:right w:val="single" w:color="000000" w:sz="4" w:space="0"/>
            </w:tcBorders>
            <w:noWrap w:val="0"/>
            <w:vAlign w:val="center"/>
          </w:tcPr>
          <w:p w14:paraId="1830ECF5">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66" w:type="pct"/>
            <w:tcBorders>
              <w:top w:val="single" w:color="000000" w:sz="4" w:space="0"/>
              <w:left w:val="single" w:color="000000" w:sz="4" w:space="0"/>
              <w:bottom w:val="single" w:color="000000" w:sz="4" w:space="0"/>
              <w:right w:val="single" w:color="000000" w:sz="4" w:space="0"/>
            </w:tcBorders>
            <w:noWrap w:val="0"/>
            <w:vAlign w:val="center"/>
          </w:tcPr>
          <w:p w14:paraId="0A7BF6EF">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14:paraId="7CF5FB83">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314" w:type="pct"/>
            <w:tcBorders>
              <w:top w:val="single" w:color="000000" w:sz="4" w:space="0"/>
              <w:left w:val="single" w:color="000000" w:sz="4" w:space="0"/>
              <w:bottom w:val="single" w:color="000000" w:sz="4" w:space="0"/>
              <w:right w:val="single" w:color="000000" w:sz="4" w:space="0"/>
            </w:tcBorders>
            <w:noWrap w:val="0"/>
            <w:vAlign w:val="center"/>
          </w:tcPr>
          <w:p w14:paraId="48C9BC47">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5C097E37">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1D513EFF">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68E286FB">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4AEB10EC">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14:paraId="4995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34" w:type="pct"/>
            <w:vMerge w:val="restart"/>
            <w:tcBorders>
              <w:top w:val="single" w:color="000000" w:sz="4" w:space="0"/>
              <w:left w:val="single" w:color="000000" w:sz="4" w:space="0"/>
              <w:bottom w:val="single" w:color="000000" w:sz="4" w:space="0"/>
              <w:right w:val="single" w:color="000000" w:sz="4" w:space="0"/>
            </w:tcBorders>
            <w:noWrap w:val="0"/>
            <w:vAlign w:val="center"/>
          </w:tcPr>
          <w:p w14:paraId="58864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14:paraId="41CB1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66" w:type="pct"/>
            <w:tcBorders>
              <w:top w:val="single" w:color="000000" w:sz="4" w:space="0"/>
              <w:left w:val="single" w:color="000000" w:sz="4" w:space="0"/>
              <w:bottom w:val="single" w:color="auto" w:sz="4" w:space="0"/>
              <w:right w:val="single" w:color="000000" w:sz="4" w:space="0"/>
            </w:tcBorders>
            <w:noWrap w:val="0"/>
            <w:vAlign w:val="center"/>
          </w:tcPr>
          <w:p w14:paraId="1A9EA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94" w:type="pct"/>
            <w:tcBorders>
              <w:top w:val="single" w:color="000000" w:sz="4" w:space="0"/>
              <w:left w:val="single" w:color="000000" w:sz="4" w:space="0"/>
              <w:bottom w:val="single" w:color="auto" w:sz="4" w:space="0"/>
              <w:right w:val="single" w:color="000000" w:sz="4" w:space="0"/>
            </w:tcBorders>
            <w:noWrap w:val="0"/>
            <w:vAlign w:val="center"/>
          </w:tcPr>
          <w:p w14:paraId="3321B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14" w:type="pct"/>
            <w:tcBorders>
              <w:top w:val="single" w:color="000000" w:sz="4" w:space="0"/>
              <w:left w:val="single" w:color="000000" w:sz="4" w:space="0"/>
              <w:bottom w:val="single" w:color="auto" w:sz="4" w:space="0"/>
              <w:right w:val="single" w:color="000000" w:sz="4" w:space="0"/>
            </w:tcBorders>
            <w:noWrap w:val="0"/>
            <w:vAlign w:val="center"/>
          </w:tcPr>
          <w:p w14:paraId="24365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29" w:type="pct"/>
            <w:tcBorders>
              <w:top w:val="single" w:color="000000" w:sz="4" w:space="0"/>
              <w:left w:val="single" w:color="000000" w:sz="4" w:space="0"/>
              <w:bottom w:val="single" w:color="auto" w:sz="4" w:space="0"/>
              <w:right w:val="single" w:color="000000" w:sz="4" w:space="0"/>
            </w:tcBorders>
            <w:noWrap w:val="0"/>
            <w:vAlign w:val="center"/>
          </w:tcPr>
          <w:p w14:paraId="26D59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noWrap w:val="0"/>
            <w:vAlign w:val="center"/>
          </w:tcPr>
          <w:p w14:paraId="59EF4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69" w:type="pct"/>
            <w:tcBorders>
              <w:top w:val="single" w:color="000000" w:sz="4" w:space="0"/>
              <w:left w:val="single" w:color="000000" w:sz="4" w:space="0"/>
              <w:bottom w:val="single" w:color="000000" w:sz="4" w:space="0"/>
              <w:right w:val="single" w:color="000000" w:sz="4" w:space="0"/>
            </w:tcBorders>
            <w:noWrap w:val="0"/>
            <w:vAlign w:val="center"/>
          </w:tcPr>
          <w:p w14:paraId="1CBD3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auto" w:sz="4" w:space="0"/>
              <w:right w:val="single" w:color="000000" w:sz="4" w:space="0"/>
            </w:tcBorders>
            <w:noWrap w:val="0"/>
            <w:vAlign w:val="center"/>
          </w:tcPr>
          <w:p w14:paraId="7EECC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799FC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2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FA6E6B">
            <w:pPr>
              <w:jc w:val="cente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right w:val="single" w:color="auto" w:sz="4" w:space="0"/>
            </w:tcBorders>
            <w:noWrap w:val="0"/>
            <w:vAlign w:val="center"/>
          </w:tcPr>
          <w:p w14:paraId="71915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66" w:type="pct"/>
            <w:vMerge w:val="restart"/>
            <w:tcBorders>
              <w:top w:val="single" w:color="auto" w:sz="4" w:space="0"/>
              <w:left w:val="single" w:color="auto" w:sz="4" w:space="0"/>
              <w:right w:val="single" w:color="000000" w:sz="4" w:space="0"/>
            </w:tcBorders>
            <w:noWrap w:val="0"/>
            <w:vAlign w:val="center"/>
          </w:tcPr>
          <w:p w14:paraId="63A73F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数量指标</w:t>
            </w:r>
          </w:p>
        </w:tc>
        <w:tc>
          <w:tcPr>
            <w:tcW w:w="994" w:type="pct"/>
            <w:tcBorders>
              <w:top w:val="single" w:color="auto" w:sz="4" w:space="0"/>
              <w:left w:val="single" w:color="000000" w:sz="4" w:space="0"/>
              <w:bottom w:val="single" w:color="auto" w:sz="4" w:space="0"/>
              <w:right w:val="single" w:color="auto" w:sz="4" w:space="0"/>
            </w:tcBorders>
            <w:noWrap w:val="0"/>
            <w:vAlign w:val="center"/>
          </w:tcPr>
          <w:p w14:paraId="76AE6BAC">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全民艺术普及课程（1门（每门课6个章节）</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6065DDD7">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65AFB70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w:t>
            </w:r>
          </w:p>
        </w:tc>
        <w:tc>
          <w:tcPr>
            <w:tcW w:w="233" w:type="pct"/>
            <w:tcBorders>
              <w:top w:val="single" w:color="000000" w:sz="4" w:space="0"/>
              <w:left w:val="single" w:color="auto" w:sz="4" w:space="0"/>
              <w:bottom w:val="single" w:color="auto" w:sz="4" w:space="0"/>
              <w:right w:val="single" w:color="000000" w:sz="4" w:space="0"/>
            </w:tcBorders>
            <w:noWrap w:val="0"/>
            <w:vAlign w:val="center"/>
          </w:tcPr>
          <w:p w14:paraId="2A6120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门</w:t>
            </w:r>
          </w:p>
        </w:tc>
        <w:tc>
          <w:tcPr>
            <w:tcW w:w="569" w:type="pct"/>
            <w:tcBorders>
              <w:top w:val="single" w:color="000000" w:sz="4" w:space="0"/>
              <w:left w:val="single" w:color="000000" w:sz="4" w:space="0"/>
              <w:bottom w:val="single" w:color="auto" w:sz="4" w:space="0"/>
              <w:right w:val="single" w:color="auto" w:sz="4" w:space="0"/>
            </w:tcBorders>
            <w:noWrap w:val="0"/>
            <w:vAlign w:val="center"/>
          </w:tcPr>
          <w:p w14:paraId="3C0471F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474EEEB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14:paraId="2645A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2B956E">
            <w:pPr>
              <w:keepNext w:val="0"/>
              <w:keepLines w:val="0"/>
              <w:widowControl/>
              <w:suppressLineNumbers w:val="0"/>
              <w:jc w:val="center"/>
              <w:textAlignment w:val="center"/>
            </w:pPr>
          </w:p>
        </w:tc>
        <w:tc>
          <w:tcPr>
            <w:tcW w:w="874" w:type="pct"/>
            <w:vMerge w:val="continue"/>
            <w:tcBorders>
              <w:left w:val="single" w:color="000000" w:sz="4" w:space="0"/>
              <w:right w:val="single" w:color="auto" w:sz="4" w:space="0"/>
            </w:tcBorders>
            <w:noWrap w:val="0"/>
            <w:vAlign w:val="center"/>
          </w:tcPr>
          <w:p w14:paraId="686F0B09">
            <w:pPr>
              <w:keepNext w:val="0"/>
              <w:keepLines w:val="0"/>
              <w:widowControl/>
              <w:suppressLineNumbers w:val="0"/>
              <w:jc w:val="center"/>
              <w:textAlignment w:val="center"/>
            </w:pPr>
          </w:p>
        </w:tc>
        <w:tc>
          <w:tcPr>
            <w:tcW w:w="766" w:type="pct"/>
            <w:vMerge w:val="continue"/>
            <w:tcBorders>
              <w:left w:val="single" w:color="auto" w:sz="4" w:space="0"/>
              <w:right w:val="single" w:color="000000" w:sz="4" w:space="0"/>
            </w:tcBorders>
            <w:noWrap w:val="0"/>
            <w:vAlign w:val="center"/>
          </w:tcPr>
          <w:p w14:paraId="156306C5">
            <w:pPr>
              <w:keepNext w:val="0"/>
              <w:keepLines w:val="0"/>
              <w:widowControl/>
              <w:suppressLineNumbers w:val="0"/>
              <w:jc w:val="center"/>
              <w:textAlignment w:val="center"/>
            </w:pPr>
          </w:p>
        </w:tc>
        <w:tc>
          <w:tcPr>
            <w:tcW w:w="994" w:type="pct"/>
            <w:tcBorders>
              <w:top w:val="single" w:color="auto" w:sz="4" w:space="0"/>
              <w:left w:val="single" w:color="auto" w:sz="4" w:space="0"/>
              <w:bottom w:val="single" w:color="000000" w:sz="4" w:space="0"/>
              <w:right w:val="single" w:color="auto" w:sz="4" w:space="0"/>
            </w:tcBorders>
            <w:noWrap w:val="0"/>
            <w:vAlign w:val="center"/>
          </w:tcPr>
          <w:p w14:paraId="356B0D9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活动直录播</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58C7B30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4D5E743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12</w:t>
            </w:r>
          </w:p>
        </w:tc>
        <w:tc>
          <w:tcPr>
            <w:tcW w:w="233" w:type="pct"/>
            <w:tcBorders>
              <w:top w:val="single" w:color="auto" w:sz="4" w:space="0"/>
              <w:left w:val="single" w:color="auto" w:sz="4" w:space="0"/>
              <w:bottom w:val="single" w:color="auto" w:sz="4" w:space="0"/>
              <w:right w:val="single" w:color="auto" w:sz="4" w:space="0"/>
            </w:tcBorders>
            <w:noWrap w:val="0"/>
            <w:vAlign w:val="center"/>
          </w:tcPr>
          <w:p w14:paraId="08D5CD3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场次</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27F50FC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12</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35A4D78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14:paraId="60D17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234" w:type="pct"/>
            <w:vMerge w:val="continue"/>
            <w:tcBorders>
              <w:left w:val="single" w:color="000000" w:sz="4" w:space="0"/>
              <w:bottom w:val="single" w:color="000000" w:sz="4" w:space="0"/>
              <w:right w:val="single" w:color="000000" w:sz="4" w:space="0"/>
            </w:tcBorders>
            <w:noWrap w:val="0"/>
            <w:vAlign w:val="center"/>
          </w:tcPr>
          <w:p w14:paraId="578FDCF3">
            <w:pPr>
              <w:keepNext w:val="0"/>
              <w:keepLines w:val="0"/>
              <w:widowControl/>
              <w:suppressLineNumbers w:val="0"/>
              <w:jc w:val="center"/>
              <w:textAlignment w:val="center"/>
            </w:pPr>
          </w:p>
        </w:tc>
        <w:tc>
          <w:tcPr>
            <w:tcW w:w="874" w:type="pct"/>
            <w:vMerge w:val="continue"/>
            <w:tcBorders>
              <w:left w:val="single" w:color="000000" w:sz="4" w:space="0"/>
              <w:right w:val="single" w:color="auto" w:sz="4" w:space="0"/>
            </w:tcBorders>
            <w:noWrap w:val="0"/>
            <w:vAlign w:val="center"/>
          </w:tcPr>
          <w:p w14:paraId="504B5BE6">
            <w:pPr>
              <w:keepNext w:val="0"/>
              <w:keepLines w:val="0"/>
              <w:widowControl/>
              <w:suppressLineNumbers w:val="0"/>
              <w:jc w:val="center"/>
              <w:textAlignment w:val="center"/>
            </w:pPr>
          </w:p>
        </w:tc>
        <w:tc>
          <w:tcPr>
            <w:tcW w:w="766" w:type="pct"/>
            <w:vMerge w:val="continue"/>
            <w:tcBorders>
              <w:left w:val="single" w:color="auto" w:sz="4" w:space="0"/>
              <w:right w:val="single" w:color="000000" w:sz="4" w:space="0"/>
            </w:tcBorders>
            <w:noWrap w:val="0"/>
            <w:vAlign w:val="center"/>
          </w:tcPr>
          <w:p w14:paraId="5F2F482F">
            <w:pPr>
              <w:keepNext w:val="0"/>
              <w:keepLines w:val="0"/>
              <w:widowControl/>
              <w:suppressLineNumbers w:val="0"/>
              <w:jc w:val="center"/>
              <w:textAlignment w:val="center"/>
            </w:pPr>
          </w:p>
        </w:tc>
        <w:tc>
          <w:tcPr>
            <w:tcW w:w="994" w:type="pct"/>
            <w:tcBorders>
              <w:top w:val="single" w:color="000000" w:sz="4" w:space="0"/>
              <w:left w:val="single" w:color="auto" w:sz="4" w:space="0"/>
              <w:bottom w:val="single" w:color="auto" w:sz="4" w:space="0"/>
              <w:right w:val="single" w:color="auto" w:sz="4" w:space="0"/>
            </w:tcBorders>
            <w:noWrap w:val="0"/>
            <w:vAlign w:val="center"/>
          </w:tcPr>
          <w:p w14:paraId="66D2A1C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培训人员</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0753BEB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2AC69EF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30</w:t>
            </w:r>
          </w:p>
        </w:tc>
        <w:tc>
          <w:tcPr>
            <w:tcW w:w="233" w:type="pct"/>
            <w:tcBorders>
              <w:top w:val="single" w:color="auto" w:sz="4" w:space="0"/>
              <w:left w:val="single" w:color="auto" w:sz="4" w:space="0"/>
              <w:bottom w:val="single" w:color="auto" w:sz="4" w:space="0"/>
              <w:right w:val="single" w:color="auto" w:sz="4" w:space="0"/>
            </w:tcBorders>
            <w:noWrap w:val="0"/>
            <w:vAlign w:val="center"/>
          </w:tcPr>
          <w:p w14:paraId="30FCE3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人次</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139555D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30</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4479EF2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14:paraId="5A593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234" w:type="pct"/>
            <w:vMerge w:val="continue"/>
            <w:tcBorders>
              <w:left w:val="single" w:color="000000" w:sz="4" w:space="0"/>
              <w:bottom w:val="single" w:color="000000" w:sz="4" w:space="0"/>
              <w:right w:val="single" w:color="000000" w:sz="4" w:space="0"/>
            </w:tcBorders>
            <w:noWrap w:val="0"/>
            <w:vAlign w:val="center"/>
          </w:tcPr>
          <w:p w14:paraId="44F6D8DA">
            <w:pPr>
              <w:keepNext w:val="0"/>
              <w:keepLines w:val="0"/>
              <w:widowControl/>
              <w:suppressLineNumbers w:val="0"/>
              <w:jc w:val="center"/>
              <w:textAlignment w:val="center"/>
            </w:pPr>
          </w:p>
        </w:tc>
        <w:tc>
          <w:tcPr>
            <w:tcW w:w="874" w:type="pct"/>
            <w:vMerge w:val="continue"/>
            <w:tcBorders>
              <w:left w:val="single" w:color="000000" w:sz="4" w:space="0"/>
              <w:right w:val="single" w:color="auto" w:sz="4" w:space="0"/>
            </w:tcBorders>
            <w:noWrap w:val="0"/>
            <w:vAlign w:val="center"/>
          </w:tcPr>
          <w:p w14:paraId="0C4574E4">
            <w:pPr>
              <w:keepNext w:val="0"/>
              <w:keepLines w:val="0"/>
              <w:widowControl/>
              <w:suppressLineNumbers w:val="0"/>
              <w:jc w:val="center"/>
              <w:textAlignment w:val="center"/>
            </w:pPr>
          </w:p>
        </w:tc>
        <w:tc>
          <w:tcPr>
            <w:tcW w:w="766" w:type="pct"/>
            <w:vMerge w:val="continue"/>
            <w:tcBorders>
              <w:left w:val="single" w:color="auto" w:sz="4" w:space="0"/>
              <w:right w:val="single" w:color="000000" w:sz="4" w:space="0"/>
            </w:tcBorders>
            <w:noWrap w:val="0"/>
            <w:vAlign w:val="center"/>
          </w:tcPr>
          <w:p w14:paraId="74629181">
            <w:pPr>
              <w:keepNext w:val="0"/>
              <w:keepLines w:val="0"/>
              <w:widowControl/>
              <w:suppressLineNumbers w:val="0"/>
              <w:jc w:val="center"/>
              <w:textAlignment w:val="center"/>
            </w:pPr>
          </w:p>
        </w:tc>
        <w:tc>
          <w:tcPr>
            <w:tcW w:w="994" w:type="pct"/>
            <w:tcBorders>
              <w:top w:val="single" w:color="000000" w:sz="4" w:space="0"/>
              <w:left w:val="single" w:color="auto" w:sz="4" w:space="0"/>
              <w:bottom w:val="single" w:color="auto" w:sz="4" w:space="0"/>
              <w:right w:val="single" w:color="auto" w:sz="4" w:space="0"/>
            </w:tcBorders>
            <w:noWrap w:val="0"/>
            <w:vAlign w:val="center"/>
          </w:tcPr>
          <w:p w14:paraId="63D9C8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在线场馆及活动更新与推送</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33E7DBB1">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3D8009FD">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14</w:t>
            </w:r>
          </w:p>
        </w:tc>
        <w:tc>
          <w:tcPr>
            <w:tcW w:w="233" w:type="pct"/>
            <w:tcBorders>
              <w:top w:val="single" w:color="auto" w:sz="4" w:space="0"/>
              <w:left w:val="single" w:color="auto" w:sz="4" w:space="0"/>
              <w:bottom w:val="single" w:color="auto" w:sz="4" w:space="0"/>
              <w:right w:val="single" w:color="auto" w:sz="4" w:space="0"/>
            </w:tcBorders>
            <w:noWrap w:val="0"/>
            <w:vAlign w:val="center"/>
          </w:tcPr>
          <w:p w14:paraId="2195FB10">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条</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16F2630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14</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04A45E69">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14:paraId="77F8F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trPr>
        <w:tc>
          <w:tcPr>
            <w:tcW w:w="234" w:type="pct"/>
            <w:vMerge w:val="continue"/>
            <w:tcBorders>
              <w:left w:val="single" w:color="000000" w:sz="4" w:space="0"/>
              <w:bottom w:val="single" w:color="000000" w:sz="4" w:space="0"/>
              <w:right w:val="single" w:color="000000" w:sz="4" w:space="0"/>
            </w:tcBorders>
            <w:noWrap w:val="0"/>
            <w:vAlign w:val="center"/>
          </w:tcPr>
          <w:p w14:paraId="0A9FE1A8">
            <w:pPr>
              <w:keepNext w:val="0"/>
              <w:keepLines w:val="0"/>
              <w:widowControl/>
              <w:suppressLineNumbers w:val="0"/>
              <w:jc w:val="center"/>
              <w:textAlignment w:val="center"/>
            </w:pPr>
          </w:p>
        </w:tc>
        <w:tc>
          <w:tcPr>
            <w:tcW w:w="874" w:type="pct"/>
            <w:vMerge w:val="continue"/>
            <w:tcBorders>
              <w:left w:val="single" w:color="000000" w:sz="4" w:space="0"/>
              <w:right w:val="single" w:color="auto" w:sz="4" w:space="0"/>
            </w:tcBorders>
            <w:noWrap w:val="0"/>
            <w:vAlign w:val="center"/>
          </w:tcPr>
          <w:p w14:paraId="3DBF53BC">
            <w:pPr>
              <w:keepNext w:val="0"/>
              <w:keepLines w:val="0"/>
              <w:widowControl/>
              <w:suppressLineNumbers w:val="0"/>
              <w:jc w:val="center"/>
              <w:textAlignment w:val="center"/>
            </w:pPr>
          </w:p>
        </w:tc>
        <w:tc>
          <w:tcPr>
            <w:tcW w:w="766" w:type="pct"/>
            <w:vMerge w:val="continue"/>
            <w:tcBorders>
              <w:left w:val="single" w:color="auto" w:sz="4" w:space="0"/>
              <w:bottom w:val="single" w:color="auto" w:sz="4" w:space="0"/>
              <w:right w:val="single" w:color="000000" w:sz="4" w:space="0"/>
            </w:tcBorders>
            <w:noWrap w:val="0"/>
            <w:vAlign w:val="center"/>
          </w:tcPr>
          <w:p w14:paraId="6411345A">
            <w:pPr>
              <w:keepNext w:val="0"/>
              <w:keepLines w:val="0"/>
              <w:widowControl/>
              <w:suppressLineNumbers w:val="0"/>
              <w:jc w:val="center"/>
              <w:textAlignment w:val="center"/>
            </w:pPr>
          </w:p>
        </w:tc>
        <w:tc>
          <w:tcPr>
            <w:tcW w:w="994" w:type="pct"/>
            <w:tcBorders>
              <w:top w:val="single" w:color="000000" w:sz="4" w:space="0"/>
              <w:left w:val="single" w:color="auto" w:sz="4" w:space="0"/>
              <w:bottom w:val="single" w:color="auto" w:sz="4" w:space="0"/>
              <w:right w:val="single" w:color="auto" w:sz="4" w:space="0"/>
            </w:tcBorders>
            <w:noWrap w:val="0"/>
            <w:vAlign w:val="center"/>
          </w:tcPr>
          <w:p w14:paraId="2663E7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基层文创及非遗等产品线上展示</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47061432">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5DCFE904">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w:t>
            </w:r>
          </w:p>
        </w:tc>
        <w:tc>
          <w:tcPr>
            <w:tcW w:w="233" w:type="pct"/>
            <w:tcBorders>
              <w:top w:val="single" w:color="auto" w:sz="4" w:space="0"/>
              <w:left w:val="single" w:color="auto" w:sz="4" w:space="0"/>
              <w:bottom w:val="single" w:color="auto" w:sz="4" w:space="0"/>
              <w:right w:val="single" w:color="auto" w:sz="4" w:space="0"/>
            </w:tcBorders>
            <w:noWrap w:val="0"/>
            <w:vAlign w:val="center"/>
          </w:tcPr>
          <w:p w14:paraId="27902E12">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条</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624632B3">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13D8B80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14:paraId="08F9E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2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D1022B">
            <w:pPr>
              <w:jc w:val="center"/>
              <w:rPr>
                <w:rFonts w:hint="eastAsia" w:ascii="宋体" w:hAnsi="宋体" w:eastAsia="宋体" w:cs="宋体"/>
                <w:i w:val="0"/>
                <w:iCs w:val="0"/>
                <w:color w:val="000000"/>
                <w:sz w:val="18"/>
                <w:szCs w:val="18"/>
                <w:u w:val="none"/>
              </w:rPr>
            </w:pPr>
          </w:p>
        </w:tc>
        <w:tc>
          <w:tcPr>
            <w:tcW w:w="874" w:type="pct"/>
            <w:vMerge w:val="continue"/>
            <w:tcBorders>
              <w:left w:val="single" w:color="000000" w:sz="4" w:space="0"/>
              <w:bottom w:val="single" w:color="000000" w:sz="4" w:space="0"/>
              <w:right w:val="single" w:color="000000" w:sz="4" w:space="0"/>
            </w:tcBorders>
            <w:noWrap w:val="0"/>
            <w:vAlign w:val="center"/>
          </w:tcPr>
          <w:p w14:paraId="7D491D51">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66" w:type="pct"/>
            <w:tcBorders>
              <w:top w:val="single" w:color="000000" w:sz="4" w:space="0"/>
              <w:left w:val="single" w:color="000000" w:sz="4" w:space="0"/>
              <w:bottom w:val="single" w:color="auto" w:sz="4" w:space="0"/>
              <w:right w:val="single" w:color="auto" w:sz="4" w:space="0"/>
            </w:tcBorders>
            <w:noWrap w:val="0"/>
            <w:vAlign w:val="center"/>
          </w:tcPr>
          <w:p w14:paraId="04FA06B2">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质量指标</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214306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公共文化云建设年度完成率</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428645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73FFA01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233" w:type="pct"/>
            <w:tcBorders>
              <w:top w:val="single" w:color="auto" w:sz="4" w:space="0"/>
              <w:left w:val="single" w:color="auto" w:sz="4" w:space="0"/>
              <w:bottom w:val="single" w:color="auto" w:sz="4" w:space="0"/>
              <w:right w:val="single" w:color="auto" w:sz="4" w:space="0"/>
            </w:tcBorders>
            <w:noWrap w:val="0"/>
            <w:vAlign w:val="center"/>
          </w:tcPr>
          <w:p w14:paraId="1C697A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299656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2C15E31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14:paraId="20186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234" w:type="pct"/>
            <w:vMerge w:val="continue"/>
            <w:tcBorders>
              <w:left w:val="single" w:color="000000" w:sz="4" w:space="0"/>
              <w:bottom w:val="single" w:color="000000" w:sz="4" w:space="0"/>
              <w:right w:val="single" w:color="000000" w:sz="4" w:space="0"/>
            </w:tcBorders>
            <w:noWrap w:val="0"/>
            <w:vAlign w:val="center"/>
          </w:tcPr>
          <w:p w14:paraId="510519AA">
            <w:pPr>
              <w:keepNext w:val="0"/>
              <w:keepLines w:val="0"/>
              <w:widowControl/>
              <w:suppressLineNumbers w:val="0"/>
              <w:jc w:val="center"/>
              <w:textAlignment w:val="center"/>
            </w:pPr>
          </w:p>
        </w:tc>
        <w:tc>
          <w:tcPr>
            <w:tcW w:w="874" w:type="pct"/>
            <w:vMerge w:val="continue"/>
            <w:tcBorders>
              <w:left w:val="single" w:color="000000" w:sz="4" w:space="0"/>
              <w:bottom w:val="single" w:color="000000" w:sz="4" w:space="0"/>
              <w:right w:val="single" w:color="000000" w:sz="4" w:space="0"/>
            </w:tcBorders>
            <w:noWrap w:val="0"/>
            <w:vAlign w:val="center"/>
          </w:tcPr>
          <w:p w14:paraId="073335E9">
            <w:pPr>
              <w:keepNext w:val="0"/>
              <w:keepLines w:val="0"/>
              <w:widowControl/>
              <w:suppressLineNumbers w:val="0"/>
              <w:jc w:val="center"/>
              <w:textAlignment w:val="center"/>
            </w:pPr>
          </w:p>
        </w:tc>
        <w:tc>
          <w:tcPr>
            <w:tcW w:w="766" w:type="pct"/>
            <w:tcBorders>
              <w:top w:val="single" w:color="000000" w:sz="4" w:space="0"/>
              <w:left w:val="single" w:color="000000" w:sz="4" w:space="0"/>
              <w:bottom w:val="single" w:color="auto" w:sz="4" w:space="0"/>
              <w:right w:val="single" w:color="000000" w:sz="4" w:space="0"/>
            </w:tcBorders>
            <w:noWrap w:val="0"/>
            <w:vAlign w:val="center"/>
          </w:tcPr>
          <w:p w14:paraId="7CA59D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时效指标</w:t>
            </w:r>
          </w:p>
        </w:tc>
        <w:tc>
          <w:tcPr>
            <w:tcW w:w="994" w:type="pct"/>
            <w:tcBorders>
              <w:top w:val="single" w:color="auto" w:sz="4" w:space="0"/>
              <w:left w:val="single" w:color="000000" w:sz="4" w:space="0"/>
              <w:bottom w:val="single" w:color="auto" w:sz="4" w:space="0"/>
              <w:right w:val="single" w:color="000000" w:sz="4" w:space="0"/>
            </w:tcBorders>
            <w:noWrap w:val="0"/>
            <w:vAlign w:val="center"/>
          </w:tcPr>
          <w:p w14:paraId="2CBFA0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公共文化云建设时间</w:t>
            </w:r>
          </w:p>
        </w:tc>
        <w:tc>
          <w:tcPr>
            <w:tcW w:w="314" w:type="pct"/>
            <w:tcBorders>
              <w:top w:val="single" w:color="auto" w:sz="4" w:space="0"/>
              <w:left w:val="single" w:color="000000" w:sz="4" w:space="0"/>
              <w:bottom w:val="single" w:color="auto" w:sz="4" w:space="0"/>
              <w:right w:val="single" w:color="000000" w:sz="4" w:space="0"/>
            </w:tcBorders>
            <w:noWrap w:val="0"/>
            <w:vAlign w:val="center"/>
          </w:tcPr>
          <w:p w14:paraId="10EC6E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000000" w:sz="4" w:space="0"/>
              <w:bottom w:val="single" w:color="auto" w:sz="4" w:space="0"/>
              <w:right w:val="single" w:color="000000" w:sz="4" w:space="0"/>
            </w:tcBorders>
            <w:noWrap w:val="0"/>
            <w:vAlign w:val="center"/>
          </w:tcPr>
          <w:p w14:paraId="44E070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233" w:type="pct"/>
            <w:tcBorders>
              <w:top w:val="single" w:color="auto" w:sz="4" w:space="0"/>
              <w:left w:val="single" w:color="000000" w:sz="4" w:space="0"/>
              <w:bottom w:val="single" w:color="000000" w:sz="4" w:space="0"/>
              <w:right w:val="single" w:color="000000" w:sz="4" w:space="0"/>
            </w:tcBorders>
            <w:noWrap w:val="0"/>
            <w:vAlign w:val="center"/>
          </w:tcPr>
          <w:p w14:paraId="3F56CF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w:t>
            </w:r>
          </w:p>
        </w:tc>
        <w:tc>
          <w:tcPr>
            <w:tcW w:w="569" w:type="pct"/>
            <w:tcBorders>
              <w:top w:val="single" w:color="auto" w:sz="4" w:space="0"/>
              <w:left w:val="single" w:color="000000" w:sz="4" w:space="0"/>
              <w:bottom w:val="single" w:color="000000" w:sz="4" w:space="0"/>
              <w:right w:val="single" w:color="000000" w:sz="4" w:space="0"/>
            </w:tcBorders>
            <w:noWrap w:val="0"/>
            <w:vAlign w:val="center"/>
          </w:tcPr>
          <w:p w14:paraId="708D4E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285" w:type="pct"/>
            <w:tcBorders>
              <w:top w:val="single" w:color="auto" w:sz="4" w:space="0"/>
              <w:left w:val="single" w:color="000000" w:sz="4" w:space="0"/>
              <w:bottom w:val="single" w:color="000000" w:sz="4" w:space="0"/>
              <w:right w:val="single" w:color="auto" w:sz="4" w:space="0"/>
            </w:tcBorders>
            <w:noWrap w:val="0"/>
            <w:vAlign w:val="center"/>
          </w:tcPr>
          <w:p w14:paraId="70F4BB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14:paraId="2E95B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07251004">
            <w:pPr>
              <w:jc w:val="center"/>
              <w:rPr>
                <w:rFonts w:hint="eastAsia" w:ascii="宋体" w:hAnsi="宋体" w:eastAsia="宋体" w:cs="宋体"/>
                <w:i w:val="0"/>
                <w:iCs w:val="0"/>
                <w:color w:val="000000"/>
                <w:sz w:val="18"/>
                <w:szCs w:val="18"/>
                <w:u w:val="none"/>
              </w:rPr>
            </w:pPr>
          </w:p>
        </w:tc>
        <w:tc>
          <w:tcPr>
            <w:tcW w:w="874" w:type="pct"/>
            <w:vMerge w:val="restart"/>
            <w:tcBorders>
              <w:top w:val="single" w:color="000000" w:sz="4" w:space="0"/>
              <w:left w:val="single" w:color="000000" w:sz="4" w:space="0"/>
              <w:right w:val="single" w:color="auto" w:sz="4" w:space="0"/>
            </w:tcBorders>
            <w:noWrap w:val="0"/>
            <w:vAlign w:val="center"/>
          </w:tcPr>
          <w:p w14:paraId="4608E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66" w:type="pct"/>
            <w:tcBorders>
              <w:top w:val="single" w:color="auto" w:sz="4" w:space="0"/>
              <w:left w:val="single" w:color="auto" w:sz="4" w:space="0"/>
              <w:bottom w:val="single" w:color="auto" w:sz="4" w:space="0"/>
              <w:right w:val="single" w:color="auto" w:sz="4" w:space="0"/>
            </w:tcBorders>
            <w:noWrap w:val="0"/>
            <w:vAlign w:val="center"/>
          </w:tcPr>
          <w:p w14:paraId="6E5E2E6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7EB4EB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公共文化服务人次增长率</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01ED13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497488E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233" w:type="pct"/>
            <w:tcBorders>
              <w:top w:val="single" w:color="000000" w:sz="4" w:space="0"/>
              <w:left w:val="single" w:color="auto" w:sz="4" w:space="0"/>
              <w:right w:val="single" w:color="000000" w:sz="4" w:space="0"/>
            </w:tcBorders>
            <w:noWrap w:val="0"/>
            <w:vAlign w:val="center"/>
          </w:tcPr>
          <w:p w14:paraId="5EC342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69" w:type="pct"/>
            <w:tcBorders>
              <w:top w:val="single" w:color="000000" w:sz="4" w:space="0"/>
              <w:left w:val="single" w:color="000000" w:sz="4" w:space="0"/>
              <w:right w:val="single" w:color="000000" w:sz="4" w:space="0"/>
            </w:tcBorders>
            <w:noWrap w:val="0"/>
            <w:vAlign w:val="center"/>
          </w:tcPr>
          <w:p w14:paraId="5601FE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285" w:type="pct"/>
            <w:tcBorders>
              <w:top w:val="single" w:color="000000" w:sz="4" w:space="0"/>
              <w:left w:val="single" w:color="000000" w:sz="4" w:space="0"/>
              <w:right w:val="single" w:color="000000" w:sz="4" w:space="0"/>
            </w:tcBorders>
            <w:noWrap w:val="0"/>
            <w:vAlign w:val="center"/>
          </w:tcPr>
          <w:p w14:paraId="2160435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14:paraId="08D7E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44174CF6">
            <w:pPr>
              <w:jc w:val="center"/>
              <w:rPr>
                <w:rFonts w:hint="eastAsia" w:ascii="宋体" w:hAnsi="宋体" w:eastAsia="宋体" w:cs="宋体"/>
                <w:i w:val="0"/>
                <w:iCs w:val="0"/>
                <w:color w:val="000000"/>
                <w:sz w:val="18"/>
                <w:szCs w:val="18"/>
                <w:u w:val="none"/>
              </w:rPr>
            </w:pPr>
          </w:p>
        </w:tc>
        <w:tc>
          <w:tcPr>
            <w:tcW w:w="874" w:type="pct"/>
            <w:vMerge w:val="continue"/>
            <w:tcBorders>
              <w:left w:val="single" w:color="000000" w:sz="4" w:space="0"/>
              <w:right w:val="single" w:color="auto" w:sz="4" w:space="0"/>
            </w:tcBorders>
            <w:noWrap w:val="0"/>
            <w:vAlign w:val="center"/>
          </w:tcPr>
          <w:p w14:paraId="128546CA">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66" w:type="pct"/>
            <w:tcBorders>
              <w:top w:val="single" w:color="auto" w:sz="4" w:space="0"/>
              <w:left w:val="single" w:color="auto" w:sz="4" w:space="0"/>
              <w:bottom w:val="single" w:color="auto" w:sz="4" w:space="0"/>
              <w:right w:val="single" w:color="auto" w:sz="4" w:space="0"/>
            </w:tcBorders>
            <w:noWrap w:val="0"/>
            <w:vAlign w:val="center"/>
          </w:tcPr>
          <w:p w14:paraId="543CDA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可持续发展指标</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0A7D76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对黑水文化的宣传与发展</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19A0A41B">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6D08473C">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90</w:t>
            </w:r>
          </w:p>
        </w:tc>
        <w:tc>
          <w:tcPr>
            <w:tcW w:w="233" w:type="pct"/>
            <w:tcBorders>
              <w:top w:val="single" w:color="000000" w:sz="4" w:space="0"/>
              <w:left w:val="single" w:color="auto" w:sz="4" w:space="0"/>
              <w:right w:val="single" w:color="000000" w:sz="4" w:space="0"/>
            </w:tcBorders>
            <w:noWrap w:val="0"/>
            <w:vAlign w:val="center"/>
          </w:tcPr>
          <w:p w14:paraId="7368EAD8">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69" w:type="pct"/>
            <w:tcBorders>
              <w:top w:val="single" w:color="000000" w:sz="4" w:space="0"/>
              <w:left w:val="single" w:color="000000" w:sz="4" w:space="0"/>
              <w:right w:val="single" w:color="000000" w:sz="4" w:space="0"/>
            </w:tcBorders>
            <w:noWrap w:val="0"/>
            <w:vAlign w:val="center"/>
          </w:tcPr>
          <w:p w14:paraId="56AF4E47">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90</w:t>
            </w:r>
          </w:p>
        </w:tc>
        <w:tc>
          <w:tcPr>
            <w:tcW w:w="285" w:type="pct"/>
            <w:tcBorders>
              <w:top w:val="single" w:color="000000" w:sz="4" w:space="0"/>
              <w:left w:val="single" w:color="000000" w:sz="4" w:space="0"/>
              <w:right w:val="single" w:color="000000" w:sz="4" w:space="0"/>
            </w:tcBorders>
            <w:noWrap w:val="0"/>
            <w:vAlign w:val="center"/>
          </w:tcPr>
          <w:p w14:paraId="6BEBF9B7">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14:paraId="70C2C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34" w:type="pct"/>
            <w:vMerge w:val="continue"/>
            <w:tcBorders>
              <w:top w:val="single" w:color="000000" w:sz="4" w:space="0"/>
              <w:left w:val="single" w:color="000000" w:sz="4" w:space="0"/>
              <w:bottom w:val="single" w:color="000000" w:sz="4" w:space="0"/>
              <w:right w:val="single" w:color="000000" w:sz="4" w:space="0"/>
            </w:tcBorders>
            <w:noWrap w:val="0"/>
            <w:vAlign w:val="center"/>
          </w:tcPr>
          <w:p w14:paraId="2EBD75E8">
            <w:pPr>
              <w:jc w:val="center"/>
              <w:rPr>
                <w:rFonts w:hint="eastAsia" w:ascii="宋体" w:hAnsi="宋体" w:eastAsia="宋体" w:cs="宋体"/>
                <w:i w:val="0"/>
                <w:iCs w:val="0"/>
                <w:color w:val="000000"/>
                <w:sz w:val="18"/>
                <w:szCs w:val="18"/>
                <w:u w:val="none"/>
              </w:rPr>
            </w:pPr>
          </w:p>
        </w:tc>
        <w:tc>
          <w:tcPr>
            <w:tcW w:w="874" w:type="pct"/>
            <w:vMerge w:val="continue"/>
            <w:tcBorders>
              <w:left w:val="single" w:color="000000" w:sz="4" w:space="0"/>
              <w:bottom w:val="single" w:color="auto" w:sz="4" w:space="0"/>
              <w:right w:val="single" w:color="auto" w:sz="4" w:space="0"/>
            </w:tcBorders>
            <w:noWrap w:val="0"/>
            <w:vAlign w:val="center"/>
          </w:tcPr>
          <w:p w14:paraId="37BECAAC">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66" w:type="pct"/>
            <w:tcBorders>
              <w:top w:val="single" w:color="auto" w:sz="4" w:space="0"/>
              <w:left w:val="single" w:color="auto" w:sz="4" w:space="0"/>
              <w:bottom w:val="single" w:color="auto" w:sz="4" w:space="0"/>
              <w:right w:val="single" w:color="auto" w:sz="4" w:space="0"/>
            </w:tcBorders>
            <w:noWrap w:val="0"/>
            <w:vAlign w:val="center"/>
          </w:tcPr>
          <w:p w14:paraId="39719A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可持续影响指标</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367949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黑水文化在全县的持续影响程度</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7A502288">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05DA407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33" w:type="pct"/>
            <w:tcBorders>
              <w:top w:val="single" w:color="000000" w:sz="4" w:space="0"/>
              <w:left w:val="single" w:color="auto" w:sz="4" w:space="0"/>
              <w:bottom w:val="single" w:color="auto" w:sz="4" w:space="0"/>
              <w:right w:val="single" w:color="000000" w:sz="4" w:space="0"/>
            </w:tcBorders>
            <w:noWrap w:val="0"/>
            <w:vAlign w:val="center"/>
          </w:tcPr>
          <w:p w14:paraId="5D5408C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69" w:type="pct"/>
            <w:tcBorders>
              <w:top w:val="single" w:color="000000" w:sz="4" w:space="0"/>
              <w:left w:val="single" w:color="000000" w:sz="4" w:space="0"/>
              <w:bottom w:val="single" w:color="auto" w:sz="4" w:space="0"/>
              <w:right w:val="single" w:color="000000" w:sz="4" w:space="0"/>
            </w:tcBorders>
            <w:noWrap w:val="0"/>
            <w:vAlign w:val="center"/>
          </w:tcPr>
          <w:p w14:paraId="700D176B">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auto" w:sz="4" w:space="0"/>
              <w:right w:val="single" w:color="000000" w:sz="4" w:space="0"/>
            </w:tcBorders>
            <w:noWrap w:val="0"/>
            <w:vAlign w:val="center"/>
          </w:tcPr>
          <w:p w14:paraId="34E0A3DF">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14:paraId="764A8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34" w:type="pct"/>
            <w:vMerge w:val="continue"/>
            <w:tcBorders>
              <w:top w:val="single" w:color="000000" w:sz="4" w:space="0"/>
              <w:left w:val="single" w:color="000000" w:sz="4" w:space="0"/>
              <w:bottom w:val="single" w:color="000000" w:sz="4" w:space="0"/>
              <w:right w:val="single" w:color="auto" w:sz="4" w:space="0"/>
            </w:tcBorders>
            <w:noWrap w:val="0"/>
            <w:vAlign w:val="center"/>
          </w:tcPr>
          <w:p w14:paraId="1FD2921D">
            <w:pPr>
              <w:jc w:val="center"/>
              <w:rPr>
                <w:rFonts w:hint="eastAsia" w:ascii="宋体" w:hAnsi="宋体" w:eastAsia="宋体" w:cs="宋体"/>
                <w:i w:val="0"/>
                <w:iCs w:val="0"/>
                <w:color w:val="000000"/>
                <w:sz w:val="18"/>
                <w:szCs w:val="18"/>
                <w:u w:val="none"/>
              </w:rPr>
            </w:pPr>
          </w:p>
        </w:tc>
        <w:tc>
          <w:tcPr>
            <w:tcW w:w="874" w:type="pct"/>
            <w:tcBorders>
              <w:top w:val="single" w:color="auto" w:sz="4" w:space="0"/>
              <w:left w:val="single" w:color="auto" w:sz="4" w:space="0"/>
              <w:bottom w:val="single" w:color="auto" w:sz="4" w:space="0"/>
              <w:right w:val="single" w:color="auto" w:sz="4" w:space="0"/>
            </w:tcBorders>
            <w:noWrap w:val="0"/>
            <w:vAlign w:val="center"/>
          </w:tcPr>
          <w:p w14:paraId="3D276360">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766" w:type="pct"/>
            <w:tcBorders>
              <w:top w:val="single" w:color="auto" w:sz="4" w:space="0"/>
              <w:left w:val="single" w:color="auto" w:sz="4" w:space="0"/>
              <w:bottom w:val="single" w:color="auto" w:sz="4" w:space="0"/>
              <w:right w:val="single" w:color="auto" w:sz="4" w:space="0"/>
            </w:tcBorders>
            <w:noWrap w:val="0"/>
            <w:vAlign w:val="center"/>
          </w:tcPr>
          <w:p w14:paraId="159286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6C1C55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服务对象 满意度指标</w:t>
            </w:r>
          </w:p>
        </w:tc>
        <w:tc>
          <w:tcPr>
            <w:tcW w:w="314" w:type="pct"/>
            <w:tcBorders>
              <w:top w:val="single" w:color="auto" w:sz="4" w:space="0"/>
              <w:left w:val="single" w:color="auto" w:sz="4" w:space="0"/>
              <w:bottom w:val="single" w:color="auto" w:sz="4" w:space="0"/>
              <w:right w:val="single" w:color="auto" w:sz="4" w:space="0"/>
            </w:tcBorders>
            <w:noWrap w:val="0"/>
            <w:vAlign w:val="center"/>
          </w:tcPr>
          <w:p w14:paraId="666F19CB">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5478C777">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90</w:t>
            </w:r>
          </w:p>
        </w:tc>
        <w:tc>
          <w:tcPr>
            <w:tcW w:w="233" w:type="pct"/>
            <w:tcBorders>
              <w:top w:val="single" w:color="auto" w:sz="4" w:space="0"/>
              <w:left w:val="single" w:color="auto" w:sz="4" w:space="0"/>
              <w:bottom w:val="single" w:color="auto" w:sz="4" w:space="0"/>
              <w:right w:val="single" w:color="auto" w:sz="4" w:space="0"/>
            </w:tcBorders>
            <w:noWrap w:val="0"/>
            <w:vAlign w:val="center"/>
          </w:tcPr>
          <w:p w14:paraId="5EA8B42C">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3C7F7710">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90</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480865F7">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14:paraId="1A501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234" w:type="pct"/>
            <w:vMerge w:val="continue"/>
            <w:tcBorders>
              <w:left w:val="single" w:color="000000" w:sz="4" w:space="0"/>
              <w:bottom w:val="single" w:color="000000" w:sz="4" w:space="0"/>
              <w:right w:val="single" w:color="auto" w:sz="4" w:space="0"/>
            </w:tcBorders>
            <w:noWrap w:val="0"/>
            <w:vAlign w:val="center"/>
          </w:tcPr>
          <w:p w14:paraId="606EAB9C">
            <w:pPr>
              <w:keepNext w:val="0"/>
              <w:keepLines w:val="0"/>
              <w:widowControl/>
              <w:suppressLineNumbers w:val="0"/>
              <w:jc w:val="center"/>
              <w:textAlignment w:val="center"/>
            </w:pPr>
          </w:p>
        </w:tc>
        <w:tc>
          <w:tcPr>
            <w:tcW w:w="874" w:type="pct"/>
            <w:tcBorders>
              <w:top w:val="single" w:color="auto" w:sz="4" w:space="0"/>
              <w:left w:val="single" w:color="auto" w:sz="4" w:space="0"/>
              <w:bottom w:val="single" w:color="auto" w:sz="4" w:space="0"/>
              <w:right w:val="single" w:color="auto" w:sz="4" w:space="0"/>
            </w:tcBorders>
            <w:noWrap w:val="0"/>
            <w:vAlign w:val="center"/>
          </w:tcPr>
          <w:p w14:paraId="5A20718B">
            <w:pPr>
              <w:keepNext w:val="0"/>
              <w:keepLines w:val="0"/>
              <w:widowControl/>
              <w:suppressLineNumbers w:val="0"/>
              <w:jc w:val="center"/>
              <w:textAlignment w:val="center"/>
              <w:rPr>
                <w:rFonts w:hint="eastAsia" w:eastAsia="仿宋_GB2312"/>
                <w:lang w:eastAsia="zh-CN"/>
              </w:rPr>
            </w:pPr>
            <w:r>
              <w:rPr>
                <w:rFonts w:ascii="宋体" w:hAnsi="宋体" w:eastAsia="宋体" w:cs="宋体"/>
                <w:i w:val="0"/>
                <w:iCs w:val="0"/>
                <w:color w:val="000000"/>
                <w:kern w:val="0"/>
                <w:sz w:val="18"/>
                <w:szCs w:val="18"/>
                <w:u w:val="none"/>
                <w:lang w:val="en-US" w:eastAsia="zh-CN" w:bidi="ar"/>
              </w:rPr>
              <w:t>成本指标</w:t>
            </w:r>
          </w:p>
        </w:tc>
        <w:tc>
          <w:tcPr>
            <w:tcW w:w="766" w:type="pct"/>
            <w:tcBorders>
              <w:top w:val="single" w:color="auto" w:sz="4" w:space="0"/>
              <w:left w:val="single" w:color="auto" w:sz="4" w:space="0"/>
              <w:bottom w:val="single" w:color="auto" w:sz="4" w:space="0"/>
              <w:right w:val="single" w:color="auto" w:sz="4" w:space="0"/>
            </w:tcBorders>
            <w:noWrap w:val="0"/>
            <w:vAlign w:val="center"/>
          </w:tcPr>
          <w:p w14:paraId="3DF5FAF9">
            <w:pPr>
              <w:keepNext w:val="0"/>
              <w:keepLines w:val="0"/>
              <w:widowControl/>
              <w:suppressLineNumbers w:val="0"/>
              <w:jc w:val="center"/>
              <w:textAlignment w:val="center"/>
              <w:rPr>
                <w:rFonts w:hint="eastAsia" w:eastAsia="仿宋_GB2312"/>
                <w:lang w:eastAsia="zh-CN"/>
              </w:rPr>
            </w:pPr>
            <w:r>
              <w:rPr>
                <w:rFonts w:ascii="宋体" w:hAnsi="宋体" w:eastAsia="宋体" w:cs="宋体"/>
                <w:i w:val="0"/>
                <w:iCs w:val="0"/>
                <w:color w:val="000000"/>
                <w:kern w:val="0"/>
                <w:sz w:val="18"/>
                <w:szCs w:val="18"/>
                <w:u w:val="none"/>
                <w:lang w:val="en-US" w:eastAsia="zh-CN" w:bidi="ar"/>
              </w:rPr>
              <w:t>经济成本指标</w:t>
            </w:r>
          </w:p>
        </w:tc>
        <w:tc>
          <w:tcPr>
            <w:tcW w:w="994" w:type="pct"/>
            <w:tcBorders>
              <w:top w:val="single" w:color="auto" w:sz="4" w:space="0"/>
              <w:left w:val="single" w:color="auto" w:sz="4" w:space="0"/>
              <w:bottom w:val="single" w:color="auto" w:sz="4" w:space="0"/>
              <w:right w:val="single" w:color="auto" w:sz="4" w:space="0"/>
            </w:tcBorders>
            <w:noWrap w:val="0"/>
            <w:vAlign w:val="center"/>
          </w:tcPr>
          <w:p w14:paraId="24DFE4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项目概算范围内</w:t>
            </w:r>
          </w:p>
        </w:tc>
        <w:tc>
          <w:tcPr>
            <w:tcW w:w="314" w:type="pct"/>
            <w:tcBorders>
              <w:top w:val="single" w:color="auto" w:sz="4" w:space="0"/>
              <w:left w:val="single" w:color="auto" w:sz="4" w:space="0"/>
              <w:bottom w:val="single" w:color="000000" w:sz="4" w:space="0"/>
              <w:right w:val="single" w:color="auto" w:sz="4" w:space="0"/>
            </w:tcBorders>
            <w:noWrap w:val="0"/>
            <w:vAlign w:val="center"/>
          </w:tcPr>
          <w:p w14:paraId="181C23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1E0E095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w:t>
            </w:r>
          </w:p>
        </w:tc>
        <w:tc>
          <w:tcPr>
            <w:tcW w:w="233" w:type="pct"/>
            <w:tcBorders>
              <w:top w:val="single" w:color="auto" w:sz="4" w:space="0"/>
              <w:left w:val="single" w:color="auto" w:sz="4" w:space="0"/>
              <w:bottom w:val="single" w:color="auto" w:sz="4" w:space="0"/>
              <w:right w:val="single" w:color="auto" w:sz="4" w:space="0"/>
            </w:tcBorders>
            <w:noWrap w:val="0"/>
            <w:vAlign w:val="center"/>
          </w:tcPr>
          <w:p w14:paraId="29CA44D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万元</w:t>
            </w:r>
          </w:p>
        </w:tc>
        <w:tc>
          <w:tcPr>
            <w:tcW w:w="569" w:type="pct"/>
            <w:tcBorders>
              <w:top w:val="single" w:color="auto" w:sz="4" w:space="0"/>
              <w:left w:val="single" w:color="auto" w:sz="4" w:space="0"/>
              <w:bottom w:val="single" w:color="auto" w:sz="4" w:space="0"/>
              <w:right w:val="single" w:color="auto" w:sz="4" w:space="0"/>
            </w:tcBorders>
            <w:noWrap w:val="0"/>
            <w:vAlign w:val="center"/>
          </w:tcPr>
          <w:p w14:paraId="1D4B8E7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19.5</w:t>
            </w:r>
          </w:p>
        </w:tc>
        <w:tc>
          <w:tcPr>
            <w:tcW w:w="285" w:type="pct"/>
            <w:tcBorders>
              <w:top w:val="single" w:color="auto" w:sz="4" w:space="0"/>
              <w:left w:val="single" w:color="auto" w:sz="4" w:space="0"/>
              <w:bottom w:val="single" w:color="auto" w:sz="4" w:space="0"/>
              <w:right w:val="single" w:color="auto" w:sz="4" w:space="0"/>
            </w:tcBorders>
            <w:noWrap w:val="0"/>
            <w:vAlign w:val="center"/>
          </w:tcPr>
          <w:p w14:paraId="1E2F9C6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14:paraId="5AAAE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714" w:type="pct"/>
            <w:gridSpan w:val="8"/>
            <w:tcBorders>
              <w:top w:val="single" w:color="000000" w:sz="4" w:space="0"/>
              <w:left w:val="single" w:color="000000" w:sz="4" w:space="0"/>
              <w:bottom w:val="single" w:color="000000" w:sz="4" w:space="0"/>
              <w:right w:val="single" w:color="000000" w:sz="4" w:space="0"/>
            </w:tcBorders>
            <w:noWrap w:val="0"/>
            <w:vAlign w:val="center"/>
          </w:tcPr>
          <w:p w14:paraId="6F8B1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14:paraId="75B99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bl>
    <w:p w14:paraId="53A09522">
      <w:pPr>
        <w:spacing w:line="580" w:lineRule="exact"/>
        <w:rPr>
          <w:rFonts w:hint="default" w:ascii="仿宋_GB2312" w:hAnsi="仿宋" w:eastAsia="仿宋_GB2312" w:cs="仿宋_GB2312"/>
          <w:sz w:val="32"/>
          <w:szCs w:val="32"/>
        </w:rPr>
      </w:pPr>
    </w:p>
    <w:p w14:paraId="4ECFB589">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二、评价结论及绩效分析</w:t>
      </w:r>
    </w:p>
    <w:p w14:paraId="178DE37E">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（一）评价结论</w:t>
      </w:r>
    </w:p>
    <w:p w14:paraId="0498290C">
      <w:pPr>
        <w:spacing w:line="580" w:lineRule="exact"/>
        <w:ind w:firstLine="640" w:firstLineChars="200"/>
        <w:rPr>
          <w:rFonts w:ascii="仿宋_GB2312" w:hAnsi="仿宋" w:eastAsia="仿宋_GB2312" w:cs="仿宋_GB2312"/>
          <w:sz w:val="32"/>
          <w:szCs w:val="32"/>
        </w:rPr>
      </w:pPr>
      <w:r>
        <w:rPr>
          <w:rFonts w:hint="eastAsia" w:ascii="仿宋_GB2312" w:hAnsi="仿宋_GB2312" w:eastAsia="仿宋_GB2312" w:cs="仿宋_GB2312"/>
          <w:b w:val="0"/>
          <w:bCs w:val="0"/>
          <w:kern w:val="0"/>
          <w:position w:val="0"/>
          <w:sz w:val="32"/>
          <w:szCs w:val="32"/>
          <w:highlight w:val="none"/>
          <w:lang w:val="en-US" w:eastAsia="zh-CN" w:bidi="ar-SA"/>
        </w:rPr>
        <w:t>通过汇总、整理、分析黑水县文化广播电视和旅游局</w:t>
      </w:r>
      <w:r>
        <w:rPr>
          <w:rFonts w:hint="default" w:ascii="仿宋_GB2312" w:hAnsi="仿宋_GB2312" w:eastAsia="仿宋_GB2312" w:cs="仿宋_GB2312"/>
          <w:b w:val="0"/>
          <w:bCs w:val="0"/>
          <w:kern w:val="0"/>
          <w:position w:val="0"/>
          <w:sz w:val="32"/>
          <w:szCs w:val="32"/>
          <w:highlight w:val="none"/>
          <w:lang w:val="en-US" w:eastAsia="zh-CN" w:bidi="ar-SA"/>
        </w:rPr>
        <w:t>公共文化云建设项目</w:t>
      </w:r>
      <w:r>
        <w:rPr>
          <w:rFonts w:hint="eastAsia" w:ascii="仿宋_GB2312" w:hAnsi="仿宋_GB2312" w:eastAsia="仿宋_GB2312" w:cs="仿宋_GB2312"/>
          <w:b w:val="0"/>
          <w:bCs w:val="0"/>
          <w:kern w:val="0"/>
          <w:position w:val="0"/>
          <w:sz w:val="32"/>
          <w:szCs w:val="32"/>
          <w:highlight w:val="none"/>
          <w:lang w:val="en-US" w:eastAsia="zh-CN" w:bidi="ar-SA"/>
        </w:rPr>
        <w:t>绩效评价指标体系，绩效目标基本实现，自评得分为100分。</w:t>
      </w:r>
    </w:p>
    <w:p w14:paraId="3D81A453">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（二）绩效分析</w:t>
      </w:r>
    </w:p>
    <w:p w14:paraId="79CBE648">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1.</w:t>
      </w:r>
      <w:r>
        <w:rPr>
          <w:rFonts w:hint="eastAsia" w:ascii="仿宋_GB2312" w:hAnsi="仿宋" w:eastAsia="仿宋_GB2312" w:cs="仿宋_GB2312"/>
          <w:sz w:val="32"/>
          <w:szCs w:val="32"/>
        </w:rPr>
        <w:t>项目决策</w:t>
      </w:r>
    </w:p>
    <w:p w14:paraId="0FF48544">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决策程序：项目设立、调整延续等方面符合资金管理基本规范和决策程序要求。</w:t>
      </w:r>
    </w:p>
    <w:p w14:paraId="49D321A6">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规划论证：项目规划论证符合</w:t>
      </w:r>
      <w:bookmarkStart w:id="0" w:name="_GoBack"/>
      <w:bookmarkEnd w:id="0"/>
      <w:r>
        <w:rPr>
          <w:rFonts w:hint="eastAsia" w:ascii="仿宋_GB2312" w:hAnsi="仿宋_GB2312" w:eastAsia="仿宋_GB2312" w:cs="仿宋_GB2312"/>
          <w:b w:val="0"/>
          <w:bCs w:val="0"/>
          <w:kern w:val="0"/>
          <w:position w:val="0"/>
          <w:sz w:val="32"/>
          <w:szCs w:val="32"/>
          <w:highlight w:val="none"/>
          <w:lang w:val="en-US" w:eastAsia="zh-CN" w:bidi="ar-SA"/>
        </w:rPr>
        <w:t>要求，项目绩效目标设置科学合理，项目资金与项目总体规划、相关行业事业发展相匹配，聚焦重大任务、重点领域、重点环节和重点项目。</w:t>
      </w:r>
    </w:p>
    <w:p w14:paraId="2D20C292">
      <w:pPr>
        <w:spacing w:line="580" w:lineRule="exact"/>
        <w:ind w:firstLine="640" w:firstLineChars="200"/>
        <w:rPr>
          <w:rFonts w:hint="default" w:ascii="楷体_GB2312" w:hAnsi="楷体_GB2312" w:eastAsia="楷体_GB2312" w:cs="楷体_GB2312"/>
          <w:color w:val="auto"/>
          <w:szCs w:val="32"/>
          <w:lang w:val="en-US" w:eastAsia="zh-CN"/>
        </w:rPr>
      </w:pPr>
      <w:r>
        <w:rPr>
          <w:rFonts w:hint="eastAsia" w:ascii="仿宋_GB2312" w:hAnsi="仿宋_GB2312" w:eastAsia="仿宋_GB2312" w:cs="仿宋_GB2312"/>
          <w:b w:val="0"/>
          <w:bCs w:val="0"/>
          <w:kern w:val="0"/>
          <w:position w:val="0"/>
          <w:sz w:val="32"/>
          <w:szCs w:val="32"/>
          <w:highlight w:val="none"/>
          <w:lang w:val="en-US" w:eastAsia="zh-CN" w:bidi="ar-SA"/>
        </w:rPr>
        <w:t>资金投向：项目资金与项目总体规划、相关行业事业发展相匹配，聚焦重大任务、重点领域、重点环节和重点项目。体现“集中力量办大事”原则，避免“撒胡椒面”。</w:t>
      </w:r>
    </w:p>
    <w:p w14:paraId="5B27BDAD">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2.</w:t>
      </w:r>
      <w:r>
        <w:rPr>
          <w:rFonts w:hint="eastAsia" w:ascii="仿宋_GB2312" w:hAnsi="仿宋" w:eastAsia="仿宋_GB2312" w:cs="仿宋_GB2312"/>
          <w:sz w:val="32"/>
          <w:szCs w:val="32"/>
        </w:rPr>
        <w:t>项目管理</w:t>
      </w:r>
    </w:p>
    <w:p w14:paraId="2D313534">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制度办法：项目制度办法体系健全、要素完备。资金管理办法等管理制度体系健全完善，不存在管理制度缺失、管理办法过期情况。</w:t>
      </w:r>
    </w:p>
    <w:p w14:paraId="62A55B90">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分配管理：项目资金分配因素选取、权重设置、区域分布，项目管理、审批符合管理要求，管资金、项目、政策管绩效，项目绩效监管按要求开展，对下指导有力有效。</w:t>
      </w:r>
    </w:p>
    <w:p w14:paraId="79DDC0B7">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绩效监管：明确要求“事前评估”“事中监控”“事后评价”，层层把控，对相关人员进行绩效业务培训，使人人“懂理念、会分析”。并严抓项目决策是否科学的“牛鼻子”，力求项目决策科学。让项目“目标科学、全面”才能“拎得清”，“跟踪及时、严格”才能“管得准”，避免偏离轨道造成的损耗成本、影响质量、效率低下。“花钱必问效，无效必问责”，该局将绩效理念融入预算编制、执行、监督全过程，抓好项目效益是否提升的“落脚点”，发挥绩效评价导向作用，通过奖优惩劣，确保被评价单位把每一笔钱都用在刀刃上、紧要处，力求项目效益提升。</w:t>
      </w:r>
    </w:p>
    <w:p w14:paraId="09A87AF5">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3.</w:t>
      </w:r>
      <w:r>
        <w:rPr>
          <w:rFonts w:hint="eastAsia" w:ascii="仿宋_GB2312" w:hAnsi="仿宋" w:eastAsia="仿宋_GB2312" w:cs="仿宋_GB2312"/>
          <w:sz w:val="32"/>
          <w:szCs w:val="32"/>
        </w:rPr>
        <w:t>项目绩效</w:t>
      </w:r>
    </w:p>
    <w:p w14:paraId="6F88C84E">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目标完成：资金项目内容与具体实施内容相符的、申报目标是合理可行。项目运行成本、管理效率、履职效能、社会效应、可持续发展能力和服务对象满意度等方面均取得良好成果，预算绩效实现全覆盖。截至2025年底完成项目资金拨付。资金项目按照目标任务已于2025年底完成。</w:t>
      </w:r>
    </w:p>
    <w:p w14:paraId="1A4ACC11">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资金分配均衡公平，资金实际支持对象符合管理要求，符合支持对象范围，资金实际补贴标准符合资金管理办法规定的补助标准，及时按标准兑现，资金涉及服务对象满意度不低于90%，</w:t>
      </w:r>
      <w:r>
        <w:rPr>
          <w:rFonts w:hint="eastAsia" w:ascii="仿宋_GB2312" w:hAnsi="仿宋_GB2312" w:eastAsia="仿宋_GB2312" w:cs="仿宋_GB2312"/>
          <w:b w:val="0"/>
          <w:bCs w:val="0"/>
          <w:kern w:val="0"/>
          <w:position w:val="0"/>
          <w:sz w:val="32"/>
          <w:szCs w:val="32"/>
          <w:highlight w:val="none"/>
          <w:lang w:val="zh-CN" w:eastAsia="zh-CN" w:bidi="ar-SA"/>
        </w:rPr>
        <w:t>项目用途合规性、程序合规性、标准合规性。</w:t>
      </w:r>
      <w:r>
        <w:rPr>
          <w:rFonts w:hint="eastAsia" w:ascii="仿宋_GB2312" w:hAnsi="仿宋_GB2312" w:eastAsia="仿宋_GB2312" w:cs="仿宋_GB2312"/>
          <w:b w:val="0"/>
          <w:bCs w:val="0"/>
          <w:kern w:val="0"/>
          <w:position w:val="0"/>
          <w:sz w:val="32"/>
          <w:szCs w:val="32"/>
          <w:highlight w:val="none"/>
          <w:lang w:val="en-US" w:eastAsia="zh-CN" w:bidi="ar-SA"/>
        </w:rPr>
        <w:t>我单位在规定时间内做好黑水县公共文化云建设项目资金的个性化绩效评价指标具有特定的针对性，能够更好地反映公共文化服务工作在其特定业务领域的表现，可以增强群众的积极性，提高部门的整体绩效水平。提升业主单位对平台建设的满意度，推动构建完善的公共文化服务体系，促进本县公共文化发展。</w:t>
      </w:r>
    </w:p>
    <w:p w14:paraId="5A5BAE28">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三、存在主要问题</w:t>
      </w:r>
    </w:p>
    <w:p w14:paraId="0A895178">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w:t>
      </w:r>
    </w:p>
    <w:p w14:paraId="32A52D9C">
      <w:p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四、相关措施建议</w:t>
      </w:r>
    </w:p>
    <w:p w14:paraId="2340C7B4">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NmEyOTFjMjZjODc0OGIyZjk3N2Q1Zjc3YWU5MjEifQ=="/>
  </w:docVars>
  <w:rsids>
    <w:rsidRoot w:val="004C22EC"/>
    <w:rsid w:val="004C22EC"/>
    <w:rsid w:val="007B38C6"/>
    <w:rsid w:val="100566B3"/>
    <w:rsid w:val="11825594"/>
    <w:rsid w:val="1B4A3EC4"/>
    <w:rsid w:val="1F887BDD"/>
    <w:rsid w:val="2439349C"/>
    <w:rsid w:val="244E01D1"/>
    <w:rsid w:val="2D87469F"/>
    <w:rsid w:val="33DA011B"/>
    <w:rsid w:val="358B1B11"/>
    <w:rsid w:val="423607D0"/>
    <w:rsid w:val="42541A2E"/>
    <w:rsid w:val="4A0B0DD8"/>
    <w:rsid w:val="55704B34"/>
    <w:rsid w:val="57B166CC"/>
    <w:rsid w:val="5DBC40E7"/>
    <w:rsid w:val="66172603"/>
    <w:rsid w:val="77991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标题 1 Char"/>
    <w:basedOn w:val="6"/>
    <w:link w:val="2"/>
    <w:qFormat/>
    <w:uiPriority w:val="9"/>
    <w:rPr>
      <w:rFonts w:ascii="Times New Roman" w:hAnsi="Times New Roman" w:eastAsia="宋体" w:cs="Times New Roman"/>
      <w:b/>
      <w:bCs/>
      <w:kern w:val="44"/>
      <w:sz w:val="44"/>
      <w:szCs w:val="44"/>
    </w:rPr>
  </w:style>
  <w:style w:type="paragraph" w:customStyle="1" w:styleId="1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5</Pages>
  <Words>1986</Words>
  <Characters>2046</Characters>
  <Lines>2</Lines>
  <Paragraphs>1</Paragraphs>
  <TotalTime>9</TotalTime>
  <ScaleCrop>false</ScaleCrop>
  <LinksUpToDate>false</LinksUpToDate>
  <CharactersWithSpaces>2049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2019-08-19T01:06:00Z</dcterms:created>
  <dc:creator>Sky123.Org</dc:creator>
  <cp:lastModifiedBy>WPS_1604458475</cp:lastModifiedBy>
  <dcterms:modified xsi:type="dcterms:W3CDTF">2026-09-01T08:11:39Z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D6DA413F220A4AD0873F2E66F89C8570_13</vt:lpwstr>
  </property>
  <property fmtid="{D5CDD505-2E9C-101B-9397-08002B2CF9AE}" pid="4" name="KSOTemplateDocerSaveRecord">
    <vt:lpwstr>eyJoZGlkIjoiYmMxZWViYzY2OTBkMWNmMDZlNjI2NmUwYzQyZTk2ZTMiLCJ1c2VySWQiOiIxMTM5OTQ5NTAyIn0=</vt:lpwstr>
  </property>
</Properties>
</file>