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F6AF6F">
      <w:pPr>
        <w:spacing w:line="600" w:lineRule="exact"/>
        <w:jc w:val="center"/>
        <w:outlineLvl w:val="0"/>
        <w:rPr>
          <w:rFonts w:hint="eastAsia" w:ascii="仿宋_GB2312" w:hAnsi="黑体" w:eastAsia="仿宋_GB2312" w:cs="方正小标宋简体"/>
          <w:b/>
          <w:sz w:val="32"/>
          <w:szCs w:val="32"/>
        </w:rPr>
      </w:pPr>
      <w:bookmarkStart w:id="0" w:name="_Toc15396616"/>
      <w:r>
        <w:rPr>
          <w:rFonts w:hint="eastAsia" w:ascii="仿宋_GB2312" w:hAnsi="黑体" w:eastAsia="仿宋_GB2312" w:cs="方正小标宋简体"/>
          <w:b/>
          <w:sz w:val="32"/>
          <w:szCs w:val="32"/>
        </w:rPr>
        <w:t>黑水县</w:t>
      </w:r>
      <w:r>
        <w:rPr>
          <w:rFonts w:hint="eastAsia" w:ascii="仿宋_GB2312" w:hAnsi="黑体" w:eastAsia="仿宋_GB2312" w:cs="方正小标宋简体"/>
          <w:b/>
          <w:sz w:val="32"/>
          <w:szCs w:val="32"/>
          <w:lang w:val="en-US" w:eastAsia="zh-CN"/>
        </w:rPr>
        <w:t>文化市场综合执法大队</w:t>
      </w:r>
      <w:r>
        <w:rPr>
          <w:rFonts w:hint="eastAsia" w:ascii="仿宋_GB2312" w:hAnsi="黑体" w:eastAsia="仿宋_GB2312" w:cs="方正小标宋简体"/>
          <w:b/>
          <w:sz w:val="32"/>
          <w:szCs w:val="32"/>
        </w:rPr>
        <w:t>20</w:t>
      </w:r>
      <w:r>
        <w:rPr>
          <w:rFonts w:hint="eastAsia" w:ascii="仿宋_GB2312" w:hAnsi="黑体" w:eastAsia="仿宋_GB2312" w:cs="方正小标宋简体"/>
          <w:b/>
          <w:sz w:val="32"/>
          <w:szCs w:val="32"/>
          <w:lang w:val="en-US" w:eastAsia="zh-CN"/>
        </w:rPr>
        <w:t>25</w:t>
      </w:r>
      <w:r>
        <w:rPr>
          <w:rFonts w:hint="eastAsia" w:ascii="仿宋_GB2312" w:hAnsi="黑体" w:eastAsia="仿宋_GB2312" w:cs="方正小标宋简体"/>
          <w:b/>
          <w:sz w:val="32"/>
          <w:szCs w:val="32"/>
        </w:rPr>
        <w:t>年部门</w:t>
      </w:r>
    </w:p>
    <w:p w14:paraId="3F636069">
      <w:pPr>
        <w:spacing w:line="600" w:lineRule="exact"/>
        <w:jc w:val="center"/>
        <w:outlineLvl w:val="0"/>
        <w:rPr>
          <w:rFonts w:ascii="仿宋_GB2312" w:hAnsi="黑体" w:eastAsia="仿宋_GB2312" w:cs="方正小标宋简体"/>
          <w:b/>
          <w:sz w:val="32"/>
          <w:szCs w:val="32"/>
        </w:rPr>
      </w:pPr>
      <w:r>
        <w:rPr>
          <w:rFonts w:hint="eastAsia" w:ascii="仿宋_GB2312" w:hAnsi="黑体" w:eastAsia="仿宋_GB2312" w:cs="方正小标宋简体"/>
          <w:b/>
          <w:sz w:val="32"/>
          <w:szCs w:val="32"/>
        </w:rPr>
        <w:t>整体支出绩效评价报告</w:t>
      </w:r>
      <w:bookmarkEnd w:id="0"/>
    </w:p>
    <w:p w14:paraId="47A8E375">
      <w:pPr>
        <w:spacing w:line="580" w:lineRule="exact"/>
        <w:ind w:firstLine="643" w:firstLineChars="200"/>
        <w:rPr>
          <w:rFonts w:ascii="仿宋_GB2312" w:hAnsi="黑体" w:eastAsia="仿宋_GB2312" w:cs="黑体"/>
          <w:b/>
          <w:sz w:val="32"/>
          <w:szCs w:val="32"/>
        </w:rPr>
      </w:pPr>
    </w:p>
    <w:p w14:paraId="0124D079">
      <w:pPr>
        <w:spacing w:line="580" w:lineRule="exact"/>
        <w:ind w:firstLine="640" w:firstLineChars="200"/>
        <w:rPr>
          <w:rFonts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sz w:val="32"/>
          <w:szCs w:val="32"/>
        </w:rPr>
        <w:t>一、部门（单位）概况</w:t>
      </w:r>
    </w:p>
    <w:p w14:paraId="76A2602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Autospacing="0" w:line="560" w:lineRule="exact"/>
        <w:ind w:firstLine="640" w:firstLineChars="200"/>
        <w:contextualSpacing/>
        <w:jc w:val="both"/>
        <w:textAlignment w:val="auto"/>
        <w:outlineLvl w:val="9"/>
        <w:rPr>
          <w:rFonts w:hint="eastAsia"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（一）机构组成。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黑水县文化广播电视和旅游局，取得黑水县委机构编制委员会办公室颁发的统一社会信用代码：5132281876186M，机构地址：四川省阿坝州黑水县长征路100号，法定代表人：黄海斌，机构性质：机关。</w:t>
      </w:r>
    </w:p>
    <w:p w14:paraId="5A6635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afterAutospacing="0" w:line="560" w:lineRule="exact"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（二）机构职能。</w:t>
      </w:r>
      <w:r>
        <w:rPr>
          <w:rFonts w:hint="eastAsia" w:ascii="仿宋_GB2312" w:hAnsi="宋体" w:eastAsia="仿宋_GB2312"/>
          <w:sz w:val="32"/>
          <w:szCs w:val="32"/>
        </w:rPr>
        <w:t>黑水县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文化广播电视和旅游</w:t>
      </w:r>
      <w:r>
        <w:rPr>
          <w:rFonts w:hint="eastAsia" w:ascii="仿宋_GB2312" w:hAnsi="宋体" w:eastAsia="仿宋_GB2312"/>
          <w:sz w:val="32"/>
          <w:szCs w:val="32"/>
        </w:rPr>
        <w:t>局是负责指导和协调全县文化，广播影视，新闻出版基础设施布局规划实施，并对设施的使用管理，指导全县重大文化活动的开展，指导协调全县民间艺术的挖掘，整理工作，负责管理全县文物事业，保护，抢救等工作负责全县文化建设的政府组成部门。根据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县委、县政府</w:t>
      </w:r>
      <w:r>
        <w:rPr>
          <w:rFonts w:hint="eastAsia" w:ascii="仿宋_GB2312" w:hAnsi="宋体" w:eastAsia="仿宋_GB2312"/>
          <w:sz w:val="32"/>
          <w:szCs w:val="32"/>
        </w:rPr>
        <w:t>关于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2025</w:t>
      </w:r>
      <w:r>
        <w:rPr>
          <w:rFonts w:hint="eastAsia" w:ascii="仿宋_GB2312" w:hAnsi="宋体" w:eastAsia="仿宋_GB2312"/>
          <w:sz w:val="32"/>
          <w:szCs w:val="32"/>
        </w:rPr>
        <w:t>年全州工作的总体部署，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2025</w:t>
      </w:r>
      <w:r>
        <w:rPr>
          <w:rFonts w:hint="eastAsia" w:ascii="仿宋_GB2312" w:hAnsi="宋体" w:eastAsia="仿宋_GB2312"/>
          <w:sz w:val="32"/>
          <w:szCs w:val="32"/>
        </w:rPr>
        <w:t>年的主要工作是：指导和协调全县文化，广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播</w:t>
      </w:r>
      <w:r>
        <w:rPr>
          <w:rFonts w:hint="eastAsia" w:ascii="仿宋_GB2312" w:hAnsi="宋体" w:eastAsia="仿宋_GB2312"/>
          <w:sz w:val="32"/>
          <w:szCs w:val="32"/>
        </w:rPr>
        <w:t>影视，新闻出版产业发展，协调解决相关产业运行中的重大问题。</w:t>
      </w:r>
    </w:p>
    <w:p w14:paraId="092F8089">
      <w:pPr>
        <w:spacing w:line="58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（三）人员概况。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本单位本年度事业编制46人，实有人数23人。</w:t>
      </w:r>
    </w:p>
    <w:p w14:paraId="3584F626">
      <w:pPr>
        <w:spacing w:line="580" w:lineRule="exact"/>
        <w:ind w:firstLine="640" w:firstLineChars="200"/>
        <w:rPr>
          <w:rFonts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sz w:val="32"/>
          <w:szCs w:val="32"/>
        </w:rPr>
        <w:t>二、部门财政资金收支情况</w:t>
      </w:r>
    </w:p>
    <w:p w14:paraId="1457FC2B">
      <w:pPr>
        <w:spacing w:line="600" w:lineRule="exact"/>
        <w:ind w:firstLine="640" w:firstLineChars="200"/>
        <w:outlineLvl w:val="1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（一）部门财政资金收入情况。</w:t>
      </w:r>
      <w:r>
        <w:rPr>
          <w:rFonts w:hint="eastAsia" w:ascii="仿宋_GB2312" w:eastAsia="仿宋_GB2312"/>
          <w:sz w:val="32"/>
          <w:szCs w:val="32"/>
        </w:rPr>
        <w:t>本单位本年度总收入为</w:t>
      </w:r>
      <w:r>
        <w:rPr>
          <w:rFonts w:hint="eastAsia" w:ascii="仿宋_GB2312"/>
          <w:sz w:val="32"/>
          <w:szCs w:val="32"/>
          <w:lang w:val="en-US" w:eastAsia="zh-CN"/>
        </w:rPr>
        <w:t>515.52</w:t>
      </w:r>
      <w:r>
        <w:rPr>
          <w:rFonts w:hint="eastAsia" w:ascii="仿宋_GB2312" w:eastAsia="仿宋_GB2312"/>
          <w:sz w:val="32"/>
          <w:szCs w:val="32"/>
        </w:rPr>
        <w:t>万元。其中：一般公共预算财政拨款收入为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515.52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  <w:t>万元，占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100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  <w:t>%</w:t>
      </w:r>
      <w:r>
        <w:rPr>
          <w:rFonts w:hint="eastAsia" w:ascii="仿宋_GB2312" w:eastAsia="仿宋_GB2312"/>
          <w:sz w:val="32"/>
          <w:szCs w:val="32"/>
        </w:rPr>
        <w:t>。本单位本年度收入调整预算数</w:t>
      </w:r>
      <w:r>
        <w:rPr>
          <w:rFonts w:hint="eastAsia" w:ascii="仿宋_GB2312" w:eastAsia="仿宋_GB2312"/>
          <w:sz w:val="32"/>
          <w:szCs w:val="32"/>
          <w:lang w:eastAsia="zh-CN"/>
        </w:rPr>
        <w:t>为</w:t>
      </w:r>
      <w:r>
        <w:rPr>
          <w:rFonts w:hint="eastAsia" w:ascii="仿宋_GB2312" w:cs="宋体"/>
          <w:kern w:val="0"/>
          <w:sz w:val="32"/>
          <w:szCs w:val="32"/>
          <w:lang w:val="en-US" w:eastAsia="zh-CN" w:bidi="ar"/>
        </w:rPr>
        <w:t>515.52</w:t>
      </w:r>
      <w:r>
        <w:rPr>
          <w:rFonts w:hint="eastAsia" w:ascii="仿宋_GB2312" w:hAnsi="Times New Roman" w:eastAsia="仿宋_GB2312" w:cs="宋体"/>
          <w:kern w:val="0"/>
          <w:sz w:val="32"/>
          <w:szCs w:val="32"/>
          <w:lang w:val="en-US" w:eastAsia="zh-CN" w:bidi="ar"/>
        </w:rPr>
        <w:t>万元，</w:t>
      </w:r>
      <w:r>
        <w:rPr>
          <w:rFonts w:hint="eastAsia" w:ascii="仿宋_GB2312" w:eastAsia="仿宋_GB2312"/>
          <w:sz w:val="32"/>
          <w:szCs w:val="32"/>
        </w:rPr>
        <w:t>收入决算数为</w:t>
      </w:r>
      <w:r>
        <w:rPr>
          <w:rFonts w:hint="eastAsia" w:ascii="仿宋_GB2312" w:cs="宋体"/>
          <w:kern w:val="0"/>
          <w:sz w:val="32"/>
          <w:szCs w:val="32"/>
          <w:lang w:val="en-US" w:eastAsia="zh-CN" w:bidi="ar"/>
        </w:rPr>
        <w:t>515.52</w:t>
      </w:r>
      <w:r>
        <w:rPr>
          <w:rFonts w:hint="eastAsia" w:ascii="仿宋_GB2312" w:eastAsia="仿宋_GB2312"/>
          <w:sz w:val="32"/>
          <w:szCs w:val="32"/>
        </w:rPr>
        <w:t>万元，预算完成度为100.00%</w:t>
      </w:r>
      <w:r>
        <w:rPr>
          <w:rFonts w:ascii="仿宋_GB2312" w:eastAsia="仿宋_GB2312"/>
          <w:sz w:val="32"/>
          <w:szCs w:val="32"/>
        </w:rPr>
        <w:t>。</w:t>
      </w:r>
      <w:r>
        <w:rPr>
          <w:rFonts w:hint="eastAsia" w:ascii="仿宋_GB2312" w:eastAsia="仿宋_GB2312"/>
          <w:sz w:val="32"/>
          <w:szCs w:val="32"/>
        </w:rPr>
        <w:t>本年度</w:t>
      </w:r>
      <w:r>
        <w:rPr>
          <w:rFonts w:hint="eastAsia" w:ascii="仿宋_GB2312" w:eastAsia="仿宋_GB2312"/>
          <w:sz w:val="32"/>
          <w:szCs w:val="32"/>
          <w:lang w:eastAsia="zh-CN"/>
        </w:rPr>
        <w:t>支出</w:t>
      </w:r>
      <w:r>
        <w:rPr>
          <w:rFonts w:hint="eastAsia" w:ascii="仿宋_GB2312" w:eastAsia="仿宋_GB2312"/>
          <w:sz w:val="32"/>
          <w:szCs w:val="32"/>
        </w:rPr>
        <w:t>调整预算数</w:t>
      </w:r>
      <w:r>
        <w:rPr>
          <w:rFonts w:hint="eastAsia" w:ascii="仿宋_GB2312" w:eastAsia="仿宋_GB2312"/>
          <w:sz w:val="32"/>
          <w:szCs w:val="32"/>
          <w:lang w:eastAsia="zh-CN"/>
        </w:rPr>
        <w:t>为</w:t>
      </w:r>
      <w:r>
        <w:rPr>
          <w:rFonts w:hint="eastAsia" w:ascii="仿宋_GB2312" w:cs="宋体"/>
          <w:kern w:val="0"/>
          <w:sz w:val="32"/>
          <w:szCs w:val="32"/>
          <w:lang w:val="en-US" w:eastAsia="zh-CN" w:bidi="ar"/>
        </w:rPr>
        <w:t>515.52</w:t>
      </w:r>
      <w:r>
        <w:rPr>
          <w:rFonts w:hint="eastAsia" w:ascii="仿宋_GB2312" w:eastAsia="仿宋_GB2312"/>
          <w:sz w:val="32"/>
          <w:szCs w:val="32"/>
        </w:rPr>
        <w:t>万元，</w:t>
      </w:r>
      <w:r>
        <w:rPr>
          <w:rFonts w:hint="eastAsia" w:ascii="仿宋_GB2312" w:eastAsia="仿宋_GB2312"/>
          <w:sz w:val="32"/>
          <w:szCs w:val="32"/>
          <w:lang w:eastAsia="zh-CN"/>
        </w:rPr>
        <w:t>支出</w:t>
      </w:r>
      <w:r>
        <w:rPr>
          <w:rFonts w:hint="eastAsia" w:ascii="仿宋_GB2312" w:eastAsia="仿宋_GB2312"/>
          <w:sz w:val="32"/>
          <w:szCs w:val="32"/>
        </w:rPr>
        <w:t>决算数为</w:t>
      </w:r>
      <w:r>
        <w:rPr>
          <w:rFonts w:hint="eastAsia" w:ascii="仿宋_GB2312" w:cs="宋体"/>
          <w:kern w:val="0"/>
          <w:sz w:val="32"/>
          <w:szCs w:val="32"/>
          <w:lang w:val="en-US" w:eastAsia="zh-CN" w:bidi="ar"/>
        </w:rPr>
        <w:t>515.52</w:t>
      </w:r>
      <w:r>
        <w:rPr>
          <w:rFonts w:hint="eastAsia" w:ascii="仿宋_GB2312" w:eastAsia="仿宋_GB2312"/>
          <w:sz w:val="32"/>
          <w:szCs w:val="32"/>
        </w:rPr>
        <w:t>万元，预算</w:t>
      </w:r>
      <w:r>
        <w:rPr>
          <w:rFonts w:hint="eastAsia" w:ascii="仿宋_GB2312" w:eastAsia="仿宋_GB2312"/>
          <w:sz w:val="32"/>
          <w:szCs w:val="32"/>
          <w:lang w:eastAsia="zh-CN"/>
        </w:rPr>
        <w:t>支出</w:t>
      </w:r>
      <w:r>
        <w:rPr>
          <w:rFonts w:hint="eastAsia" w:ascii="仿宋_GB2312" w:eastAsia="仿宋_GB2312"/>
          <w:sz w:val="32"/>
          <w:szCs w:val="32"/>
        </w:rPr>
        <w:t>完成度为100.00%</w:t>
      </w:r>
      <w:r>
        <w:rPr>
          <w:rFonts w:ascii="仿宋_GB2312" w:eastAsia="仿宋_GB2312"/>
          <w:sz w:val="32"/>
          <w:szCs w:val="32"/>
        </w:rPr>
        <w:t>。</w:t>
      </w:r>
    </w:p>
    <w:p w14:paraId="376BBF5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afterAutospacing="0"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（二）部门财政资金支出情况。</w:t>
      </w:r>
      <w:r>
        <w:rPr>
          <w:rFonts w:hint="eastAsia" w:ascii="仿宋_GB2312" w:eastAsia="仿宋_GB2312"/>
          <w:sz w:val="32"/>
          <w:szCs w:val="32"/>
        </w:rPr>
        <w:t>本年度总支出为</w:t>
      </w:r>
      <w:r>
        <w:rPr>
          <w:rFonts w:hint="eastAsia" w:ascii="仿宋_GB2312"/>
          <w:sz w:val="32"/>
          <w:szCs w:val="32"/>
          <w:lang w:val="en-US" w:eastAsia="zh-CN"/>
        </w:rPr>
        <w:t>515.52</w:t>
      </w:r>
      <w:r>
        <w:rPr>
          <w:rFonts w:hint="eastAsia" w:ascii="仿宋_GB2312" w:eastAsia="仿宋_GB2312"/>
          <w:sz w:val="32"/>
          <w:szCs w:val="32"/>
        </w:rPr>
        <w:t>万元。其中：文化旅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游体育与传媒支出为</w:t>
      </w:r>
      <w:r>
        <w:rPr>
          <w:rFonts w:hint="eastAsia" w:ascii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386.63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万元，</w:t>
      </w:r>
      <w:r>
        <w:rPr>
          <w:rFonts w:hint="eastAsia" w:ascii="仿宋_GB2312" w:eastAsia="仿宋_GB2312"/>
          <w:sz w:val="32"/>
          <w:szCs w:val="32"/>
        </w:rPr>
        <w:t>占比</w:t>
      </w:r>
      <w:r>
        <w:rPr>
          <w:rFonts w:hint="eastAsia" w:ascii="仿宋_GB2312"/>
          <w:sz w:val="32"/>
          <w:szCs w:val="32"/>
          <w:lang w:val="en-US" w:eastAsia="zh-CN"/>
        </w:rPr>
        <w:t>75</w:t>
      </w:r>
      <w:r>
        <w:rPr>
          <w:rFonts w:hint="eastAsia" w:ascii="仿宋_GB2312" w:eastAsia="仿宋_GB2312"/>
          <w:sz w:val="32"/>
          <w:szCs w:val="32"/>
        </w:rPr>
        <w:t>%；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社会保障和就业支出为</w:t>
      </w:r>
      <w:r>
        <w:rPr>
          <w:rFonts w:hint="eastAsia" w:ascii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67.11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万元，占比</w:t>
      </w:r>
      <w:r>
        <w:rPr>
          <w:rFonts w:hint="eastAsia" w:ascii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13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%；</w:t>
      </w:r>
      <w:r>
        <w:rPr>
          <w:rFonts w:hint="eastAsia" w:ascii="仿宋_GB2312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卫生健康支出为</w:t>
      </w:r>
      <w:r>
        <w:rPr>
          <w:rFonts w:hint="eastAsia" w:ascii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25.8</w:t>
      </w:r>
      <w:r>
        <w:rPr>
          <w:rFonts w:hint="eastAsia" w:ascii="仿宋_GB2312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万元，占比</w:t>
      </w:r>
      <w:r>
        <w:rPr>
          <w:rFonts w:hint="eastAsia" w:ascii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%；</w:t>
      </w:r>
      <w:r>
        <w:rPr>
          <w:rFonts w:hint="eastAsia" w:ascii="仿宋_GB2312" w:eastAsia="仿宋_GB2312"/>
          <w:sz w:val="32"/>
          <w:szCs w:val="32"/>
        </w:rPr>
        <w:t>住房保障支出为</w:t>
      </w:r>
      <w:r>
        <w:rPr>
          <w:rFonts w:hint="eastAsia" w:ascii="仿宋_GB2312"/>
          <w:sz w:val="32"/>
          <w:szCs w:val="32"/>
          <w:lang w:val="en-US" w:eastAsia="zh-CN"/>
        </w:rPr>
        <w:t>35.97</w:t>
      </w:r>
      <w:r>
        <w:rPr>
          <w:rFonts w:hint="eastAsia" w:ascii="仿宋_GB2312" w:eastAsia="仿宋_GB2312"/>
          <w:sz w:val="32"/>
          <w:szCs w:val="32"/>
        </w:rPr>
        <w:t>万元，占比</w:t>
      </w:r>
      <w:r>
        <w:rPr>
          <w:rFonts w:hint="eastAsia" w:ascii="仿宋_GB2312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sz w:val="32"/>
          <w:szCs w:val="32"/>
        </w:rPr>
        <w:t>%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 w14:paraId="28F14957">
      <w:pPr>
        <w:spacing w:line="580" w:lineRule="exact"/>
        <w:ind w:firstLine="640" w:firstLineChars="200"/>
        <w:rPr>
          <w:rFonts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sz w:val="32"/>
          <w:szCs w:val="32"/>
        </w:rPr>
        <w:t>三、部门整体预算绩效管理情况</w:t>
      </w:r>
    </w:p>
    <w:p w14:paraId="11F3F537">
      <w:pPr>
        <w:spacing w:line="580" w:lineRule="exact"/>
        <w:ind w:firstLine="640" w:firstLineChars="200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（一）部门</w:t>
      </w:r>
      <w:r>
        <w:rPr>
          <w:rFonts w:hint="eastAsia" w:ascii="仿宋_GB2312" w:hAnsi="仿宋" w:eastAsia="仿宋_GB2312" w:cs="仿宋_GB2312"/>
          <w:sz w:val="32"/>
          <w:szCs w:val="32"/>
          <w:highlight w:val="none"/>
        </w:rPr>
        <w:t>预算管理</w:t>
      </w:r>
    </w:p>
    <w:p w14:paraId="532B4A4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afterAutospacing="0"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zh-CN" w:eastAsia="zh-CN"/>
        </w:rPr>
      </w:pPr>
      <w:r>
        <w:rPr>
          <w:rFonts w:hint="eastAsia" w:ascii="仿宋_GB2312" w:eastAsia="仿宋_GB2312"/>
          <w:sz w:val="32"/>
          <w:szCs w:val="32"/>
          <w:lang w:val="zh-CN"/>
        </w:rPr>
        <w:t>目标完成：项目从经济、社会、生态、可持续效益以及服务对象满意度等方面科学制定目标任务。截至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2025年年底</w:t>
      </w:r>
      <w:r>
        <w:rPr>
          <w:rFonts w:hint="eastAsia" w:ascii="仿宋_GB2312" w:eastAsia="仿宋_GB2312"/>
          <w:sz w:val="32"/>
          <w:szCs w:val="32"/>
          <w:lang w:val="zh-CN"/>
        </w:rPr>
        <w:t>项目按照目标任务完成数量、质量、时效、成本等计划完成目标。</w:t>
      </w:r>
    </w:p>
    <w:p w14:paraId="0DC3A26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afterAutospacing="0"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zh-CN"/>
        </w:rPr>
        <w:t>实现效果：加快构建全方位、全过程、全覆盖预算绩效管理体系，财政资源配置效率和资金使用效益实现“双提升”。</w:t>
      </w:r>
    </w:p>
    <w:p w14:paraId="23D6CBCB">
      <w:pPr>
        <w:spacing w:line="600" w:lineRule="exact"/>
        <w:ind w:firstLine="640" w:firstLineChars="200"/>
        <w:outlineLvl w:val="1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预算编制质量：本单位本年度收入调整预算数</w:t>
      </w:r>
      <w:r>
        <w:rPr>
          <w:rFonts w:hint="eastAsia" w:ascii="仿宋_GB2312" w:eastAsia="仿宋_GB2312"/>
          <w:sz w:val="32"/>
          <w:szCs w:val="32"/>
          <w:lang w:eastAsia="zh-CN"/>
        </w:rPr>
        <w:t>为</w:t>
      </w:r>
      <w:r>
        <w:rPr>
          <w:rFonts w:hint="eastAsia" w:ascii="仿宋_GB2312" w:cs="宋体"/>
          <w:kern w:val="0"/>
          <w:sz w:val="32"/>
          <w:szCs w:val="32"/>
          <w:lang w:val="en-US" w:eastAsia="zh-CN" w:bidi="ar"/>
        </w:rPr>
        <w:t>515.52</w:t>
      </w:r>
      <w:r>
        <w:rPr>
          <w:rFonts w:hint="eastAsia" w:ascii="仿宋_GB2312" w:hAnsi="Times New Roman" w:eastAsia="仿宋_GB2312" w:cs="宋体"/>
          <w:kern w:val="0"/>
          <w:sz w:val="32"/>
          <w:szCs w:val="32"/>
          <w:lang w:val="en-US" w:eastAsia="zh-CN" w:bidi="ar"/>
        </w:rPr>
        <w:t>万元，</w:t>
      </w:r>
      <w:r>
        <w:rPr>
          <w:rFonts w:hint="eastAsia" w:ascii="仿宋_GB2312" w:eastAsia="仿宋_GB2312"/>
          <w:sz w:val="32"/>
          <w:szCs w:val="32"/>
        </w:rPr>
        <w:t>收入决算数为</w:t>
      </w:r>
      <w:r>
        <w:rPr>
          <w:rFonts w:hint="eastAsia" w:ascii="仿宋_GB2312" w:cs="宋体"/>
          <w:kern w:val="0"/>
          <w:sz w:val="32"/>
          <w:szCs w:val="32"/>
          <w:lang w:val="en-US" w:eastAsia="zh-CN" w:bidi="ar"/>
        </w:rPr>
        <w:t>515.52</w:t>
      </w:r>
      <w:r>
        <w:rPr>
          <w:rFonts w:hint="eastAsia" w:ascii="仿宋_GB2312" w:eastAsia="仿宋_GB2312"/>
          <w:sz w:val="32"/>
          <w:szCs w:val="32"/>
        </w:rPr>
        <w:t>万元，预算完成度为100.00%</w:t>
      </w:r>
      <w:r>
        <w:rPr>
          <w:rFonts w:ascii="仿宋_GB2312" w:eastAsia="仿宋_GB2312"/>
          <w:sz w:val="32"/>
          <w:szCs w:val="32"/>
        </w:rPr>
        <w:t>。</w:t>
      </w:r>
      <w:r>
        <w:rPr>
          <w:rFonts w:hint="eastAsia" w:ascii="仿宋_GB2312" w:eastAsia="仿宋_GB2312"/>
          <w:sz w:val="32"/>
          <w:szCs w:val="32"/>
        </w:rPr>
        <w:t>本年度</w:t>
      </w:r>
      <w:r>
        <w:rPr>
          <w:rFonts w:hint="eastAsia" w:ascii="仿宋_GB2312" w:eastAsia="仿宋_GB2312"/>
          <w:sz w:val="32"/>
          <w:szCs w:val="32"/>
          <w:lang w:eastAsia="zh-CN"/>
        </w:rPr>
        <w:t>支出</w:t>
      </w:r>
      <w:r>
        <w:rPr>
          <w:rFonts w:hint="eastAsia" w:ascii="仿宋_GB2312" w:eastAsia="仿宋_GB2312"/>
          <w:sz w:val="32"/>
          <w:szCs w:val="32"/>
        </w:rPr>
        <w:t>调整预算数</w:t>
      </w:r>
      <w:r>
        <w:rPr>
          <w:rFonts w:hint="eastAsia" w:ascii="仿宋_GB2312" w:eastAsia="仿宋_GB2312"/>
          <w:sz w:val="32"/>
          <w:szCs w:val="32"/>
          <w:lang w:eastAsia="zh-CN"/>
        </w:rPr>
        <w:t>为</w:t>
      </w:r>
      <w:r>
        <w:rPr>
          <w:rFonts w:hint="eastAsia" w:ascii="仿宋_GB2312" w:cs="宋体"/>
          <w:kern w:val="0"/>
          <w:sz w:val="32"/>
          <w:szCs w:val="32"/>
          <w:lang w:val="en-US" w:eastAsia="zh-CN" w:bidi="ar"/>
        </w:rPr>
        <w:t>515.52</w:t>
      </w:r>
      <w:r>
        <w:rPr>
          <w:rFonts w:hint="eastAsia" w:ascii="仿宋_GB2312" w:eastAsia="仿宋_GB2312"/>
          <w:sz w:val="32"/>
          <w:szCs w:val="32"/>
        </w:rPr>
        <w:t>万元，</w:t>
      </w:r>
      <w:r>
        <w:rPr>
          <w:rFonts w:hint="eastAsia" w:ascii="仿宋_GB2312" w:eastAsia="仿宋_GB2312"/>
          <w:sz w:val="32"/>
          <w:szCs w:val="32"/>
          <w:lang w:eastAsia="zh-CN"/>
        </w:rPr>
        <w:t>支出</w:t>
      </w:r>
      <w:r>
        <w:rPr>
          <w:rFonts w:hint="eastAsia" w:ascii="仿宋_GB2312" w:eastAsia="仿宋_GB2312"/>
          <w:sz w:val="32"/>
          <w:szCs w:val="32"/>
        </w:rPr>
        <w:t>决算数为</w:t>
      </w:r>
      <w:r>
        <w:rPr>
          <w:rFonts w:hint="eastAsia" w:ascii="仿宋_GB2312" w:cs="宋体"/>
          <w:kern w:val="0"/>
          <w:sz w:val="32"/>
          <w:szCs w:val="32"/>
          <w:lang w:val="en-US" w:eastAsia="zh-CN" w:bidi="ar"/>
        </w:rPr>
        <w:t>515.52</w:t>
      </w:r>
      <w:r>
        <w:rPr>
          <w:rFonts w:hint="eastAsia" w:ascii="仿宋_GB2312" w:eastAsia="仿宋_GB2312"/>
          <w:sz w:val="32"/>
          <w:szCs w:val="32"/>
        </w:rPr>
        <w:t>万元，预算</w:t>
      </w:r>
      <w:r>
        <w:rPr>
          <w:rFonts w:hint="eastAsia" w:ascii="仿宋_GB2312" w:eastAsia="仿宋_GB2312"/>
          <w:sz w:val="32"/>
          <w:szCs w:val="32"/>
          <w:lang w:eastAsia="zh-CN"/>
        </w:rPr>
        <w:t>支出</w:t>
      </w:r>
      <w:r>
        <w:rPr>
          <w:rFonts w:hint="eastAsia" w:ascii="仿宋_GB2312" w:eastAsia="仿宋_GB2312"/>
          <w:sz w:val="32"/>
          <w:szCs w:val="32"/>
        </w:rPr>
        <w:t>完成度为100.00%</w:t>
      </w:r>
      <w:r>
        <w:rPr>
          <w:rFonts w:ascii="仿宋_GB2312" w:eastAsia="仿宋_GB2312"/>
          <w:sz w:val="32"/>
          <w:szCs w:val="32"/>
        </w:rPr>
        <w:t>。</w:t>
      </w:r>
    </w:p>
    <w:p w14:paraId="34DFE76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afterAutospacing="0"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截至</w:t>
      </w: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年度我单位资金无结转结余。</w:t>
      </w:r>
    </w:p>
    <w:p w14:paraId="0FEF54D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afterAutospacing="0" w:line="560" w:lineRule="exact"/>
        <w:ind w:firstLine="640" w:firstLineChars="200"/>
        <w:textAlignment w:val="auto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严控一般性支出：我单位严控“三公”经费、会议、培训、差旅、办节办展、办公设备购置、信息网络及软件购置更新、课题经费等8项一般性支出。</w:t>
      </w:r>
    </w:p>
    <w:p w14:paraId="7B11A050">
      <w:pPr>
        <w:spacing w:line="580" w:lineRule="exact"/>
        <w:ind w:firstLine="640" w:firstLineChars="200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（二）</w:t>
      </w:r>
      <w:r>
        <w:rPr>
          <w:rFonts w:hint="eastAsia" w:ascii="仿宋_GB2312" w:hAnsi="仿宋" w:eastAsia="仿宋_GB2312" w:cs="仿宋_GB2312"/>
          <w:sz w:val="32"/>
          <w:szCs w:val="32"/>
          <w:highlight w:val="none"/>
        </w:rPr>
        <w:t>专项</w:t>
      </w:r>
      <w:r>
        <w:rPr>
          <w:rFonts w:hint="eastAsia" w:ascii="仿宋_GB2312" w:hAnsi="仿宋" w:eastAsia="仿宋_GB2312" w:cs="仿宋_GB2312"/>
          <w:sz w:val="32"/>
          <w:szCs w:val="32"/>
        </w:rPr>
        <w:t>预算管理</w:t>
      </w:r>
    </w:p>
    <w:p w14:paraId="408DF7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 w:val="0"/>
        <w:spacing w:afterAutospacing="0" w:line="560" w:lineRule="exact"/>
        <w:ind w:firstLine="640" w:firstLineChars="200"/>
        <w:textAlignment w:val="auto"/>
        <w:rPr>
          <w:rFonts w:hint="eastAsia"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持续深化文广旅领域专项预算全流程管理，构建“事前评估、事中监控、事后评价”闭环绩效管理体系。在预算编制阶段，紧扣年度文旅重点工作，对文化场馆免费开放、文物修缮保护、非遗传承利用、文旅品牌打造等专项项目开展可行性论证，细化量化绩效指标，提升预算编制精准度。资金执行环节，严格遵守专项资金管理办法，划定支出边界，规范国库集中支付、项目报账及资产入账管理，及时纠偏执行滞后、资金使用不规范等问题。预算完成后全面组织绩效自评，主动接受审计与监督检查，建立评价结果与下一年度预算安排联动机制，压实业务股室和项目实施单位管理责任，筑牢廉政风险防线，推动文旅专项资金从“重投入”向“重效益”转变，以规范高效的资金管理助力文旅事业高质量发展 。</w:t>
      </w:r>
    </w:p>
    <w:p w14:paraId="01AF23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 w:val="0"/>
        <w:spacing w:afterAutospacing="0" w:line="560" w:lineRule="exact"/>
        <w:ind w:firstLine="640" w:firstLineChars="200"/>
        <w:textAlignment w:val="auto"/>
        <w:rPr>
          <w:rFonts w:hint="eastAsia"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" w:eastAsia="仿宋_GB2312" w:cs="仿宋_GB2312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仿宋_GB2312" w:hAnsi="仿宋" w:eastAsia="仿宋_GB2312" w:cs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" w:eastAsia="仿宋_GB2312" w:cs="仿宋_GB2312"/>
          <w:sz w:val="32"/>
          <w:szCs w:val="32"/>
          <w:highlight w:val="none"/>
        </w:rPr>
        <w:t>结果应用</w:t>
      </w:r>
      <w:r>
        <w:rPr>
          <w:rFonts w:hint="eastAsia" w:ascii="仿宋_GB2312" w:hAnsi="仿宋" w:eastAsia="仿宋_GB2312" w:cs="仿宋_GB2312"/>
          <w:sz w:val="32"/>
          <w:szCs w:val="32"/>
        </w:rPr>
        <w:t>情况</w:t>
      </w:r>
    </w:p>
    <w:p w14:paraId="4FEB49CD">
      <w:pPr>
        <w:spacing w:line="580" w:lineRule="exact"/>
        <w:ind w:firstLine="640" w:firstLineChars="200"/>
        <w:rPr>
          <w:rFonts w:hint="eastAsia"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  <w:lang w:val="zh-CN" w:eastAsia="zh-CN"/>
        </w:rPr>
        <w:t>我单位于20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25</w:t>
      </w:r>
      <w:r>
        <w:rPr>
          <w:rFonts w:hint="eastAsia" w:ascii="仿宋_GB2312" w:hAnsi="仿宋" w:eastAsia="仿宋_GB2312" w:cs="仿宋_GB2312"/>
          <w:sz w:val="32"/>
          <w:szCs w:val="32"/>
          <w:lang w:val="zh-CN" w:eastAsia="zh-CN"/>
        </w:rPr>
        <w:t>年3月在黑水县人民政府信息公开网站上公开了《黑水县文化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广播电视</w:t>
      </w:r>
      <w:r>
        <w:rPr>
          <w:rFonts w:hint="eastAsia" w:ascii="仿宋_GB2312" w:hAnsi="仿宋" w:eastAsia="仿宋_GB2312" w:cs="仿宋_GB2312"/>
          <w:sz w:val="32"/>
          <w:szCs w:val="32"/>
          <w:lang w:val="zh-CN" w:eastAsia="zh-CN"/>
        </w:rPr>
        <w:t>和旅游局202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" w:eastAsia="仿宋_GB2312" w:cs="仿宋_GB2312"/>
          <w:sz w:val="32"/>
          <w:szCs w:val="32"/>
          <w:lang w:val="zh-CN" w:eastAsia="zh-CN"/>
        </w:rPr>
        <w:t>年预算编制说明》。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2025年3月</w:t>
      </w:r>
      <w:r>
        <w:rPr>
          <w:rFonts w:hint="eastAsia" w:ascii="仿宋_GB2312" w:hAnsi="仿宋" w:eastAsia="仿宋_GB2312" w:cs="仿宋_GB2312"/>
          <w:sz w:val="32"/>
          <w:szCs w:val="32"/>
          <w:lang w:val="zh-CN" w:eastAsia="zh-CN"/>
        </w:rPr>
        <w:t>在黑水县人民政府信息公开网站上公开了《黑水县文化广播电视和旅游局202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" w:eastAsia="仿宋_GB2312" w:cs="仿宋_GB2312"/>
          <w:sz w:val="32"/>
          <w:szCs w:val="32"/>
          <w:lang w:val="zh-CN" w:eastAsia="zh-CN"/>
        </w:rPr>
        <w:t>年预算编制说明》。202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" w:eastAsia="仿宋_GB2312" w:cs="仿宋_GB2312"/>
          <w:sz w:val="32"/>
          <w:szCs w:val="32"/>
          <w:lang w:val="zh-CN" w:eastAsia="zh-CN"/>
        </w:rPr>
        <w:t>年8月在黑水县人民政府信息公开网站上公开了《202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" w:eastAsia="仿宋_GB2312" w:cs="仿宋_GB2312"/>
          <w:sz w:val="32"/>
          <w:szCs w:val="32"/>
          <w:lang w:val="zh-CN" w:eastAsia="zh-CN"/>
        </w:rPr>
        <w:t>年度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黑水县文化广播电视和旅游局</w:t>
      </w:r>
      <w:r>
        <w:rPr>
          <w:rFonts w:hint="eastAsia" w:ascii="仿宋_GB2312" w:hAnsi="仿宋" w:eastAsia="仿宋_GB2312" w:cs="仿宋_GB2312"/>
          <w:sz w:val="32"/>
          <w:szCs w:val="32"/>
          <w:lang w:val="zh-CN" w:eastAsia="zh-CN"/>
        </w:rPr>
        <w:t>决算编制说明》。</w:t>
      </w:r>
    </w:p>
    <w:p w14:paraId="21CF2D17">
      <w:pPr>
        <w:numPr>
          <w:ilvl w:val="0"/>
          <w:numId w:val="0"/>
        </w:numPr>
        <w:spacing w:line="580" w:lineRule="exact"/>
        <w:ind w:firstLine="640" w:firstLineChars="200"/>
        <w:rPr>
          <w:rFonts w:hint="eastAsia"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sz w:val="32"/>
          <w:szCs w:val="32"/>
          <w:lang w:val="en-US" w:eastAsia="zh-CN"/>
        </w:rPr>
        <w:t>四、</w:t>
      </w:r>
      <w:r>
        <w:rPr>
          <w:rFonts w:hint="eastAsia" w:ascii="仿宋_GB2312" w:hAnsi="黑体" w:eastAsia="仿宋_GB2312" w:cs="黑体"/>
          <w:sz w:val="32"/>
          <w:szCs w:val="32"/>
        </w:rPr>
        <w:t>评价结论及建议</w:t>
      </w:r>
    </w:p>
    <w:p w14:paraId="3888BA4F">
      <w:pPr>
        <w:spacing w:line="580" w:lineRule="exact"/>
        <w:ind w:firstLine="640" w:firstLineChars="200"/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 w:cs="仿宋_GB2312"/>
          <w:sz w:val="32"/>
          <w:szCs w:val="32"/>
          <w:lang w:val="zh-CN"/>
        </w:rPr>
        <w:t>（一）评价结论。</w:t>
      </w:r>
      <w:r>
        <w:rPr>
          <w:rFonts w:hint="eastAsia" w:ascii="仿宋_GB2312" w:hAnsi="仿宋" w:eastAsia="仿宋_GB2312" w:cs="仿宋_GB2312"/>
          <w:sz w:val="32"/>
          <w:szCs w:val="32"/>
        </w:rPr>
        <w:t>我</w:t>
      </w:r>
      <w:r>
        <w:rPr>
          <w:rFonts w:hint="eastAsia" w:ascii="仿宋_GB2312" w:hAnsi="仿宋" w:eastAsia="仿宋_GB2312" w:cs="仿宋_GB2312"/>
          <w:sz w:val="32"/>
          <w:szCs w:val="32"/>
          <w:lang w:eastAsia="zh-CN"/>
        </w:rPr>
        <w:t>局</w:t>
      </w:r>
      <w:r>
        <w:rPr>
          <w:rFonts w:hint="eastAsia" w:ascii="仿宋_GB2312" w:hAnsi="仿宋" w:eastAsia="仿宋_GB2312" w:cs="仿宋_GB2312"/>
          <w:sz w:val="32"/>
          <w:szCs w:val="32"/>
        </w:rPr>
        <w:t>严格对照评分标准，202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" w:eastAsia="仿宋_GB2312" w:cs="仿宋_GB2312"/>
          <w:sz w:val="32"/>
          <w:szCs w:val="32"/>
        </w:rPr>
        <w:t>年度财政部门整体支出绩效评价自评分数为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92.29</w:t>
      </w:r>
      <w:r>
        <w:rPr>
          <w:rFonts w:hint="eastAsia" w:ascii="仿宋_GB2312" w:hAnsi="仿宋" w:eastAsia="仿宋_GB2312" w:cs="仿宋_GB2312"/>
          <w:sz w:val="32"/>
          <w:szCs w:val="32"/>
        </w:rPr>
        <w:t>分</w:t>
      </w:r>
      <w:r>
        <w:rPr>
          <w:rFonts w:hint="eastAsia" w:ascii="仿宋_GB2312" w:hAnsi="仿宋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" w:eastAsia="仿宋_GB2312" w:cs="仿宋_GB2312"/>
          <w:sz w:val="32"/>
          <w:szCs w:val="32"/>
        </w:rPr>
        <w:t>（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详见</w:t>
      </w:r>
      <w:r>
        <w:rPr>
          <w:rFonts w:hint="eastAsia" w:ascii="仿宋_GB2312" w:hAnsi="仿宋" w:eastAsia="仿宋_GB2312" w:cs="仿宋_GB2312"/>
          <w:sz w:val="32"/>
          <w:szCs w:val="32"/>
        </w:rPr>
        <w:t>附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表</w:t>
      </w:r>
      <w:r>
        <w:rPr>
          <w:rFonts w:hint="eastAsia" w:ascii="仿宋_GB2312" w:hAnsi="仿宋" w:eastAsia="仿宋_GB2312" w:cs="仿宋_GB2312"/>
          <w:sz w:val="32"/>
          <w:szCs w:val="32"/>
          <w:lang w:eastAsia="zh-CN"/>
        </w:rPr>
        <w:t>）</w:t>
      </w:r>
    </w:p>
    <w:p w14:paraId="404C8019">
      <w:pPr>
        <w:spacing w:line="580" w:lineRule="exact"/>
        <w:ind w:firstLine="640" w:firstLineChars="200"/>
        <w:rPr>
          <w:rFonts w:hint="default" w:ascii="仿宋_GB2312" w:hAnsi="仿宋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 w:cs="仿宋_GB2312"/>
          <w:sz w:val="32"/>
          <w:szCs w:val="32"/>
          <w:lang w:val="zh-CN"/>
        </w:rPr>
        <w:t>（二）存在问题。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一是</w:t>
      </w:r>
      <w:r>
        <w:rPr>
          <w:rFonts w:hint="eastAsia" w:ascii="仿宋_GB2312" w:hAnsi="仿宋" w:eastAsia="仿宋_GB2312" w:cs="仿宋_GB2312"/>
          <w:sz w:val="32"/>
          <w:szCs w:val="32"/>
          <w:lang w:val="zh-CN"/>
        </w:rPr>
        <w:t>预算编制不够精确，财政资金紧张，存在中期调整取消资金的情况。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二是</w:t>
      </w:r>
      <w:r>
        <w:rPr>
          <w:rFonts w:hint="eastAsia" w:ascii="仿宋_GB2312" w:hAnsi="仿宋" w:eastAsia="仿宋_GB2312" w:cs="仿宋_GB2312"/>
          <w:sz w:val="32"/>
          <w:szCs w:val="32"/>
          <w:lang w:val="zh-CN"/>
        </w:rPr>
        <w:t>因本部门整体支出预算资金的安排及使用上有不可预见性。</w:t>
      </w:r>
    </w:p>
    <w:p w14:paraId="1FB804C0">
      <w:pPr>
        <w:spacing w:line="580" w:lineRule="exact"/>
        <w:ind w:firstLine="640" w:firstLineChars="200"/>
        <w:rPr>
          <w:rFonts w:hint="default" w:ascii="仿宋_GB2312" w:hAnsi="仿宋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 w:cs="仿宋_GB2312"/>
          <w:sz w:val="32"/>
          <w:szCs w:val="32"/>
          <w:lang w:val="zh-CN" w:eastAsia="zh-CN"/>
        </w:rPr>
        <w:t>（三）改进建议</w:t>
      </w:r>
      <w:bookmarkStart w:id="1" w:name="_Hlk110546638"/>
      <w:r>
        <w:rPr>
          <w:rFonts w:hint="eastAsia" w:ascii="仿宋_GB2312" w:hAnsi="仿宋" w:eastAsia="仿宋_GB2312" w:cs="仿宋_GB2312"/>
          <w:sz w:val="32"/>
          <w:szCs w:val="32"/>
          <w:lang w:val="zh-CN" w:eastAsia="zh-CN"/>
        </w:rPr>
        <w:t>。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一是重视绩效管理，切实履行好职责。努力提升工作绩效，围绕财政项目计划安排，合理使用财政资金，让财政监督职责发挥作用。二是建立长效机制。把绩效评价作为部门内控的日常工作，建立绩效评价管理工作考核长效机制。科学设定绩效目标，加强预算执行管理。</w:t>
      </w:r>
      <w:bookmarkEnd w:id="1"/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 xml:space="preserve">     </w:t>
      </w:r>
    </w:p>
    <w:p w14:paraId="412B1518">
      <w:pPr>
        <w:spacing w:line="580" w:lineRule="exact"/>
        <w:ind w:firstLine="640" w:firstLineChars="200"/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 w:cs="仿宋_GB2312"/>
          <w:sz w:val="32"/>
          <w:szCs w:val="32"/>
          <w:lang w:val="en-US" w:eastAsia="zh-CN"/>
        </w:rPr>
        <w:t>附表：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1.部门预算绩效自评打分表</w:t>
      </w:r>
    </w:p>
    <w:p w14:paraId="3D979B36">
      <w:pPr>
        <w:spacing w:line="580" w:lineRule="exact"/>
        <w:ind w:firstLine="1600" w:firstLineChars="500"/>
        <w:rPr>
          <w:rFonts w:hint="default" w:ascii="仿宋_GB2312" w:hAnsi="仿宋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2.</w:t>
      </w:r>
      <w:r>
        <w:rPr>
          <w:rFonts w:hint="default" w:ascii="仿宋_GB2312" w:hAnsi="仿宋" w:eastAsia="仿宋_GB2312" w:cs="仿宋_GB2312"/>
          <w:sz w:val="32"/>
          <w:szCs w:val="32"/>
          <w:lang w:val="en-US" w:eastAsia="zh-CN"/>
        </w:rPr>
        <w:t>部门整体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支出</w:t>
      </w:r>
      <w:r>
        <w:rPr>
          <w:rFonts w:hint="default" w:ascii="仿宋_GB2312" w:hAnsi="仿宋" w:eastAsia="仿宋_GB2312" w:cs="仿宋_GB2312"/>
          <w:sz w:val="32"/>
          <w:szCs w:val="32"/>
          <w:lang w:val="en-US" w:eastAsia="zh-CN"/>
        </w:rPr>
        <w:t>绩效目标完成情况自评表</w:t>
      </w:r>
    </w:p>
    <w:p w14:paraId="2D568DF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8" w:lineRule="exact"/>
        <w:jc w:val="left"/>
        <w:textAlignment w:val="auto"/>
        <w:rPr>
          <w:rFonts w:hint="default" w:ascii="Times New Roman" w:hAnsi="Times New Roman" w:eastAsia="黑体" w:cs="Times New Roman"/>
          <w:kern w:val="2"/>
          <w:sz w:val="32"/>
          <w:szCs w:val="24"/>
          <w:highlight w:val="none"/>
          <w:lang w:val="en-US" w:eastAsia="zh-CN" w:bidi="ar-SA"/>
        </w:rPr>
      </w:pPr>
    </w:p>
    <w:p w14:paraId="261C990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8" w:lineRule="exact"/>
        <w:jc w:val="left"/>
        <w:textAlignment w:val="auto"/>
        <w:rPr>
          <w:rFonts w:hint="default" w:ascii="Times New Roman" w:hAnsi="Times New Roman" w:eastAsia="黑体" w:cs="Times New Roman"/>
          <w:kern w:val="2"/>
          <w:sz w:val="32"/>
          <w:szCs w:val="24"/>
          <w:highlight w:val="none"/>
          <w:lang w:val="en-US" w:eastAsia="zh-CN" w:bidi="ar-SA"/>
        </w:rPr>
      </w:pPr>
    </w:p>
    <w:p w14:paraId="52EDF6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8" w:lineRule="exact"/>
        <w:jc w:val="left"/>
        <w:textAlignment w:val="auto"/>
        <w:rPr>
          <w:rFonts w:hint="default" w:ascii="Times New Roman" w:hAnsi="Times New Roman" w:eastAsia="黑体" w:cs="Times New Roman"/>
          <w:kern w:val="2"/>
          <w:sz w:val="32"/>
          <w:szCs w:val="24"/>
          <w:highlight w:val="none"/>
          <w:lang w:val="en-US" w:eastAsia="zh-CN" w:bidi="ar-SA"/>
        </w:rPr>
      </w:pPr>
    </w:p>
    <w:p w14:paraId="045FB23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8" w:lineRule="exact"/>
        <w:jc w:val="left"/>
        <w:textAlignment w:val="auto"/>
        <w:rPr>
          <w:rFonts w:hint="default" w:ascii="Times New Roman" w:hAnsi="Times New Roman" w:eastAsia="黑体" w:cs="Times New Roman"/>
          <w:kern w:val="2"/>
          <w:sz w:val="32"/>
          <w:szCs w:val="24"/>
          <w:highlight w:val="none"/>
          <w:lang w:val="en-US" w:eastAsia="zh-CN" w:bidi="ar-SA"/>
        </w:rPr>
      </w:pPr>
    </w:p>
    <w:p w14:paraId="268D840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8" w:lineRule="exact"/>
        <w:jc w:val="left"/>
        <w:textAlignment w:val="auto"/>
        <w:rPr>
          <w:rFonts w:hint="default" w:ascii="Times New Roman" w:hAnsi="Times New Roman" w:eastAsia="黑体" w:cs="Times New Roman"/>
          <w:kern w:val="2"/>
          <w:sz w:val="32"/>
          <w:szCs w:val="24"/>
          <w:highlight w:val="none"/>
          <w:lang w:val="en-US" w:eastAsia="zh-CN" w:bidi="ar-SA"/>
        </w:rPr>
      </w:pPr>
    </w:p>
    <w:p w14:paraId="6B1EAB0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8" w:lineRule="exact"/>
        <w:jc w:val="left"/>
        <w:textAlignment w:val="auto"/>
        <w:rPr>
          <w:rFonts w:hint="default" w:ascii="Times New Roman" w:hAnsi="Times New Roman" w:eastAsia="黑体" w:cs="Times New Roman"/>
          <w:kern w:val="2"/>
          <w:sz w:val="32"/>
          <w:szCs w:val="24"/>
          <w:highlight w:val="none"/>
          <w:lang w:val="en-US" w:eastAsia="zh-CN" w:bidi="ar-SA"/>
        </w:rPr>
      </w:pPr>
    </w:p>
    <w:p w14:paraId="41BCF30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8" w:lineRule="exact"/>
        <w:jc w:val="left"/>
        <w:textAlignment w:val="auto"/>
        <w:rPr>
          <w:rFonts w:hint="default" w:ascii="Times New Roman" w:hAnsi="Times New Roman" w:eastAsia="黑体" w:cs="Times New Roman"/>
          <w:kern w:val="2"/>
          <w:sz w:val="32"/>
          <w:szCs w:val="24"/>
          <w:highlight w:val="none"/>
          <w:lang w:val="en-US" w:eastAsia="zh-CN" w:bidi="ar-SA"/>
        </w:rPr>
      </w:pPr>
    </w:p>
    <w:p w14:paraId="7AA703E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8" w:lineRule="exact"/>
        <w:jc w:val="left"/>
        <w:textAlignment w:val="auto"/>
        <w:rPr>
          <w:rFonts w:hint="default" w:ascii="Times New Roman" w:hAnsi="Times New Roman" w:eastAsia="黑体" w:cs="Times New Roman"/>
          <w:kern w:val="2"/>
          <w:sz w:val="32"/>
          <w:szCs w:val="24"/>
          <w:highlight w:val="none"/>
          <w:lang w:val="en-US" w:eastAsia="zh-CN" w:bidi="ar-SA"/>
        </w:rPr>
      </w:pPr>
    </w:p>
    <w:p w14:paraId="53117AF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8" w:lineRule="exact"/>
        <w:jc w:val="left"/>
        <w:textAlignment w:val="auto"/>
        <w:rPr>
          <w:rFonts w:hint="default" w:ascii="Times New Roman" w:hAnsi="Times New Roman" w:eastAsia="黑体" w:cs="Times New Roman"/>
          <w:kern w:val="2"/>
          <w:sz w:val="32"/>
          <w:szCs w:val="24"/>
          <w:highlight w:val="none"/>
          <w:lang w:val="en-US" w:eastAsia="zh-CN" w:bidi="ar-SA"/>
        </w:rPr>
      </w:pPr>
    </w:p>
    <w:p w14:paraId="4C79F5C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8" w:lineRule="exact"/>
        <w:jc w:val="left"/>
        <w:textAlignment w:val="auto"/>
        <w:rPr>
          <w:rFonts w:hint="default" w:ascii="Times New Roman" w:hAnsi="Times New Roman" w:eastAsia="黑体" w:cs="Times New Roman"/>
          <w:kern w:val="2"/>
          <w:sz w:val="32"/>
          <w:szCs w:val="24"/>
          <w:highlight w:val="none"/>
          <w:lang w:val="en-US" w:eastAsia="zh-CN" w:bidi="ar-SA"/>
        </w:rPr>
      </w:pPr>
    </w:p>
    <w:p w14:paraId="2C0CD9E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8" w:lineRule="exact"/>
        <w:jc w:val="left"/>
        <w:textAlignment w:val="auto"/>
        <w:rPr>
          <w:rFonts w:hint="default" w:ascii="Times New Roman" w:hAnsi="Times New Roman" w:eastAsia="黑体" w:cs="Times New Roman"/>
          <w:kern w:val="2"/>
          <w:sz w:val="32"/>
          <w:szCs w:val="24"/>
          <w:highlight w:val="none"/>
          <w:lang w:val="en-US" w:eastAsia="zh-CN" w:bidi="ar-SA"/>
        </w:rPr>
      </w:pPr>
    </w:p>
    <w:p w14:paraId="5E306D0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8" w:lineRule="exact"/>
        <w:jc w:val="left"/>
        <w:textAlignment w:val="auto"/>
        <w:rPr>
          <w:rFonts w:hint="default" w:ascii="Times New Roman" w:hAnsi="Times New Roman" w:eastAsia="黑体" w:cs="Times New Roman"/>
          <w:kern w:val="2"/>
          <w:sz w:val="32"/>
          <w:szCs w:val="24"/>
          <w:highlight w:val="none"/>
          <w:lang w:val="en-US" w:eastAsia="zh-CN" w:bidi="ar-SA"/>
        </w:rPr>
      </w:pPr>
    </w:p>
    <w:p w14:paraId="3D2D4AE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8" w:lineRule="exact"/>
        <w:jc w:val="left"/>
        <w:textAlignment w:val="auto"/>
        <w:rPr>
          <w:rFonts w:hint="default" w:ascii="Times New Roman" w:hAnsi="Times New Roman" w:eastAsia="黑体" w:cs="Times New Roman"/>
          <w:kern w:val="2"/>
          <w:sz w:val="32"/>
          <w:szCs w:val="24"/>
          <w:highlight w:val="none"/>
          <w:lang w:val="en-US" w:eastAsia="zh-CN" w:bidi="ar-SA"/>
        </w:rPr>
      </w:pPr>
    </w:p>
    <w:p w14:paraId="7941C99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8" w:lineRule="exact"/>
        <w:jc w:val="left"/>
        <w:textAlignment w:val="auto"/>
        <w:rPr>
          <w:rFonts w:hint="default" w:ascii="Times New Roman" w:hAnsi="Times New Roman" w:eastAsia="黑体" w:cs="Times New Roman"/>
          <w:kern w:val="2"/>
          <w:sz w:val="32"/>
          <w:szCs w:val="24"/>
          <w:highlight w:val="none"/>
          <w:lang w:val="en-US" w:eastAsia="zh-CN" w:bidi="ar-SA"/>
        </w:rPr>
      </w:pPr>
    </w:p>
    <w:p w14:paraId="0C2FFF2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8" w:lineRule="exact"/>
        <w:jc w:val="left"/>
        <w:textAlignment w:val="auto"/>
        <w:rPr>
          <w:rFonts w:hint="default" w:ascii="Times New Roman" w:hAnsi="Times New Roman" w:eastAsia="黑体" w:cs="Times New Roman"/>
          <w:kern w:val="2"/>
          <w:sz w:val="32"/>
          <w:szCs w:val="24"/>
          <w:highlight w:val="none"/>
          <w:lang w:val="en-US" w:eastAsia="zh-CN" w:bidi="ar-SA"/>
        </w:rPr>
      </w:pPr>
    </w:p>
    <w:p w14:paraId="7FA4CDBE">
      <w:pPr>
        <w:pStyle w:val="2"/>
        <w:rPr>
          <w:rFonts w:hint="default"/>
          <w:lang w:val="en-US" w:eastAsia="zh-CN"/>
        </w:rPr>
      </w:pPr>
      <w:bookmarkStart w:id="2" w:name="_GoBack"/>
      <w:bookmarkEnd w:id="2"/>
    </w:p>
    <w:p w14:paraId="1401D90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8" w:lineRule="exact"/>
        <w:jc w:val="left"/>
        <w:textAlignment w:val="auto"/>
        <w:rPr>
          <w:rFonts w:hint="eastAsia" w:ascii="Times New Roman" w:hAnsi="Times New Roman" w:eastAsia="黑体" w:cs="Times New Roman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24"/>
          <w:highlight w:val="none"/>
          <w:lang w:val="en-US" w:eastAsia="zh-CN" w:bidi="ar-SA"/>
        </w:rPr>
        <w:t>附表</w:t>
      </w:r>
      <w:r>
        <w:rPr>
          <w:rFonts w:hint="eastAsia" w:ascii="Times New Roman" w:hAnsi="Times New Roman" w:eastAsia="黑体" w:cs="Times New Roman"/>
          <w:kern w:val="2"/>
          <w:sz w:val="32"/>
          <w:szCs w:val="24"/>
          <w:highlight w:val="none"/>
          <w:lang w:val="en-US" w:eastAsia="zh-CN" w:bidi="ar-SA"/>
        </w:rPr>
        <w:t>1</w:t>
      </w:r>
    </w:p>
    <w:p w14:paraId="7925C4E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center"/>
        <w:outlineLvl w:val="9"/>
        <w:rPr>
          <w:rFonts w:hint="eastAsia" w:ascii="Times New Roman" w:hAnsi="Times New Roman" w:eastAsia="方正小标宋简体" w:cs="Times New Roman"/>
          <w:i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Times New Roman" w:hAnsi="Times New Roman" w:eastAsia="方正小标宋简体" w:cs="Times New Roman"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部门预算绩效自评打分表</w:t>
      </w:r>
    </w:p>
    <w:tbl>
      <w:tblPr>
        <w:tblStyle w:val="6"/>
        <w:tblW w:w="108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4"/>
        <w:gridCol w:w="1462"/>
        <w:gridCol w:w="1665"/>
        <w:gridCol w:w="720"/>
        <w:gridCol w:w="4734"/>
        <w:gridCol w:w="756"/>
        <w:gridCol w:w="478"/>
      </w:tblGrid>
      <w:tr w14:paraId="0122D9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85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660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绩效评价指标指标分值</w:t>
            </w:r>
          </w:p>
        </w:tc>
        <w:tc>
          <w:tcPr>
            <w:tcW w:w="47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0F1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指标解释</w:t>
            </w:r>
          </w:p>
        </w:tc>
        <w:tc>
          <w:tcPr>
            <w:tcW w:w="7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899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自评得分</w:t>
            </w:r>
          </w:p>
        </w:tc>
        <w:tc>
          <w:tcPr>
            <w:tcW w:w="47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206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0CEA0D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C1802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C5E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029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DF9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分值</w:t>
            </w:r>
          </w:p>
        </w:tc>
        <w:tc>
          <w:tcPr>
            <w:tcW w:w="47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DFC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A27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156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87AA5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10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62D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总体绩效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（65分）</w:t>
            </w: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913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履职效能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（15分）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16B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在职人员工资保险履职效果</w:t>
            </w:r>
          </w:p>
        </w:tc>
        <w:tc>
          <w:tcPr>
            <w:tcW w:w="720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FB1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473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A3E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部门整体绩效目标中选定3-5个核心职能目标，反映该项职能目标完成效果情况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9F5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FBE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3BEF0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177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B79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3FC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全县重大文化活动的开展履职效果</w:t>
            </w:r>
          </w:p>
        </w:tc>
        <w:tc>
          <w:tcPr>
            <w:tcW w:w="7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C4A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7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A98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DD1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67F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2AD4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89A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F9C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E4B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指导和协调全县文化，广播影视，新闻出版基础设施布局规划实施履职效果</w:t>
            </w:r>
          </w:p>
        </w:tc>
        <w:tc>
          <w:tcPr>
            <w:tcW w:w="7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6A1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7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49B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D94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955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E29E4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3CB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6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BE4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58F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负责管理全县文物事业，保护，抢救及三馆免费开放等工作履职效果</w:t>
            </w:r>
          </w:p>
        </w:tc>
        <w:tc>
          <w:tcPr>
            <w:tcW w:w="7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3A9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73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9F2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386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368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385B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D8B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260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预算管理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（25分）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DC1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预算编制质量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F6A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E97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部门是否严格按要求编制年初部门预算，年初预算编制的科学性和准确性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50B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3.29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3E5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06E0A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BEE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899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1FD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单位收入统筹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7E3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031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部门统筹自有收入程度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F1E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299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1DD5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4F0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595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2D7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支出执行进度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687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B19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部门1至6月、1至10月预算执行情况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08E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A89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EBEE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313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E5A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E72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预算年终结余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17F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C8C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部门整体年终预算结余情况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76B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7AD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4638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BE8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15D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0A4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严控一般性支出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3E4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24A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部门严控“三公”经费、会议、培训、差旅、办节办展、办公设备购置、信息网络及软件购置更新、课题经费等8项一般性支出情况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5DB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394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72EEB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A1E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9EB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财务管理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（10分）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D91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财务管理制度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23F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8D4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部门财务管理制度建立情况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DC6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D89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FAA05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176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768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C3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财务岗位设置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FBA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1B0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部门财务岗位设置是否符合相关财务管理制度要求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5A0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C08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1BF4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EC5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C1B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5D9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资金使用规范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0C4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5B0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部门资金使用是否符合相关财务管理制度规定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DED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4D8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AB158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0A3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1F3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资产管理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（9分）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08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人均资产变化率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812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A27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部门人均资产变化情况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C07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887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53260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E5A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CEA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3FE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资产利用率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D20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396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部门资产超最低使用年限情况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E37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082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06CF7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A3D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总体绩效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（65分）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B67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资产管理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（9分）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D4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资产盘活率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3D1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76F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部门闲置一年以上的资产盘活情况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5E3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953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7047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CA1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D4D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采购管理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（6分）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CF7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支持中小企业发展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804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B38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部门是否严格执行政府采购促进中小企业发展相关管理办法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F44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333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A021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A2F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B1E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426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采购执行率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DC1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55A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部门政府采购项目资金支付比例情况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3FB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15C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B573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576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项目绩效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（35分）</w:t>
            </w: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0D64F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项目决策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（12分）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1FF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决策程序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28F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DD5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部门预算项目设立是否按规定履行评估论证、申报程序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DC6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D24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4E004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E85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87D1B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BA3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目标设置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306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132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部门预算项目绩效目标与计划期内的任务量、预算安排的资金量匹配情况，绩效目标设置是否科学合理、规范完整、量化细化、预算匹配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DA3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026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563D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A2D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E5058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864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项目入库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B24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DE0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部门预算项目是否在规定时间完成项目入库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A85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AE8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08599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D26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D2871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项目执行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（12分）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044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执行同向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59F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8E1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部门预算项目实际列支内容是否与绩效目标设置方向相符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4A4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C51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E567D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D46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16D6C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A4ADC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项目调整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206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BE2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部门预算项目是否采取对应调整措施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A45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E09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EB6B9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C95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B820E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112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执行结果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2EF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91F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部门预算项目预算执行情况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0FC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17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61603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454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302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目标实现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（11分）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FD1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目标完成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F9C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D0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部门预算项目绩效目标数量指标完成情况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E07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49D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28525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750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81B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E99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目标偏离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220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DC0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部门预算项目绩效目标数量指标实现程度与预期目标的偏离情况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FC6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3BD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0E0F0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61B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E1F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570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实现效果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204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6F3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部门预算项目绩效目标效益指标实施效果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637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72E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273EB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C5E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扣分项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（10分）</w:t>
            </w:r>
          </w:p>
        </w:tc>
        <w:tc>
          <w:tcPr>
            <w:tcW w:w="3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A81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被评价部门配合度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A95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D1D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被评价对象工作配合情况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9F2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202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3B2E6B40">
      <w:pPr>
        <w:pStyle w:val="10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/>
          <w:lang w:val="en-US" w:eastAsia="zh-CN"/>
        </w:rPr>
      </w:pPr>
    </w:p>
    <w:p w14:paraId="1821E675">
      <w:pPr>
        <w:rPr>
          <w:rFonts w:hint="default" w:ascii="Times New Roman" w:hAnsi="Times New Roman" w:eastAsia="黑体" w:cs="Times New Roman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24"/>
          <w:highlight w:val="none"/>
          <w:lang w:val="en-US" w:eastAsia="zh-CN" w:bidi="ar-SA"/>
        </w:rPr>
        <w:br w:type="page"/>
      </w:r>
    </w:p>
    <w:p w14:paraId="2C8A652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8" w:lineRule="exact"/>
        <w:jc w:val="left"/>
        <w:textAlignment w:val="auto"/>
        <w:rPr>
          <w:rFonts w:hint="default" w:ascii="Times New Roman" w:hAnsi="Times New Roman" w:eastAsia="黑体" w:cs="Times New Roman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24"/>
          <w:highlight w:val="none"/>
          <w:lang w:val="en-US" w:eastAsia="zh-CN" w:bidi="ar-SA"/>
        </w:rPr>
        <w:t>附表</w:t>
      </w:r>
      <w:r>
        <w:rPr>
          <w:rFonts w:hint="eastAsia" w:ascii="Times New Roman" w:hAnsi="Times New Roman" w:eastAsia="黑体" w:cs="Times New Roman"/>
          <w:kern w:val="2"/>
          <w:sz w:val="32"/>
          <w:szCs w:val="24"/>
          <w:highlight w:val="none"/>
          <w:lang w:val="en-US" w:eastAsia="zh-CN" w:bidi="ar-SA"/>
        </w:rPr>
        <w:t>2</w:t>
      </w:r>
    </w:p>
    <w:tbl>
      <w:tblPr>
        <w:tblStyle w:val="6"/>
        <w:tblW w:w="1050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09"/>
        <w:gridCol w:w="1347"/>
        <w:gridCol w:w="1273"/>
        <w:gridCol w:w="1100"/>
        <w:gridCol w:w="1144"/>
        <w:gridCol w:w="1290"/>
        <w:gridCol w:w="1058"/>
        <w:gridCol w:w="926"/>
        <w:gridCol w:w="1057"/>
      </w:tblGrid>
      <w:tr w14:paraId="07576E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2" w:hRule="exact"/>
          <w:jc w:val="center"/>
        </w:trPr>
        <w:tc>
          <w:tcPr>
            <w:tcW w:w="10504" w:type="dxa"/>
            <w:gridSpan w:val="9"/>
            <w:shd w:val="clear" w:color="auto" w:fill="auto"/>
            <w:vAlign w:val="center"/>
          </w:tcPr>
          <w:p w14:paraId="132A65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outlineLvl w:val="9"/>
              <w:rPr>
                <w:rFonts w:hint="default" w:ascii="Times New Roman" w:hAnsi="Times New Roman" w:eastAsia="黑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部门整体</w:t>
            </w:r>
            <w:r>
              <w:rPr>
                <w:rFonts w:hint="eastAsia" w:eastAsia="方正小标宋简体" w:cs="Times New Roman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支出</w:t>
            </w:r>
            <w:r>
              <w:rPr>
                <w:rFonts w:hint="default" w:ascii="Times New Roman" w:hAnsi="Times New Roman" w:eastAsia="方正小标宋简体" w:cs="Times New Roman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绩效目标完成情况自评表</w:t>
            </w:r>
          </w:p>
        </w:tc>
      </w:tr>
      <w:tr w14:paraId="195843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0504" w:type="dxa"/>
            <w:gridSpan w:val="9"/>
            <w:shd w:val="clear" w:color="auto" w:fill="auto"/>
            <w:vAlign w:val="center"/>
          </w:tcPr>
          <w:p w14:paraId="212170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（202</w:t>
            </w:r>
            <w:r>
              <w:rPr>
                <w:rFonts w:hint="eastAsia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年度）</w:t>
            </w:r>
          </w:p>
        </w:tc>
      </w:tr>
      <w:tr w14:paraId="02B66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0504" w:type="dxa"/>
            <w:gridSpan w:val="9"/>
            <w:tcBorders>
              <w:bottom w:val="single" w:color="000000" w:sz="4" w:space="0"/>
            </w:tcBorders>
            <w:shd w:val="clear" w:color="auto" w:fill="auto"/>
            <w:vAlign w:val="center"/>
          </w:tcPr>
          <w:p w14:paraId="14359B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单位：万元</w:t>
            </w:r>
          </w:p>
        </w:tc>
      </w:tr>
      <w:tr w14:paraId="4A903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39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941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部门名称</w:t>
            </w:r>
          </w:p>
        </w:tc>
        <w:tc>
          <w:tcPr>
            <w:tcW w:w="65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FA6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黑水县文化广播电视和旅游局</w:t>
            </w:r>
          </w:p>
        </w:tc>
      </w:tr>
      <w:tr w14:paraId="0F73C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D65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年度部门整体支出预算</w:t>
            </w: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2A1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资金总额</w:t>
            </w:r>
          </w:p>
        </w:tc>
        <w:tc>
          <w:tcPr>
            <w:tcW w:w="22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308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财政拨款</w:t>
            </w:r>
          </w:p>
        </w:tc>
        <w:tc>
          <w:tcPr>
            <w:tcW w:w="43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841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其他资金</w:t>
            </w:r>
          </w:p>
        </w:tc>
      </w:tr>
      <w:tr w14:paraId="61A67F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479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D9E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4532.72</w:t>
            </w:r>
          </w:p>
        </w:tc>
        <w:tc>
          <w:tcPr>
            <w:tcW w:w="22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ACB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4532.72</w:t>
            </w:r>
          </w:p>
        </w:tc>
        <w:tc>
          <w:tcPr>
            <w:tcW w:w="43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B73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0B6184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04F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年度总体</w:t>
            </w:r>
          </w:p>
          <w:p w14:paraId="2663A9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目标</w:t>
            </w:r>
          </w:p>
        </w:tc>
        <w:tc>
          <w:tcPr>
            <w:tcW w:w="919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6E3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1：不断完善公共服务体系建设</w:t>
            </w:r>
          </w:p>
          <w:p w14:paraId="53D48D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2：持续推进旅游向好发展</w:t>
            </w:r>
          </w:p>
          <w:p w14:paraId="21C0D0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outlineLvl w:val="9"/>
              <w:rPr>
                <w:rFonts w:hint="eastAsia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3：不断加强文旅市场监管</w:t>
            </w:r>
          </w:p>
          <w:p w14:paraId="3E2B45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4：做好文物遗产保护工作</w:t>
            </w:r>
          </w:p>
          <w:p w14:paraId="47F786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FFF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4AE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年度主要</w:t>
            </w:r>
          </w:p>
          <w:p w14:paraId="3EC3CE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任务</w:t>
            </w: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DAA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任务名称</w:t>
            </w:r>
          </w:p>
        </w:tc>
        <w:tc>
          <w:tcPr>
            <w:tcW w:w="65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820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主要内容</w:t>
            </w:r>
          </w:p>
        </w:tc>
      </w:tr>
      <w:tr w14:paraId="27E34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938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B2F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基本支出：在职人员工资保险</w:t>
            </w:r>
          </w:p>
        </w:tc>
        <w:tc>
          <w:tcPr>
            <w:tcW w:w="65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5C8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在职人员</w:t>
            </w: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54</w:t>
            </w: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人工资、保险</w:t>
            </w:r>
          </w:p>
        </w:tc>
      </w:tr>
      <w:tr w14:paraId="0D7A87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3B7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BE0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项目支出</w:t>
            </w: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：两馆及文化站免费开放</w:t>
            </w:r>
          </w:p>
        </w:tc>
        <w:tc>
          <w:tcPr>
            <w:tcW w:w="65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598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两</w:t>
            </w:r>
            <w:r>
              <w:rPr>
                <w:rFonts w:hint="default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馆及15个文化站定时免费开放个及管理维护共计完成</w:t>
            </w: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118.68</w:t>
            </w:r>
            <w:r>
              <w:rPr>
                <w:rFonts w:hint="default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万元支付</w:t>
            </w:r>
          </w:p>
        </w:tc>
      </w:tr>
      <w:tr w14:paraId="67B7B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95" w:hRule="atLeast"/>
          <w:jc w:val="center"/>
        </w:trPr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D15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1F5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基本支出：定额经费</w:t>
            </w:r>
          </w:p>
        </w:tc>
        <w:tc>
          <w:tcPr>
            <w:tcW w:w="65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483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202</w:t>
            </w:r>
            <w:r>
              <w:rPr>
                <w:rFonts w:hint="eastAsia" w:asci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5</w:t>
            </w:r>
            <w:r>
              <w:rPr>
                <w:rFonts w:asci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年定额公用经费</w:t>
            </w:r>
            <w:r>
              <w:rPr>
                <w:rFonts w:hint="eastAsia" w:asci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129.67万元</w:t>
            </w:r>
            <w:r>
              <w:rPr>
                <w:rFonts w:asci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，其中行政</w:t>
            </w:r>
            <w:r>
              <w:rPr>
                <w:rFonts w:hint="eastAsia" w:asci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82.16万</w:t>
            </w:r>
            <w:r>
              <w:rPr>
                <w:rFonts w:asci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元，事业</w:t>
            </w:r>
            <w:r>
              <w:rPr>
                <w:rFonts w:hint="eastAsia" w:asci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47.51万</w:t>
            </w:r>
            <w:r>
              <w:rPr>
                <w:rFonts w:asci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元。车运行维护费</w:t>
            </w:r>
            <w:r>
              <w:rPr>
                <w:rFonts w:hint="eastAsia" w:asci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21.27万</w:t>
            </w:r>
            <w:r>
              <w:rPr>
                <w:rFonts w:asci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元；</w:t>
            </w:r>
            <w:r>
              <w:rPr>
                <w:rFonts w:hint="eastAsia" w:asci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办公费43.37万元</w:t>
            </w:r>
            <w:r>
              <w:rPr>
                <w:rFonts w:asci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;</w:t>
            </w:r>
            <w:r>
              <w:rPr>
                <w:rFonts w:hint="eastAsia" w:asci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手续费0.09万元；</w:t>
            </w:r>
            <w:r>
              <w:rPr>
                <w:rFonts w:asci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水费</w:t>
            </w:r>
            <w:r>
              <w:rPr>
                <w:rFonts w:hint="eastAsia" w:asci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0.5万</w:t>
            </w:r>
            <w:r>
              <w:rPr>
                <w:rFonts w:asci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元；电费</w:t>
            </w:r>
            <w:r>
              <w:rPr>
                <w:rFonts w:hint="eastAsia" w:asci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11万</w:t>
            </w:r>
            <w:r>
              <w:rPr>
                <w:rFonts w:asci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元；</w:t>
            </w:r>
            <w:r>
              <w:rPr>
                <w:rFonts w:hint="eastAsia" w:asci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邮电费6.89万元；差旅费42.63万元；福利费0.3万元，</w:t>
            </w:r>
            <w:r>
              <w:rPr>
                <w:rFonts w:asci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培训费</w:t>
            </w:r>
            <w:r>
              <w:rPr>
                <w:rFonts w:hint="eastAsia" w:asci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3.61万</w:t>
            </w:r>
            <w:r>
              <w:rPr>
                <w:rFonts w:asci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元</w:t>
            </w:r>
            <w:r>
              <w:rPr>
                <w:rFonts w:hint="eastAsia" w:asci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。</w:t>
            </w:r>
          </w:p>
        </w:tc>
      </w:tr>
      <w:tr w14:paraId="755707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D06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5CE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项目支出：</w:t>
            </w: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公共文化服务活动</w:t>
            </w:r>
          </w:p>
        </w:tc>
        <w:tc>
          <w:tcPr>
            <w:tcW w:w="65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023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参加各级各类文化赛事系列活动及开展文化活动；开展文化线上、线下宣传推广展示展演；开展文物及非物质文化遗产保护等；文化馆（站））提升相关工作等，</w:t>
            </w:r>
            <w:r>
              <w:rPr>
                <w:rFonts w:hint="default" w:ascii="宋体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zh-CN" w:eastAsia="zh-CN"/>
              </w:rPr>
              <w:t>公共文化服务活动共计</w:t>
            </w:r>
            <w:r>
              <w:rPr>
                <w:rFonts w:hint="eastAsia" w:ascii="宋体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155.84</w:t>
            </w:r>
            <w:r>
              <w:rPr>
                <w:rFonts w:hint="default" w:ascii="宋体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zh-CN" w:eastAsia="zh-CN"/>
              </w:rPr>
              <w:t>万元</w:t>
            </w:r>
          </w:p>
        </w:tc>
      </w:tr>
      <w:tr w14:paraId="42B577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500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年度绩效</w:t>
            </w:r>
          </w:p>
          <w:p w14:paraId="458385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8EA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F38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01B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392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绩效指标</w:t>
            </w:r>
          </w:p>
          <w:p w14:paraId="5232A5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性质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3E7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绩效指标值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DD7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绩效度量单位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64E8E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权重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ADB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实际完成</w:t>
            </w:r>
          </w:p>
          <w:p w14:paraId="1B1870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指标值</w:t>
            </w:r>
          </w:p>
        </w:tc>
      </w:tr>
      <w:tr w14:paraId="25F641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30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8CE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4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3B4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2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77E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F34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发放职工工资保险人数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D2A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≥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DD4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B94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4066A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62B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</w:tr>
      <w:tr w14:paraId="54119A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A1B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0EF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C8C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5A6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完成送戏下乡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EF8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≥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A5E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26C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场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E999E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6C4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</w:tr>
      <w:tr w14:paraId="4A9760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7E4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66A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149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0BA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免费开放相关场馆及文化站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DCE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≥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1F1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A3F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090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05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1F2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17</w:t>
            </w:r>
          </w:p>
        </w:tc>
      </w:tr>
      <w:tr w14:paraId="76446A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7F5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A03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F3F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334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非遗、三区人才旅游人才培养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788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≥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BD6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13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1ED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人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7DD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49A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13</w:t>
            </w:r>
          </w:p>
        </w:tc>
      </w:tr>
      <w:tr w14:paraId="1EAE8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95" w:hRule="atLeast"/>
          <w:jc w:val="center"/>
        </w:trPr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F36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C0E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342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4EE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按时完成在职职工的工资保险支付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C24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≥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870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100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B8D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%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7B8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24B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100</w:t>
            </w:r>
          </w:p>
        </w:tc>
      </w:tr>
      <w:tr w14:paraId="484F3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EC2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78C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1FF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7F9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送戏下乡活动开展率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ACD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≥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1C2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100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690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%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63D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DB2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100</w:t>
            </w:r>
          </w:p>
        </w:tc>
      </w:tr>
      <w:tr w14:paraId="6859D3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506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C76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6E2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A64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公共文化活动开展完成率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5A4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≥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C82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95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52F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%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1F4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539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95</w:t>
            </w:r>
          </w:p>
        </w:tc>
      </w:tr>
      <w:tr w14:paraId="7D1543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395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28B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430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F44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加强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文旅市场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监管</w:t>
            </w:r>
          </w:p>
          <w:p w14:paraId="3D12E6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14C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≥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F88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90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398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%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193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BF6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90</w:t>
            </w:r>
          </w:p>
        </w:tc>
      </w:tr>
      <w:tr w14:paraId="7A34E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F77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4E4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FC1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时效指标</w:t>
            </w:r>
          </w:p>
          <w:p w14:paraId="0A7ECB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6DD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工资保险完成时间及项目完成时间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DED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=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117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D07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月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89B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F12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</w:tr>
      <w:tr w14:paraId="19DAB3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E80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8C6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85B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755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送戏下乡完成时间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D15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=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60B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B80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月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513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492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</w:tr>
      <w:tr w14:paraId="143CC6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7EA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6</w:t>
            </w:r>
          </w:p>
        </w:tc>
        <w:tc>
          <w:tcPr>
            <w:tcW w:w="13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33C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2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D5A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社会效益</w:t>
            </w:r>
          </w:p>
          <w:p w14:paraId="4175BD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</w:t>
            </w:r>
          </w:p>
          <w:p w14:paraId="372B9D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7B7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加强了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文旅市场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监管</w:t>
            </w:r>
          </w:p>
          <w:p w14:paraId="63DEEA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C75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≥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189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90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9A9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%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26E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985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</w:tr>
      <w:tr w14:paraId="6A06D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EDD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A7B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E8C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5A4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完善了公共服务体系建设</w:t>
            </w:r>
          </w:p>
          <w:p w14:paraId="2F80AC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187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≥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B9E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90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EBC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%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829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1C7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90</w:t>
            </w:r>
          </w:p>
        </w:tc>
      </w:tr>
      <w:tr w14:paraId="76D144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95A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5D4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C9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1DC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提升文物遗产保护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工作</w:t>
            </w:r>
          </w:p>
          <w:p w14:paraId="021273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050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≥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242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90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E90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%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01B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1A1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90</w:t>
            </w:r>
          </w:p>
        </w:tc>
      </w:tr>
      <w:tr w14:paraId="408A8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105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D6F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5E1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CFD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惠及职工及</w:t>
            </w: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公共文化服务对象</w:t>
            </w: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满意度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B6C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≥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AB3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95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69F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%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203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F1C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95</w:t>
            </w:r>
          </w:p>
        </w:tc>
      </w:tr>
    </w:tbl>
    <w:p w14:paraId="1C6AC3E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center"/>
        <w:outlineLvl w:val="9"/>
        <w:rPr>
          <w:rFonts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zNmEyOTFjMjZjODc0OGIyZjk3N2Q1Zjc3YWU5MjEifQ=="/>
  </w:docVars>
  <w:rsids>
    <w:rsidRoot w:val="00491B22"/>
    <w:rsid w:val="00291808"/>
    <w:rsid w:val="00491B22"/>
    <w:rsid w:val="0052390C"/>
    <w:rsid w:val="0A8D0B72"/>
    <w:rsid w:val="134E2D3F"/>
    <w:rsid w:val="21AB2137"/>
    <w:rsid w:val="294762D3"/>
    <w:rsid w:val="30CE23C4"/>
    <w:rsid w:val="34EB1F43"/>
    <w:rsid w:val="36435EC2"/>
    <w:rsid w:val="36B33242"/>
    <w:rsid w:val="39F6327A"/>
    <w:rsid w:val="3C330563"/>
    <w:rsid w:val="43EB7E23"/>
    <w:rsid w:val="45372834"/>
    <w:rsid w:val="4DD97D2F"/>
    <w:rsid w:val="562876A0"/>
    <w:rsid w:val="60D032A5"/>
    <w:rsid w:val="651662EB"/>
    <w:rsid w:val="6880349D"/>
    <w:rsid w:val="6AA77A2C"/>
    <w:rsid w:val="70791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qFormat="1" w:unhideWhenUsed="0" w:uiPriority="0" w:semiHidden="0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figures"/>
    <w:basedOn w:val="1"/>
    <w:next w:val="1"/>
    <w:qFormat/>
    <w:uiPriority w:val="0"/>
    <w:pPr>
      <w:ind w:left="400" w:leftChars="200" w:hanging="200" w:hangingChars="200"/>
    </w:p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  <w:style w:type="paragraph" w:customStyle="1" w:styleId="10">
    <w:name w:val="标题 5（有编号）（绿盟科技）"/>
    <w:next w:val="1"/>
    <w:qFormat/>
    <w:uiPriority w:val="99"/>
    <w:pPr>
      <w:keepNext/>
      <w:keepLines/>
      <w:widowControl w:val="0"/>
      <w:spacing w:before="280" w:after="156" w:line="377" w:lineRule="auto"/>
      <w:outlineLvl w:val="4"/>
    </w:pPr>
    <w:rPr>
      <w:rFonts w:ascii="Arial" w:hAnsi="Arial" w:eastAsia="黑体" w:cs="Times New Roman"/>
      <w:b/>
      <w:kern w:val="2"/>
      <w:sz w:val="24"/>
      <w:szCs w:val="2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8</Pages>
  <Words>3316</Words>
  <Characters>3602</Characters>
  <Lines>2</Lines>
  <Paragraphs>1</Paragraphs>
  <TotalTime>0</TotalTime>
  <ScaleCrop>false</ScaleCrop>
  <LinksUpToDate>false</LinksUpToDate>
  <CharactersWithSpaces>3608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2019-08-19T01:06:00Z</dcterms:created>
  <dc:creator>Sky123.Org</dc:creator>
  <cp:lastModifiedBy>WPS_1604458475</cp:lastModifiedBy>
  <dcterms:modified xsi:type="dcterms:W3CDTF">2026-09-01T08:30:15Z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BB532A720DAC4D63BECAA8AC62ABD72E_13</vt:lpwstr>
  </property>
  <property fmtid="{D5CDD505-2E9C-101B-9397-08002B2CF9AE}" pid="4" name="KSOTemplateDocerSaveRecord">
    <vt:lpwstr>eyJoZGlkIjoiYmMxZWViYzY2OTBkMWNmMDZlNjI2NmUwYzQyZTk2ZTMiLCJ1c2VySWQiOiIxMTM5OTQ5NTAyIn0=</vt:lpwstr>
  </property>
</Properties>
</file>