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44"/>
          <w:szCs w:val="44"/>
        </w:rPr>
      </w:pPr>
      <w:r>
        <w:rPr>
          <w:rFonts w:hint="eastAsia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-985520</wp:posOffset>
            </wp:positionH>
            <wp:positionV relativeFrom="page">
              <wp:posOffset>10795</wp:posOffset>
            </wp:positionV>
            <wp:extent cx="7538720" cy="10654665"/>
            <wp:effectExtent l="0" t="0" r="0" b="0"/>
            <wp:wrapNone/>
            <wp:docPr id="2" name="图片 5" descr="自然局红头文件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自然局红头文件3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38720" cy="1065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sz w:val="44"/>
          <w:szCs w:val="44"/>
        </w:rPr>
      </w:pPr>
    </w:p>
    <w:p>
      <w:pPr>
        <w:rPr>
          <w:sz w:val="44"/>
          <w:szCs w:val="44"/>
        </w:rPr>
      </w:pPr>
    </w:p>
    <w:p>
      <w:pPr>
        <w:spacing w:line="560" w:lineRule="exact"/>
        <w:rPr>
          <w:rFonts w:eastAsia="方正小标宋_GBK" w:cs="方正小标宋_GBK"/>
          <w:bCs/>
          <w:sz w:val="44"/>
          <w:szCs w:val="44"/>
        </w:rPr>
      </w:pP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黑水县自然资源局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黑水县2025年度地质灾害避险搬迁项目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专项预算绩效自评报告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  <w:lang w:val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项目概况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（一）设立背景及基本情况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设立背景:近年来，受“8.8”九寨沟地震、“6.10”马尔康地震和极端暴雨天气影响，黑水县泥石流、滑坡、崩塌等地质灾害多发频发高发，地质灾害隐患点变形加剧、险情加重，严重威胁人民群众生命财产安全、制约经济社会高质量发展。通过开展2025年度地质灾害避险搬迁，将受地质灾害威胁的群众搬迁至安全区域，最大限度降低因灾伤亡和经济损失，保障人民群众生命财产安全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项目立项、资金申报的依据：</w:t>
      </w:r>
      <w:r>
        <w:rPr>
          <w:rFonts w:hint="eastAsia" w:ascii="仿宋_GB2312" w:hAnsi="仿宋_GB2312" w:eastAsia="仿宋_GB2312" w:cs="仿宋_GB2312"/>
          <w:sz w:val="32"/>
          <w:szCs w:val="32"/>
        </w:rPr>
        <w:t>1.《四川省“十四五”地质灾害防治规划》；2.《四川省受山洪地质灾害威胁村（居）民避险搬迁总体规划（2023—2027年）》；3.《四川省自然资源厅办公室关于印发2023年增发国债地质灾害防治项目监管关键环节“五张清单”的通知》；4.《四川省发展和改革委员会等9部门关于村庄建设项目实行简易审批的实施意见》；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《四川省财政厅关于加强增发国债资金监管的通知》;6.《四川省地质灾害隐患点动态管理办法（试行）》；7.《阿坝州山洪地质灾害避险搬迁专项规划（2023—2027年）》；8.住房城乡建设部等5部门关于加强农村房屋建设管理的指导意见；9.四川省农村住房建设管理办法；10.《阿坝州黑水县地质灾害避险搬迁摸底调查成果报告》;11.黑水县2025年度地质灾害避险搬迁项目可行性研究报告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项目主要内容：对黑水县</w:t>
      </w:r>
      <w:r>
        <w:rPr>
          <w:rFonts w:hint="eastAsia" w:ascii="仿宋_GB2312" w:hAnsi="仿宋_GB2312" w:eastAsia="仿宋_GB2312" w:cs="仿宋_GB2312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个乡镇受地质灾害威胁的</w:t>
      </w:r>
      <w:r>
        <w:rPr>
          <w:rFonts w:hint="eastAsia" w:ascii="仿宋_GB2312" w:hAnsi="仿宋_GB2312" w:eastAsia="仿宋_GB2312" w:cs="仿宋_GB2312"/>
          <w:sz w:val="32"/>
          <w:szCs w:val="32"/>
        </w:rPr>
        <w:t>183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户进行避险搬迁，搬迁方式为集中安置、货币安置、分散安置和其他安置四种。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实施目的及支持方向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项目资金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管理办法制定情况：由黑水县委办公室、黑水县人民政府办公室签发，黑水县自然资源局编制印发《黑水县202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年度地质灾害避险搬迁项目实施方案》实施资金管理办法。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项目实施目的和主要工作任务：全县202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年地质灾害避险搬迁工作要聚焦“应搬早搬、应搬尽搬”，优先将地质灾害威胁区受威胁程度紧迫的搬迁对象纳入搬迁计划，坚持以点带面、以户带村、整体推进，鼓励整区域、整点位搬迁。202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年年底前，完成全县</w:t>
      </w:r>
      <w:r>
        <w:rPr>
          <w:rFonts w:hint="eastAsia" w:ascii="仿宋_GB2312" w:hAnsi="仿宋_GB2312" w:eastAsia="仿宋_GB2312" w:cs="仿宋_GB2312"/>
          <w:sz w:val="32"/>
          <w:szCs w:val="32"/>
        </w:rPr>
        <w:t>183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户避险搬迁任务。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项目支持方向：1.政策支持：政府出台相关政策，为避险搬迁提供法律依据和资金支持。2.资金支持：通过202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年</w:t>
      </w:r>
      <w:r>
        <w:rPr>
          <w:rFonts w:hint="default" w:ascii="仿宋_GB2312" w:hAnsi="仿宋_GB2312" w:eastAsia="仿宋_GB2312" w:cs="仿宋_GB2312"/>
          <w:sz w:val="32"/>
          <w:szCs w:val="32"/>
        </w:rPr>
        <w:t>中央、省委</w:t>
      </w:r>
      <w:r>
        <w:rPr>
          <w:rFonts w:hint="eastAsia" w:ascii="仿宋_GB2312" w:hAnsi="仿宋_GB2312" w:eastAsia="仿宋_GB2312" w:cs="仿宋_GB2312"/>
          <w:sz w:val="32"/>
          <w:szCs w:val="32"/>
        </w:rPr>
        <w:t>补助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资金、</w:t>
      </w:r>
      <w:r>
        <w:rPr>
          <w:rFonts w:hint="eastAsia" w:ascii="仿宋_GB2312" w:hAnsi="仿宋_GB2312" w:eastAsia="仿宋_GB2312" w:cs="仿宋_GB2312"/>
          <w:sz w:val="32"/>
          <w:szCs w:val="32"/>
        </w:rPr>
        <w:t>州财政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自筹等方式筹集资金。3.基础设施建设：在搬迁区域建设供水、供电、交通、通信等基础设施。4.生态保护与恢复：对搬迁后的原区域进行生态修复，确保环境可持续性。</w:t>
      </w:r>
    </w:p>
    <w:p>
      <w:pPr>
        <w:spacing w:line="560" w:lineRule="exact"/>
        <w:ind w:firstLine="642" w:firstLineChars="200"/>
        <w:rPr>
          <w:rFonts w:ascii="楷体_GB2312" w:hAnsi="楷体_GB2312" w:eastAsia="楷体_GB2312" w:cs="楷体_GB2312"/>
          <w:b/>
          <w:bCs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zh-CN"/>
        </w:rPr>
        <w:t>（三）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预算安排及分配管理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预算安排情况：按照15万元/户标准进行测算，其中：国债资金13.5万元/户，县级统筹配套资金1.5万元/户。</w:t>
      </w:r>
      <w:r>
        <w:rPr>
          <w:rFonts w:hint="eastAsia" w:ascii="仿宋_GB2312" w:hAnsi="仿宋_GB2312" w:eastAsia="仿宋_GB2312" w:cs="仿宋_GB2312"/>
          <w:sz w:val="32"/>
          <w:szCs w:val="32"/>
        </w:rPr>
        <w:t>全县共申请183户避险搬迁，项目资金合计2745万元，其中</w:t>
      </w:r>
      <w:r>
        <w:rPr>
          <w:rFonts w:hint="default" w:ascii="仿宋_GB2312" w:hAnsi="仿宋_GB2312" w:eastAsia="仿宋_GB2312" w:cs="仿宋_GB2312"/>
          <w:sz w:val="32"/>
          <w:szCs w:val="32"/>
        </w:rPr>
        <w:t>中央、省委</w:t>
      </w:r>
      <w:r>
        <w:rPr>
          <w:rFonts w:hint="eastAsia" w:ascii="仿宋_GB2312" w:hAnsi="仿宋_GB2312" w:eastAsia="仿宋_GB2312" w:cs="仿宋_GB2312"/>
          <w:sz w:val="32"/>
          <w:szCs w:val="32"/>
        </w:rPr>
        <w:t>补助资金732万元，州级财政配套资金2013万元。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资金分配原则及考虑因素：国债资金补助到户的基础上限为6万元，针对经济困难、搬迁成本高、亟需搬迁、隐患点整体销号、集中搬迁等5种类型的避险搬迁户，对每符合其中一个类型的，再适当提高使用国债资金补助额度的上限1万元／户，最高不超过10万元/户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相对集中安置：对分散安置、货币安置、其他安置，按照2万元/户标准测算由农户自主建设改造提升入户道路、水、电力通信等住房附属设施建设等；针对相对集中安置，2万元/户附属设施建设补助由政府统筹用于相对集中安置点场地平整、安全饮水、电力通信、道路交通及住房附属设施建设等。具体由石碉楼乡负责实施，并严格控制资金总数，不足部分由乡镇负责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2.分散安置、货币安置、其他安置：入户道路、水、电力通信、水电改造提升等住房附属设施建设、拆旧复垦等验收合格后一次性拨付3.5万元/户。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项目资金分配情况：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项目资金分配共分为5个部分,避险搬迁资金分为分散安置、货币安置、集中安置、其他安置和配套设施建设资金，具体资金分配如下：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1.分散安置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分散安置共涉及4个乡镇88户，合计拔付资金1188万元，其中避险搬迁资金880万元，拆旧复垦资金132万元，附属设施建设资金176万元。</w:t>
      </w:r>
    </w:p>
    <w:tbl>
      <w:tblPr>
        <w:tblStyle w:val="16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7"/>
        <w:gridCol w:w="983"/>
        <w:gridCol w:w="787"/>
        <w:gridCol w:w="1042"/>
        <w:gridCol w:w="1218"/>
        <w:gridCol w:w="1374"/>
        <w:gridCol w:w="25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乡镇</w:t>
            </w:r>
          </w:p>
        </w:tc>
        <w:tc>
          <w:tcPr>
            <w:tcW w:w="53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户</w:t>
            </w:r>
          </w:p>
        </w:tc>
        <w:tc>
          <w:tcPr>
            <w:tcW w:w="2410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分散安置（万元）</w:t>
            </w:r>
          </w:p>
        </w:tc>
        <w:tc>
          <w:tcPr>
            <w:tcW w:w="1363" w:type="pct"/>
            <w:vMerge w:val="restart"/>
            <w:tcBorders>
              <w:top w:val="single" w:color="auto" w:sz="4" w:space="0"/>
              <w:left w:val="nil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9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3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启动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资金</w:t>
            </w:r>
          </w:p>
        </w:tc>
        <w:tc>
          <w:tcPr>
            <w:tcW w:w="56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主体完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工资金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拆旧复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垦资金</w:t>
            </w:r>
          </w:p>
        </w:tc>
        <w:tc>
          <w:tcPr>
            <w:tcW w:w="74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附属设施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建设资金</w:t>
            </w:r>
          </w:p>
        </w:tc>
        <w:tc>
          <w:tcPr>
            <w:tcW w:w="1363" w:type="pct"/>
            <w:vMerge w:val="continue"/>
            <w:tcBorders>
              <w:left w:val="nil"/>
              <w:bottom w:val="single" w:color="auto" w:sz="4" w:space="0"/>
              <w:right w:val="single" w:color="000000" w:sz="4" w:space="0"/>
            </w:tcBorders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晴朗乡</w:t>
            </w:r>
          </w:p>
        </w:tc>
        <w:tc>
          <w:tcPr>
            <w:tcW w:w="5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47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235</w:t>
            </w:r>
          </w:p>
        </w:tc>
        <w:tc>
          <w:tcPr>
            <w:tcW w:w="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235</w:t>
            </w: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70.5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94</w:t>
            </w:r>
          </w:p>
        </w:tc>
        <w:tc>
          <w:tcPr>
            <w:tcW w:w="13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芦花镇</w:t>
            </w:r>
          </w:p>
        </w:tc>
        <w:tc>
          <w:tcPr>
            <w:tcW w:w="5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1.5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</w:t>
            </w:r>
          </w:p>
        </w:tc>
        <w:tc>
          <w:tcPr>
            <w:tcW w:w="13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洛多乡</w:t>
            </w:r>
          </w:p>
        </w:tc>
        <w:tc>
          <w:tcPr>
            <w:tcW w:w="5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10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50</w:t>
            </w: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</w:t>
            </w:r>
          </w:p>
        </w:tc>
        <w:tc>
          <w:tcPr>
            <w:tcW w:w="13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知木林镇</w:t>
            </w:r>
          </w:p>
        </w:tc>
        <w:tc>
          <w:tcPr>
            <w:tcW w:w="5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30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150</w:t>
            </w:r>
          </w:p>
        </w:tc>
        <w:tc>
          <w:tcPr>
            <w:tcW w:w="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150</w:t>
            </w: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60</w:t>
            </w:r>
          </w:p>
        </w:tc>
        <w:tc>
          <w:tcPr>
            <w:tcW w:w="13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3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88</w:t>
            </w: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440</w:t>
            </w:r>
          </w:p>
        </w:tc>
        <w:tc>
          <w:tcPr>
            <w:tcW w:w="9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440</w:t>
            </w:r>
          </w:p>
        </w:tc>
        <w:tc>
          <w:tcPr>
            <w:tcW w:w="11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132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176</w:t>
            </w:r>
          </w:p>
        </w:tc>
        <w:tc>
          <w:tcPr>
            <w:tcW w:w="13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adjustRightInd w:val="0"/>
        <w:snapToGrid w:val="0"/>
        <w:spacing w:line="56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  <w:t>2.货币安置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货币安置共涉及7个乡镇49户，合计拔付资金661.5万元，其中避险搬迁资金490万元，拆旧复垦资金73.5万元，附属设施建设资金98万元。</w:t>
      </w:r>
    </w:p>
    <w:tbl>
      <w:tblPr>
        <w:tblStyle w:val="16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7"/>
        <w:gridCol w:w="852"/>
        <w:gridCol w:w="1474"/>
        <w:gridCol w:w="1474"/>
        <w:gridCol w:w="1476"/>
        <w:gridCol w:w="18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乡镇</w:t>
            </w:r>
          </w:p>
        </w:tc>
        <w:tc>
          <w:tcPr>
            <w:tcW w:w="46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户</w:t>
            </w:r>
          </w:p>
        </w:tc>
        <w:tc>
          <w:tcPr>
            <w:tcW w:w="241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货币安置（万元）</w:t>
            </w:r>
          </w:p>
        </w:tc>
        <w:tc>
          <w:tcPr>
            <w:tcW w:w="1030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6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避险搬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迁资金</w:t>
            </w:r>
          </w:p>
        </w:tc>
        <w:tc>
          <w:tcPr>
            <w:tcW w:w="8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拆旧复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垦资金</w:t>
            </w:r>
          </w:p>
        </w:tc>
        <w:tc>
          <w:tcPr>
            <w:tcW w:w="8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附属设施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建设资金</w:t>
            </w:r>
          </w:p>
        </w:tc>
        <w:tc>
          <w:tcPr>
            <w:tcW w:w="1030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沙石多镇</w:t>
            </w:r>
          </w:p>
        </w:tc>
        <w:tc>
          <w:tcPr>
            <w:tcW w:w="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1.5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慈坝乡</w:t>
            </w:r>
          </w:p>
        </w:tc>
        <w:tc>
          <w:tcPr>
            <w:tcW w:w="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11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110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16.5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22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知木林镇</w:t>
            </w:r>
          </w:p>
        </w:tc>
        <w:tc>
          <w:tcPr>
            <w:tcW w:w="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10.5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14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石碉楼乡</w:t>
            </w:r>
          </w:p>
        </w:tc>
        <w:tc>
          <w:tcPr>
            <w:tcW w:w="4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1.5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晴朗乡</w:t>
            </w:r>
          </w:p>
        </w:tc>
        <w:tc>
          <w:tcPr>
            <w:tcW w:w="4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180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27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36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龙坝乡</w:t>
            </w:r>
          </w:p>
        </w:tc>
        <w:tc>
          <w:tcPr>
            <w:tcW w:w="4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1.5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洛多乡</w:t>
            </w:r>
          </w:p>
        </w:tc>
        <w:tc>
          <w:tcPr>
            <w:tcW w:w="4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100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20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4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49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490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73.5</w:t>
            </w:r>
          </w:p>
        </w:tc>
        <w:tc>
          <w:tcPr>
            <w:tcW w:w="1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98</w:t>
            </w:r>
          </w:p>
        </w:tc>
        <w:tc>
          <w:tcPr>
            <w:tcW w:w="103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3.集中安置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集中安置共1个乡镇45户，合计拔付资金607.5万元，其中避险搬迁资金450万元，拆旧复垦资金67.5万元。</w:t>
      </w:r>
    </w:p>
    <w:tbl>
      <w:tblPr>
        <w:tblStyle w:val="16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2"/>
        <w:gridCol w:w="1177"/>
        <w:gridCol w:w="1363"/>
        <w:gridCol w:w="1363"/>
        <w:gridCol w:w="1364"/>
        <w:gridCol w:w="21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乡镇</w:t>
            </w:r>
          </w:p>
        </w:tc>
        <w:tc>
          <w:tcPr>
            <w:tcW w:w="69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户</w:t>
            </w:r>
          </w:p>
        </w:tc>
        <w:tc>
          <w:tcPr>
            <w:tcW w:w="2397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货币安置</w:t>
            </w:r>
          </w:p>
        </w:tc>
        <w:tc>
          <w:tcPr>
            <w:tcW w:w="796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1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69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避险搬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迁资金</w:t>
            </w:r>
          </w:p>
        </w:tc>
        <w:tc>
          <w:tcPr>
            <w:tcW w:w="7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拆旧复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垦资金</w:t>
            </w:r>
          </w:p>
        </w:tc>
        <w:tc>
          <w:tcPr>
            <w:tcW w:w="7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附属设施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建设资金</w:t>
            </w:r>
          </w:p>
        </w:tc>
        <w:tc>
          <w:tcPr>
            <w:tcW w:w="796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1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石碉楼乡</w:t>
            </w:r>
          </w:p>
        </w:tc>
        <w:tc>
          <w:tcPr>
            <w:tcW w:w="69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45</w:t>
            </w:r>
          </w:p>
        </w:tc>
        <w:tc>
          <w:tcPr>
            <w:tcW w:w="7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450</w:t>
            </w:r>
          </w:p>
        </w:tc>
        <w:tc>
          <w:tcPr>
            <w:tcW w:w="7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67.5</w:t>
            </w:r>
          </w:p>
        </w:tc>
        <w:tc>
          <w:tcPr>
            <w:tcW w:w="7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90</w:t>
            </w:r>
          </w:p>
        </w:tc>
        <w:tc>
          <w:tcPr>
            <w:tcW w:w="796" w:type="pc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附属设施统一建设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45</w:t>
            </w:r>
          </w:p>
        </w:tc>
        <w:tc>
          <w:tcPr>
            <w:tcW w:w="13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450</w:t>
            </w:r>
          </w:p>
        </w:tc>
        <w:tc>
          <w:tcPr>
            <w:tcW w:w="13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67.5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90</w:t>
            </w:r>
          </w:p>
        </w:tc>
        <w:tc>
          <w:tcPr>
            <w:tcW w:w="79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adjustRightInd w:val="0"/>
        <w:snapToGrid w:val="0"/>
        <w:spacing w:line="560" w:lineRule="exact"/>
        <w:ind w:firstLine="420" w:firstLineChars="200"/>
        <w:rPr>
          <w:kern w:val="0"/>
          <w:shd w:val="clear" w:color="auto" w:fill="FFFFFF"/>
        </w:rPr>
      </w:pPr>
      <w:r>
        <w:rPr>
          <w:rFonts w:hint="eastAsia"/>
          <w:kern w:val="0"/>
          <w:shd w:val="clear" w:color="auto" w:fill="FFFFFF"/>
        </w:rPr>
        <w:t>4.其他安置</w:t>
      </w:r>
    </w:p>
    <w:p>
      <w:pPr>
        <w:adjustRightInd w:val="0"/>
        <w:snapToGrid w:val="0"/>
        <w:spacing w:line="560" w:lineRule="exact"/>
        <w:ind w:firstLine="404" w:firstLineChars="200"/>
        <w:rPr>
          <w:rFonts w:ascii="仿宋_GB2312"/>
          <w:color w:val="000000"/>
          <w:spacing w:val="-4"/>
          <w:kern w:val="0"/>
        </w:rPr>
      </w:pPr>
      <w:r>
        <w:rPr>
          <w:rFonts w:hint="eastAsia" w:ascii="仿宋_GB2312"/>
          <w:color w:val="000000"/>
          <w:spacing w:val="-4"/>
          <w:kern w:val="0"/>
        </w:rPr>
        <w:t>分散安置共1个乡镇1户，合计拔付资金13.5万元，其中避险搬迁资金10万元，拆旧复垦资金1.5万元，附属设施建设资金2万元。</w:t>
      </w:r>
    </w:p>
    <w:tbl>
      <w:tblPr>
        <w:tblStyle w:val="16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9"/>
        <w:gridCol w:w="886"/>
        <w:gridCol w:w="1474"/>
        <w:gridCol w:w="1474"/>
        <w:gridCol w:w="1477"/>
        <w:gridCol w:w="1474"/>
      </w:tblGrid>
      <w:tr>
        <w:trPr>
          <w:trHeight w:val="312" w:hRule="atLeast"/>
        </w:trPr>
        <w:tc>
          <w:tcPr>
            <w:tcW w:w="130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乡镇</w:t>
            </w:r>
          </w:p>
        </w:tc>
        <w:tc>
          <w:tcPr>
            <w:tcW w:w="48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户</w:t>
            </w:r>
          </w:p>
        </w:tc>
        <w:tc>
          <w:tcPr>
            <w:tcW w:w="2411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其他安置（万元）</w:t>
            </w:r>
          </w:p>
        </w:tc>
        <w:tc>
          <w:tcPr>
            <w:tcW w:w="803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</w:tr>
      <w:tr>
        <w:trPr>
          <w:trHeight w:val="660" w:hRule="atLeast"/>
        </w:trPr>
        <w:tc>
          <w:tcPr>
            <w:tcW w:w="130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8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避险搬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迁资金</w:t>
            </w:r>
          </w:p>
        </w:tc>
        <w:tc>
          <w:tcPr>
            <w:tcW w:w="8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拆旧复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垦资金</w:t>
            </w:r>
          </w:p>
        </w:tc>
        <w:tc>
          <w:tcPr>
            <w:tcW w:w="80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附属设施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建设资金</w:t>
            </w:r>
          </w:p>
        </w:tc>
        <w:tc>
          <w:tcPr>
            <w:tcW w:w="803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rPr>
          <w:trHeight w:val="312" w:hRule="atLeast"/>
        </w:trPr>
        <w:tc>
          <w:tcPr>
            <w:tcW w:w="1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晴朗乡</w:t>
            </w:r>
          </w:p>
        </w:tc>
        <w:tc>
          <w:tcPr>
            <w:tcW w:w="48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10</w:t>
            </w: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1.5</w:t>
            </w: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8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rPr>
          <w:trHeight w:val="312" w:hRule="atLeast"/>
        </w:trPr>
        <w:tc>
          <w:tcPr>
            <w:tcW w:w="1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4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10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1.5</w:t>
            </w:r>
          </w:p>
        </w:tc>
        <w:tc>
          <w:tcPr>
            <w:tcW w:w="8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8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5.附属设施建设资金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集中安置点共1个乡镇1个集中安置点，合计拔付资金364.5万元。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（四）项目绩效目标设置</w:t>
      </w:r>
    </w:p>
    <w:p>
      <w:pPr>
        <w:adjustRightInd w:val="0"/>
        <w:snapToGrid w:val="0"/>
        <w:spacing w:line="560" w:lineRule="exact"/>
        <w:ind w:firstLine="624" w:firstLineChars="200"/>
        <w:rPr>
          <w:kern w:val="0"/>
          <w:shd w:val="clear" w:color="auto" w:fill="FFFFFF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>项目整体、区域和具体绩效目标设置情况：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通过对受威胁的村（居）民实施避险搬迁，有效保护183户555人生命财产安全，变被动防灾为主动防灾。通过政府补助减少搬迁户建房投入，改善居住环境，多途径促进城乡融合。</w:t>
      </w:r>
    </w:p>
    <w:tbl>
      <w:tblPr>
        <w:tblStyle w:val="16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794"/>
        <w:gridCol w:w="836"/>
        <w:gridCol w:w="1783"/>
        <w:gridCol w:w="314"/>
        <w:gridCol w:w="2256"/>
        <w:gridCol w:w="327"/>
        <w:gridCol w:w="20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eastAsia" w:ascii="方正小标宋_GBK" w:hAnsi="方正小标宋_GBK"/>
                <w:color w:val="000000"/>
                <w:kern w:val="0"/>
                <w:sz w:val="44"/>
                <w:szCs w:val="44"/>
              </w:rPr>
              <w:t>绩效目标表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3866" w:type="pct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黑水县2025年度地质灾害避险搬迁项目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所属专项</w:t>
            </w:r>
          </w:p>
        </w:tc>
        <w:tc>
          <w:tcPr>
            <w:tcW w:w="3866" w:type="pct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重点自然灾害综合防治体系建设工程补助资金（地质灾害综合防治体系建设工程）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中央主管部门</w:t>
            </w:r>
          </w:p>
        </w:tc>
        <w:tc>
          <w:tcPr>
            <w:tcW w:w="1502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国家发展</w:t>
            </w:r>
            <w:bookmarkStart w:id="1" w:name="_GoBack"/>
            <w:bookmarkEnd w:id="1"/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改革委、财政部、自然资源部</w:t>
            </w:r>
          </w:p>
        </w:tc>
        <w:tc>
          <w:tcPr>
            <w:tcW w:w="116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专项实施期</w:t>
            </w:r>
          </w:p>
        </w:tc>
        <w:tc>
          <w:tcPr>
            <w:tcW w:w="1199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2025年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省级财政部门</w:t>
            </w:r>
          </w:p>
        </w:tc>
        <w:tc>
          <w:tcPr>
            <w:tcW w:w="1502" w:type="pct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四川省财政厅</w:t>
            </w:r>
          </w:p>
        </w:tc>
        <w:tc>
          <w:tcPr>
            <w:tcW w:w="1165" w:type="pct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省级主管部门</w:t>
            </w:r>
          </w:p>
        </w:tc>
        <w:tc>
          <w:tcPr>
            <w:tcW w:w="1199" w:type="pct"/>
            <w:gridSpan w:val="2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四川省自然资源厅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资金投入（万元）</w:t>
            </w:r>
          </w:p>
        </w:tc>
        <w:tc>
          <w:tcPr>
            <w:tcW w:w="150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资金总额</w:t>
            </w:r>
          </w:p>
        </w:tc>
        <w:tc>
          <w:tcPr>
            <w:tcW w:w="236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2745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其中，中央补助资金</w:t>
            </w:r>
          </w:p>
        </w:tc>
        <w:tc>
          <w:tcPr>
            <w:tcW w:w="236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</w:rPr>
              <w:t>732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4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地方资金</w:t>
            </w:r>
          </w:p>
        </w:tc>
        <w:tc>
          <w:tcPr>
            <w:tcW w:w="236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</w:rPr>
              <w:t>2013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总体目标</w:t>
            </w:r>
          </w:p>
        </w:tc>
        <w:tc>
          <w:tcPr>
            <w:tcW w:w="4271" w:type="pct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Style w:val="22"/>
                <w:rFonts w:hint="default"/>
                <w:color w:val="000000"/>
              </w:rPr>
              <w:t xml:space="preserve"> 通过黑水县202</w:t>
            </w:r>
            <w:r>
              <w:rPr>
                <w:rStyle w:val="22"/>
                <w:color w:val="000000"/>
              </w:rPr>
              <w:t>5</w:t>
            </w:r>
            <w:r>
              <w:rPr>
                <w:rStyle w:val="22"/>
                <w:rFonts w:hint="default"/>
                <w:color w:val="000000"/>
              </w:rPr>
              <w:t>年度避险搬迁，减少或消除因自然因素诱发的地质灾害隐患威胁、有效保护受地质灾害威胁的群众生命财产安全。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4271" w:type="pct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4271" w:type="pct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绩效指标</w:t>
            </w:r>
          </w:p>
        </w:tc>
        <w:tc>
          <w:tcPr>
            <w:tcW w:w="831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一级指标</w:t>
            </w: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二级指标</w:t>
            </w:r>
          </w:p>
        </w:tc>
        <w:tc>
          <w:tcPr>
            <w:tcW w:w="1497" w:type="pct"/>
            <w:gridSpan w:val="3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三级指标</w:t>
            </w:r>
          </w:p>
        </w:tc>
        <w:tc>
          <w:tcPr>
            <w:tcW w:w="1030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指标值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产出指标</w:t>
            </w: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数量指标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地质灾害避险搬迁户数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</w:rPr>
              <w:t>=183</w:t>
            </w: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时效指标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项目按时完成率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100%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效益指标</w:t>
            </w:r>
          </w:p>
        </w:tc>
        <w:tc>
          <w:tcPr>
            <w:tcW w:w="913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经济效益指标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有效保护受威胁人员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0"/>
                <w:sz w:val="20"/>
                <w:szCs w:val="20"/>
              </w:rPr>
              <w:t xml:space="preserve">≥ </w:t>
            </w:r>
            <w:r>
              <w:rPr>
                <w:rFonts w:hint="eastAsia"/>
                <w:color w:val="000000"/>
                <w:kern w:val="0"/>
                <w:sz w:val="20"/>
                <w:szCs w:val="20"/>
              </w:rPr>
              <w:t>555</w:t>
            </w: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9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0"/>
                <w:szCs w:val="20"/>
              </w:rPr>
            </w:pPr>
          </w:p>
        </w:tc>
        <w:tc>
          <w:tcPr>
            <w:tcW w:w="831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满意度指标</w:t>
            </w:r>
          </w:p>
        </w:tc>
        <w:tc>
          <w:tcPr>
            <w:tcW w:w="91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服务对象满意度指标</w:t>
            </w:r>
          </w:p>
        </w:tc>
        <w:tc>
          <w:tcPr>
            <w:tcW w:w="149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实施区域受益群众满意度</w:t>
            </w:r>
          </w:p>
        </w:tc>
        <w:tc>
          <w:tcPr>
            <w:tcW w:w="10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</w:rPr>
              <w:t>≥90%</w:t>
            </w:r>
          </w:p>
        </w:tc>
      </w:tr>
    </w:tbl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项目自评工作开展情况：项目已完成全部搬迁任务，有效保护了8个乡镇21个隐患点183户555人的生命财产安全，项目资金使用规范，管理措施到位，群众满意度达到100%，绩效目标全面实现。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黑体" w:hAnsi="黑体" w:eastAsia="黑体" w:cs="黑体"/>
          <w:spacing w:val="-4"/>
          <w:kern w:val="0"/>
          <w:sz w:val="32"/>
          <w:szCs w:val="32"/>
        </w:rPr>
      </w:pPr>
      <w:r>
        <w:rPr>
          <w:rFonts w:hint="eastAsia" w:ascii="黑体" w:hAnsi="黑体" w:eastAsia="黑体" w:cs="黑体"/>
          <w:spacing w:val="-4"/>
          <w:kern w:val="0"/>
          <w:sz w:val="32"/>
          <w:szCs w:val="32"/>
        </w:rPr>
        <w:t>二、评价实施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（一）评价目的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通过项目绩效自评，全面评估 2025年度地质灾害避险搬迁项目的实施效果、资金使用规范性、目标完成度及社会效益，总结经验教训，为后续同类项目提供改进依据，确保财政资金使用效益最大化，切实保障群众生命财产安全。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（二）预设问题及评价重点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1.预设问题：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项目资金分配是否符合政策标准？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搬迁任务是否按时完成？群众满意度如何？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生态修复和就业支持措施是否落实到位？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2.评价重点：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资金使用合规性：核查国债资金与县级配套资金的分配、拨付及使用情况。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目标完成度：评估 183 户搬迁任务的实际完成情况及受威胁群众保护效果。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社会效益：调查搬迁群众居住环境改善、就业支持及心理适应情况。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（三）评价选点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 xml:space="preserve">选取黑水县 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 xml:space="preserve"> 个乡镇中具有代表性的安置点位进行实地踏勘，涵盖分散安置、集中安置、货币安置及其他安置类型，重点抽样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石碉楼乡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>、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知木林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>镇、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晴朗乡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>等搬迁户数较多的区域。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（四）评价方法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1.成本效益分析法：评估资金投入与搬迁效益（生命财产保护、居住环境改善等）的匹配度。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2.实地勘察法：现场核查安置点基础设施建设、拆旧复垦及生态修复进度。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3.问卷调查法：面向搬迁群众发放问卷，收集满意度及需求反馈。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4.座谈调研法：与乡镇政府、村集体及搬迁户代表座谈，了解项目实施难点及成效。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5.单位自评法：对照绩效目标，逐项梳理项目完成情况及资金管理合规性。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（五）评价组织。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  <w:t>评价组人员构成和职责分工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评价组构成：由黑水县自然资源局（牵头）、财政局、住建局、林草局、交通局、农水科局及第三方绩效评价机构人员组成，共计 10 人。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职责分工：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自然资源局：统筹协调，提供项目实施资料及政策解读。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财政局：审核资金拨付、使用台账，确保合规性。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住建局：评估住房建设质量及基础设施配套情况。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农水科：调研搬迁群众就业培训及社会融入效果。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第三方机构：独立开展数据分析、群众满意度调查及综合评分。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黑体" w:hAnsi="黑体" w:eastAsia="黑体" w:cs="黑体"/>
          <w:spacing w:val="-4"/>
          <w:kern w:val="0"/>
          <w:sz w:val="32"/>
          <w:szCs w:val="32"/>
          <w:lang w:val="zh-CN"/>
        </w:rPr>
      </w:pPr>
      <w:r>
        <w:rPr>
          <w:rFonts w:hint="eastAsia" w:ascii="黑体" w:hAnsi="黑体" w:eastAsia="黑体" w:cs="黑体"/>
          <w:spacing w:val="-4"/>
          <w:kern w:val="0"/>
          <w:sz w:val="32"/>
          <w:szCs w:val="32"/>
        </w:rPr>
        <w:t>三、绩效分析</w:t>
      </w:r>
      <w:r>
        <w:rPr>
          <w:rFonts w:hint="eastAsia" w:ascii="黑体" w:hAnsi="黑体" w:eastAsia="黑体" w:cs="黑体"/>
          <w:spacing w:val="-4"/>
          <w:kern w:val="0"/>
          <w:sz w:val="32"/>
          <w:szCs w:val="32"/>
          <w:lang w:val="zh-CN"/>
        </w:rPr>
        <w:tab/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（一）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  <w:t>通用指标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绩效分析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1.项目决策。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决策程序（6 分）：项目依据《四川省 “十四五” 地质灾害防治规划》等 11 项政策文件立项，经可行性研究论证和县级政府审批，决策程序规范，得 6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规划论证（6 分）：规划聚焦 “应搬早搬、应搬尽搬”，目标明确（183 户搬迁任务），绩效指标科学（保护≥555人、群众满意度≥90%），得 6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资金投向（6 分）：资金聚焦地质灾害威胁区，优先支持集中搬迁、隐患点销号等重点类型，与省州规划匹配，得 6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2.项目管理。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制度办法（2 分）：制定《黑水县 2025年度地质灾害避险搬迁项目实施方案》，明确资金管理、搬迁流程等细则，体系健全，得 2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分配管理（10 分）：资金按安置类型差异化分配（集中安置县级统筹、分散安置按进度拨付），考虑经济困难户、传统村落等特殊情况，分配因素合理，得 10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绩效监管（6 分）：建立定期督查机制，乡镇按月报送进度，县级部门季度巡检，绩效监控到位，得 6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3.项目实施。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预算执行（6 分）：</w:t>
      </w:r>
      <w:r>
        <w:rPr>
          <w:rFonts w:hint="default" w:ascii="仿宋_GB2312" w:hAnsi="仿宋_GB2312" w:eastAsia="仿宋_GB2312" w:cs="仿宋_GB2312"/>
          <w:spacing w:val="-4"/>
          <w:kern w:val="0"/>
          <w:sz w:val="32"/>
          <w:szCs w:val="32"/>
        </w:rPr>
        <w:t>中央、省委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资金 732万元、州级配套 2013万元均按时到位，预算执行率 100%，得 6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资金使用（3 分）：资金按标准拨付（如分散安置 3.5 万元 / 户、集中安置分阶段拨付），无挪用、超支情况，得 3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4.项目结果。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目标完成（6 分）：实际完成 183户搬迁，保护 555 人（超预期500 人），群众满意度 100%（超预期 90%），得 6 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完成时效（3 分）：2025 年底前完成全部任务，按时完成率 100%，得 3 分。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  <w:t>专用指标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绩效分析。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  <w:t>该项目为民生保障类项目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>民生保障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类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  <w:t>。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围绕区域均衡性、对象精准性、标准合理性、群众满意度进行绩效分析。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区域均衡性（10分）：搬迁范围分部全县8个乡镇，分部均衡，得10分。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对象精准性（10分）：隐患优先选择较紧迫且搬迁意愿强烈的对象，前期经过4轮入户调查摸排，选取精准，得10分。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标准合理性（10分）：补助标准符合上级政策要求，得10分。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群众满意度（5分）：经调查走访，群众满意度达100%，得5分。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（三）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  <w:t>个性指标</w:t>
      </w: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  <w:lang w:val="zh-CN"/>
        </w:rPr>
        <w:t>绩效分析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四川省地质灾害防治项目在线监管平台填报率（16分）：项目完成情况、验收情况、资金拨付情况均在四川省地质灾害防治项目在线监管平台填报。得分16分。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黑体" w:hAnsi="黑体" w:eastAsia="黑体" w:cs="黑体"/>
          <w:spacing w:val="-4"/>
          <w:kern w:val="0"/>
          <w:sz w:val="32"/>
          <w:szCs w:val="32"/>
        </w:rPr>
      </w:pPr>
      <w:r>
        <w:rPr>
          <w:rFonts w:hint="eastAsia" w:ascii="黑体" w:hAnsi="黑体" w:eastAsia="黑体" w:cs="黑体"/>
          <w:spacing w:val="-4"/>
          <w:kern w:val="0"/>
          <w:sz w:val="32"/>
          <w:szCs w:val="32"/>
        </w:rPr>
        <w:t>四、评价结论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  <w:t>（一）总体结论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项目绩效自评总分 100 分（通用指标 54 分 + 专用指标 30 分 + 个性指标 16 分，扣分项未触发）。项目实施严格遵循</w:t>
      </w:r>
      <w:r>
        <w:rPr>
          <w:rFonts w:hint="default" w:ascii="仿宋_GB2312" w:hAnsi="仿宋_GB2312" w:eastAsia="仿宋_GB2312" w:cs="仿宋_GB2312"/>
          <w:spacing w:val="-4"/>
          <w:kern w:val="0"/>
          <w:sz w:val="32"/>
          <w:szCs w:val="32"/>
        </w:rPr>
        <w:t>中央、省委</w:t>
      </w: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政策，资金管理规范，搬迁任务超额完成，有效保护 555人生命财产安全，群众满意度达 100%，生态保护与就业支持初显成效，全面实现 “减少地质灾害威胁、改善居住环境、促进城乡融合” 的总体目标。</w:t>
      </w:r>
    </w:p>
    <w:p>
      <w:pPr>
        <w:adjustRightInd w:val="0"/>
        <w:snapToGrid w:val="0"/>
        <w:spacing w:line="560" w:lineRule="exact"/>
        <w:ind w:firstLine="626" w:firstLineChars="200"/>
        <w:rPr>
          <w:rFonts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pacing w:val="-4"/>
          <w:kern w:val="0"/>
          <w:sz w:val="32"/>
          <w:szCs w:val="32"/>
        </w:rPr>
        <w:t>（二）项目实施亮点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1.资金分配精准化：针对经济困难、集中搬迁等特殊类型差异化补助，提高资金使用效率。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2.搬迁方式多元化：采用集中、货币、分散、其他等四种安置方式，满足群众多样化需求。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3.监管机制常态化：通过定期巡检、进度通报，确保项目按时高质量完成。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黑体" w:hAnsi="黑体" w:eastAsia="黑体" w:cs="黑体"/>
          <w:spacing w:val="-4"/>
          <w:kern w:val="0"/>
          <w:sz w:val="32"/>
          <w:szCs w:val="32"/>
        </w:rPr>
      </w:pPr>
      <w:r>
        <w:rPr>
          <w:rFonts w:hint="eastAsia" w:ascii="黑体" w:hAnsi="黑体" w:eastAsia="黑体" w:cs="黑体"/>
          <w:spacing w:val="-4"/>
          <w:kern w:val="0"/>
          <w:sz w:val="32"/>
          <w:szCs w:val="32"/>
        </w:rPr>
        <w:t>五、存在主要问题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1.部分安置类型进度不均衡：集中安置点（如西尔镇）因基础设施配套施工周期长，个别环节进度滞后于分散安置。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2.传统村落政策衔接待细化：部分传统村落搬迁户 “不拆旧” 导致复垦资金核算复杂，政策执行标准需进一步明确。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3.后续就业支持力度不足：技能培训覆盖率不足，部分搬迁户仍依赖传统农业，非农就业渠道窄。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黑体" w:hAnsi="黑体" w:eastAsia="黑体" w:cs="黑体"/>
          <w:spacing w:val="-4"/>
          <w:kern w:val="0"/>
          <w:sz w:val="32"/>
          <w:szCs w:val="32"/>
          <w:lang w:val="zh-CN"/>
        </w:rPr>
      </w:pPr>
      <w:r>
        <w:rPr>
          <w:rFonts w:hint="eastAsia" w:ascii="黑体" w:hAnsi="黑体" w:eastAsia="黑体" w:cs="黑体"/>
          <w:spacing w:val="-4"/>
          <w:kern w:val="0"/>
          <w:sz w:val="32"/>
          <w:szCs w:val="32"/>
          <w:lang w:val="zh-CN"/>
        </w:rPr>
        <w:t>六、改进建议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bookmarkStart w:id="0" w:name="_Hlk110546638"/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1.优化进度管控机制：针对集中安置项目，提前规划基础设施建设时序，建立施工进度周调度制度，确保各环节衔接顺畅。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2.细化特殊政策执行细则：联合住建、文旅部门，制定传统村落搬迁户 “拆旧复垦” 分类操作指南，明确不拆旧情形的认定标准及资金调整办法。</w:t>
      </w: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3.强化就业创业支持：对接县域企业、合作社，开发本地就业岗位，引入专业机构开展 “订单式” 培训，提高搬迁劳动力非农就业转化率，确保 “搬得出、稳得住、能致富”。</w:t>
      </w:r>
    </w:p>
    <w:bookmarkEnd w:id="0"/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  <w:lang w:val="zh-CN"/>
        </w:rPr>
      </w:pPr>
    </w:p>
    <w:p>
      <w:pPr>
        <w:adjustRightInd w:val="0"/>
        <w:snapToGrid w:val="0"/>
        <w:spacing w:line="560" w:lineRule="exact"/>
        <w:ind w:firstLine="624" w:firstLineChars="2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附表：1.专项预算绩效自评打分表</w:t>
      </w:r>
    </w:p>
    <w:p>
      <w:pPr>
        <w:adjustRightInd w:val="0"/>
        <w:snapToGrid w:val="0"/>
        <w:spacing w:line="560" w:lineRule="exact"/>
        <w:ind w:firstLine="1560" w:firstLineChars="5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2.专项预算绩效自评实地踏勘点位清单表</w:t>
      </w:r>
    </w:p>
    <w:p>
      <w:pPr>
        <w:adjustRightInd w:val="0"/>
        <w:snapToGrid w:val="0"/>
        <w:spacing w:line="560" w:lineRule="exact"/>
        <w:ind w:firstLine="1560" w:firstLineChars="5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3.专项预算项目绩效目标完成情况自评</w:t>
      </w:r>
    </w:p>
    <w:p>
      <w:pPr>
        <w:pStyle w:val="2"/>
        <w:ind w:left="1044" w:hanging="624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</w:p>
    <w:p>
      <w:pPr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</w:p>
    <w:p>
      <w:pPr>
        <w:pStyle w:val="2"/>
        <w:ind w:left="1044" w:hanging="624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4992" w:firstLineChars="16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黑水县自然资源局</w:t>
      </w:r>
    </w:p>
    <w:p>
      <w:pPr>
        <w:adjustRightInd w:val="0"/>
        <w:snapToGrid w:val="0"/>
        <w:spacing w:line="560" w:lineRule="exact"/>
        <w:ind w:firstLine="4992" w:firstLineChars="1600"/>
        <w:rPr>
          <w:rFonts w:ascii="仿宋_GB2312" w:hAnsi="仿宋_GB2312" w:eastAsia="仿宋_GB2312" w:cs="仿宋_GB2312"/>
          <w:spacing w:val="-4"/>
          <w:kern w:val="0"/>
          <w:sz w:val="32"/>
          <w:szCs w:val="32"/>
        </w:rPr>
        <w:sectPr>
          <w:footerReference r:id="rId3" w:type="default"/>
          <w:pgSz w:w="11906" w:h="16838"/>
          <w:pgMar w:top="2154" w:right="1417" w:bottom="2041" w:left="1531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pacing w:val="-4"/>
          <w:kern w:val="0"/>
          <w:sz w:val="32"/>
          <w:szCs w:val="32"/>
        </w:rPr>
        <w:t>2026年3月31日</w:t>
      </w:r>
    </w:p>
    <w:p>
      <w:pPr>
        <w:adjustRightInd w:val="0"/>
        <w:snapToGrid w:val="0"/>
        <w:spacing w:line="560" w:lineRule="exact"/>
        <w:rPr>
          <w:rFonts w:ascii="黑体" w:hAnsi="黑体" w:eastAsia="黑体" w:cs="黑体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  <w:lang w:val="zh-CN"/>
        </w:rPr>
        <w:t>附表</w:t>
      </w: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1</w:t>
      </w:r>
    </w:p>
    <w:p>
      <w:pPr>
        <w:spacing w:line="578" w:lineRule="exact"/>
        <w:jc w:val="center"/>
        <w:rPr>
          <w:rFonts w:eastAsia="方正小标宋_GBK"/>
          <w:sz w:val="40"/>
          <w:szCs w:val="40"/>
        </w:rPr>
      </w:pPr>
      <w:r>
        <w:rPr>
          <w:rFonts w:hint="eastAsia" w:eastAsia="方正小标宋_GBK"/>
          <w:sz w:val="40"/>
          <w:szCs w:val="40"/>
        </w:rPr>
        <w:t>专项</w:t>
      </w:r>
      <w:r>
        <w:rPr>
          <w:rFonts w:eastAsia="方正小标宋_GBK"/>
          <w:sz w:val="40"/>
          <w:szCs w:val="40"/>
        </w:rPr>
        <w:t>预算绩效自评打分表</w:t>
      </w:r>
    </w:p>
    <w:tbl>
      <w:tblPr>
        <w:tblStyle w:val="16"/>
        <w:tblW w:w="1220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7"/>
        <w:gridCol w:w="765"/>
        <w:gridCol w:w="825"/>
        <w:gridCol w:w="1355"/>
        <w:gridCol w:w="696"/>
        <w:gridCol w:w="5340"/>
        <w:gridCol w:w="1052"/>
        <w:gridCol w:w="6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5208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指标解释</w:t>
            </w:r>
          </w:p>
        </w:tc>
        <w:tc>
          <w:tcPr>
            <w:tcW w:w="105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自评得分</w:t>
            </w:r>
          </w:p>
        </w:tc>
        <w:tc>
          <w:tcPr>
            <w:tcW w:w="60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二级指标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三级指标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指标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</w:p>
        </w:tc>
        <w:tc>
          <w:tcPr>
            <w:tcW w:w="105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</w:p>
        </w:tc>
        <w:tc>
          <w:tcPr>
            <w:tcW w:w="60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通用指标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项目决策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（18分）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决策程序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项目决策程序是否严密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规划论证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项目规划论证是否符合</w:t>
            </w:r>
            <w:r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24"/>
              </w:rPr>
              <w:t>中央、省委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要求，项目绩效目标设置是否科学合理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资金投向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项目管理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（18分）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制度办法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项目制度办法是否体系健全、要素完备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2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分配管理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项目资金分配因素选取、权重设置、区域分布，项目管理、审批是否符合管理要求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绩效监管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项目实施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（9分）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预算执行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项目资金财政拨付、单位执行和地方配套到位情况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资金使用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资金使用拨付、项目实施是否符合规定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项目结果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（9分）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目标完成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项目是否完成预期目标，实施结果是否与绩效目标相匹配，反映目标实现程度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6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完成时效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项目实际完成时间与计划完成时间的比较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3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专用指标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产业发展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符合性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项目实施是否与省委省政府支持重点、产业支持政策符合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成长性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经济性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项目实施对相关企业（机构）主营业务收入、净利润、税收、产量等方面增长情况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民生保障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区域均衡性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项目资金分配体现的均衡公平情况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对象精准性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资金实际支持对象是否符合管理要求，是否符合支持对象范围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标准合理性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资金实际补贴标准是否符合资金管理办法规定的补助标准，是否及时按标准兑现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群众满意度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资金涉及相关受益群体、支持对象的满意度调查访谈情况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5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基础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设施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在建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工程进度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项目是否达到计划工程进度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资金拨付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项目是否达到预先确定的资金拨付进度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建成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项目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项目验收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项目验收是否及时合格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功能实现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项目经济社会功能是否实现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后续管护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项目后续维护是否实现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专用指标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行政运转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（30分）</w:t>
            </w: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用途合规性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是否按规定用途、适用范围进行本地区专项资金分配</w:t>
            </w:r>
          </w:p>
        </w:tc>
        <w:tc>
          <w:tcPr>
            <w:tcW w:w="10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程序合规性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资金管理程序是否符合专项资金管理要求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标准合规性</w:t>
            </w:r>
          </w:p>
        </w:tc>
        <w:tc>
          <w:tcPr>
            <w:tcW w:w="6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资金分配标准是否符合专项资金管理要求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个性指标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（16分）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4"/>
              </w:rPr>
              <w:t>四川省地质灾害防治项目在线监管平台填报率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16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根据项目个性自行设定部分指标，反映该项指标执行完成情况。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16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……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方正仿宋_GBK" w:hAnsi="方正仿宋_GBK" w:eastAsia="方正仿宋_GBK" w:cs="方正仿宋_GBK"/>
                <w:b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扣分项</w:t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4"/>
              </w:rPr>
              <w:t>（10分）</w:t>
            </w:r>
          </w:p>
        </w:tc>
        <w:tc>
          <w:tcPr>
            <w:tcW w:w="1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被评价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部门配合度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被评价对象工作配合情况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</w:rPr>
              <w:t>0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</w:rPr>
            </w:pPr>
          </w:p>
        </w:tc>
      </w:tr>
    </w:tbl>
    <w:p>
      <w:pPr>
        <w:spacing w:line="578" w:lineRule="exact"/>
        <w:rPr>
          <w:rFonts w:eastAsia="黑体"/>
          <w:kern w:val="0"/>
          <w:shd w:val="clear" w:color="auto" w:fill="FFFFFF"/>
          <w:lang w:val="zh-CN"/>
        </w:rPr>
        <w:sectPr>
          <w:pgSz w:w="16838" w:h="11906" w:orient="landscape"/>
          <w:pgMar w:top="1531" w:right="2154" w:bottom="1417" w:left="2041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spacing w:line="578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  <w:lang w:val="zh-CN"/>
        </w:rPr>
        <w:t>附表</w:t>
      </w: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2</w:t>
      </w:r>
    </w:p>
    <w:p>
      <w:pPr>
        <w:spacing w:line="578" w:lineRule="exact"/>
        <w:jc w:val="center"/>
        <w:rPr>
          <w:rFonts w:eastAsia="方正小标宋_GBK"/>
          <w:sz w:val="40"/>
          <w:szCs w:val="40"/>
        </w:rPr>
      </w:pPr>
      <w:r>
        <w:rPr>
          <w:rFonts w:eastAsia="方正小标宋_GBK"/>
          <w:sz w:val="40"/>
          <w:szCs w:val="40"/>
        </w:rPr>
        <w:t>专项预算绩效自评实地踏勘点位清单表</w:t>
      </w:r>
    </w:p>
    <w:p>
      <w:pPr>
        <w:spacing w:line="400" w:lineRule="exact"/>
        <w:jc w:val="center"/>
        <w:rPr>
          <w:rFonts w:ascii="楷体_GB2312" w:hAnsi="楷体_GB2312" w:eastAsia="楷体_GB2312" w:cs="楷体_GB2312"/>
          <w:sz w:val="28"/>
          <w:szCs w:val="28"/>
        </w:rPr>
      </w:pPr>
    </w:p>
    <w:tbl>
      <w:tblPr>
        <w:tblStyle w:val="16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序号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实地踏勘点位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jc w:val="center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石碉楼安置点（45户）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知木林镇维多村维尔组滑坡（37户）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晴朗乡八字村日窝组滑坡（47户）</w:t>
            </w: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noWrap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956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  <w:tc>
          <w:tcPr>
            <w:tcW w:w="905" w:type="dxa"/>
            <w:noWrap/>
          </w:tcPr>
          <w:p>
            <w:pPr>
              <w:spacing w:line="300" w:lineRule="exact"/>
              <w:rPr>
                <w:sz w:val="24"/>
              </w:rPr>
            </w:pPr>
          </w:p>
        </w:tc>
      </w:tr>
    </w:tbl>
    <w:p>
      <w:pPr>
        <w:spacing w:line="400" w:lineRule="exact"/>
        <w:jc w:val="center"/>
        <w:rPr>
          <w:szCs w:val="21"/>
        </w:rPr>
      </w:pPr>
      <w:r>
        <w:rPr>
          <w:szCs w:val="21"/>
        </w:rPr>
        <w:t>备注：项目</w:t>
      </w:r>
      <w:r>
        <w:rPr>
          <w:rFonts w:hint="eastAsia"/>
          <w:szCs w:val="21"/>
        </w:rPr>
        <w:t>实地踏勘</w:t>
      </w:r>
      <w:r>
        <w:rPr>
          <w:szCs w:val="21"/>
        </w:rPr>
        <w:t>点位包括市（州）本级、县（市、区）</w:t>
      </w:r>
      <w:r>
        <w:rPr>
          <w:rFonts w:hint="eastAsia"/>
          <w:szCs w:val="21"/>
        </w:rPr>
        <w:t>本级及有关项目、单位、公司</w:t>
      </w:r>
      <w:r>
        <w:rPr>
          <w:szCs w:val="21"/>
        </w:rPr>
        <w:t>等。</w:t>
      </w:r>
    </w:p>
    <w:p>
      <w:pPr>
        <w:snapToGrid w:val="0"/>
        <w:spacing w:line="578" w:lineRule="exact"/>
        <w:rPr>
          <w:rFonts w:eastAsia="黑体"/>
          <w:kern w:val="0"/>
          <w:shd w:val="clear" w:color="auto" w:fill="FFFFFF"/>
          <w:lang w:val="zh-CN"/>
        </w:rPr>
      </w:pPr>
    </w:p>
    <w:p>
      <w:pPr>
        <w:snapToGrid w:val="0"/>
        <w:spacing w:line="578" w:lineRule="exact"/>
        <w:rPr>
          <w:rFonts w:eastAsia="黑体"/>
          <w:kern w:val="0"/>
          <w:shd w:val="clear" w:color="auto" w:fill="FFFFFF"/>
        </w:rPr>
      </w:pPr>
      <w:r>
        <w:rPr>
          <w:rFonts w:eastAsia="黑体"/>
          <w:kern w:val="0"/>
          <w:shd w:val="clear" w:color="auto" w:fill="FFFFFF"/>
          <w:lang w:val="zh-CN"/>
        </w:rPr>
        <w:br w:type="page"/>
      </w: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  <w:lang w:val="zh-CN"/>
        </w:rPr>
        <w:t>附表3</w:t>
      </w:r>
    </w:p>
    <w:tbl>
      <w:tblPr>
        <w:tblStyle w:val="16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239"/>
        <w:gridCol w:w="1200"/>
        <w:gridCol w:w="971"/>
        <w:gridCol w:w="1061"/>
        <w:gridCol w:w="595"/>
        <w:gridCol w:w="218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noWrap/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eastAsia="黑体"/>
                <w:color w:val="000000"/>
                <w:sz w:val="30"/>
                <w:szCs w:val="30"/>
              </w:rPr>
            </w:pPr>
            <w:r>
              <w:rPr>
                <w:rFonts w:eastAsia="方正小标宋简体"/>
                <w:color w:val="000000"/>
                <w:kern w:val="0"/>
                <w:sz w:val="40"/>
                <w:szCs w:val="40"/>
              </w:rPr>
              <w:t>专项预算项目绩效目标完成情况自评表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2025年地质灾害避险搬迁项目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  <w:jc w:val="center"/>
        </w:trPr>
        <w:tc>
          <w:tcPr>
            <w:tcW w:w="42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预算单位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黑水县自然资源局</w:t>
            </w:r>
          </w:p>
        </w:tc>
      </w:tr>
      <w:tr>
        <w:trPr>
          <w:trHeight w:val="23" w:hRule="atLeast"/>
          <w:jc w:val="center"/>
        </w:trPr>
        <w:tc>
          <w:tcPr>
            <w:tcW w:w="42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项目类型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地质灾害避险搬迁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 概况</w:t>
            </w:r>
          </w:p>
        </w:tc>
        <w:tc>
          <w:tcPr>
            <w:tcW w:w="35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中长期规划（名称、文号，仅指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常年项目）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《阿坝州山洪地质灾害避险搬迁专项规划（2023—2027年）》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5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资金管理办法（名称、文号）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5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绩效分配方式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</w:t>
            </w:r>
            <w:r>
              <w:rPr>
                <w:color w:val="000000"/>
                <w:kern w:val="0"/>
                <w:sz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£项目法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</w:t>
            </w:r>
            <w:r>
              <w:rPr>
                <w:color w:val="000000"/>
                <w:kern w:val="0"/>
                <w:sz w:val="24"/>
              </w:rPr>
              <w:t>据实据效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Wingdings 2"/>
                <w:color w:val="000000"/>
                <w:sz w:val="24"/>
              </w:rPr>
            </w:pPr>
            <w:r>
              <w:rPr>
                <w:rFonts w:eastAsia="Wingdings 2"/>
                <w:color w:val="000000"/>
                <w:kern w:val="0"/>
                <w:sz w:val="24"/>
              </w:rPr>
              <w:t>£</w:t>
            </w:r>
            <w:r>
              <w:rPr>
                <w:color w:val="000000"/>
                <w:kern w:val="0"/>
                <w:sz w:val="24"/>
              </w:rPr>
              <w:t>因素法与项目法相结合</w:t>
            </w:r>
          </w:p>
        </w:tc>
      </w:tr>
      <w:tr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5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立项依据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黑水县2025年度地质灾害避险搬迁实施方案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5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使用范围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黑水县2025年避险搬迁183户居民。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5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申报（补助）条件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居住在地质灾害隐患点危险区范围内的居民。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35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项目起止年限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2025年1月-2025年12月31日。</w:t>
            </w:r>
          </w:p>
        </w:tc>
      </w:tr>
      <w:tr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项目资金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（万元）</w:t>
            </w:r>
          </w:p>
        </w:tc>
        <w:tc>
          <w:tcPr>
            <w:tcW w:w="2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 xml:space="preserve">  年度资金总额：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righ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2745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2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 xml:space="preserve">      其中：财政拨款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right"/>
              <w:rPr>
                <w:color w:val="000000"/>
                <w:sz w:val="24"/>
              </w:rPr>
            </w:pPr>
            <w:r>
              <w:rPr>
                <w:rFonts w:hint="default"/>
                <w:color w:val="000000"/>
                <w:sz w:val="24"/>
              </w:rPr>
              <w:t>中央、省委</w:t>
            </w:r>
            <w:r>
              <w:rPr>
                <w:rFonts w:hint="eastAsia"/>
                <w:color w:val="000000"/>
                <w:sz w:val="24"/>
              </w:rPr>
              <w:t>资金732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2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 xml:space="preserve">            其他资金</w:t>
            </w:r>
          </w:p>
        </w:tc>
        <w:tc>
          <w:tcPr>
            <w:tcW w:w="601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righ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州级地方自筹2103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年度目标</w:t>
            </w:r>
          </w:p>
        </w:tc>
      </w:tr>
      <w:tr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完成全县8个乡镇21个隐患点183户555人避险搬迁。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二级指标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三级指标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度量单位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权重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数量指标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避险搬迁完成补助户数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183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户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183户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质量指标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避险搬迁验收合格率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%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时效指标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项目完成时间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2025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......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经济效益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社会效益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受益群众幸福指数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95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%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95%</w:t>
            </w:r>
          </w:p>
        </w:tc>
      </w:tr>
      <w:tr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......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7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满意度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服务对象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满意度指标</w:t>
            </w:r>
          </w:p>
        </w:tc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避险搬迁受益群众满意度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＝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%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100%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经济成本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23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避险搬迁补助标准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13.5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万元/户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20</w:t>
            </w: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13.5万元</w:t>
            </w:r>
          </w:p>
        </w:tc>
      </w:tr>
      <w:tr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left"/>
              <w:rPr>
                <w:color w:val="000000"/>
                <w:sz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color w:val="000000"/>
                <w:kern w:val="0"/>
                <w:sz w:val="24"/>
              </w:rPr>
              <w:t>......</w:t>
            </w:r>
          </w:p>
        </w:tc>
        <w:tc>
          <w:tcPr>
            <w:tcW w:w="123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rPr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2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00" w:lineRule="exact"/>
              <w:jc w:val="center"/>
              <w:rPr>
                <w:color w:val="000000"/>
                <w:sz w:val="24"/>
              </w:rPr>
            </w:pPr>
          </w:p>
        </w:tc>
      </w:tr>
    </w:tbl>
    <w:p>
      <w:pPr>
        <w:pStyle w:val="15"/>
        <w:spacing w:after="0" w:line="20" w:lineRule="exact"/>
        <w:ind w:leftChars="0" w:firstLine="480"/>
        <w:rPr>
          <w:rFonts w:eastAsia="黑体"/>
          <w:sz w:val="24"/>
        </w:rPr>
      </w:pPr>
    </w:p>
    <w:p>
      <w:pPr>
        <w:adjustRightInd w:val="0"/>
        <w:snapToGrid w:val="0"/>
        <w:spacing w:line="560" w:lineRule="exact"/>
        <w:ind w:firstLine="4800" w:firstLineChars="1500"/>
        <w:rPr>
          <w:rFonts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154" w:right="1417" w:bottom="204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Times New Roman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??">
    <w:altName w:val="AR PL UKai C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altName w:val="方正小标宋_GBK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 PL UKai CN">
    <w:panose1 w:val="02000503000000000000"/>
    <w:charset w:val="86"/>
    <w:family w:val="auto"/>
    <w:pitch w:val="default"/>
    <w:sig w:usb0="A00002FF" w:usb1="3ACFFDFF" w:usb2="00000036" w:usb3="00000000" w:csb0="2016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360" w:firstLine="6655" w:firstLineChars="2377"/>
      <w:rPr>
        <w:rFonts w:ascii="宋体"/>
        <w:sz w:val="28"/>
        <w:szCs w:val="28"/>
      </w:rPr>
    </w:pPr>
    <w:r>
      <w:rPr>
        <w:sz w:val="28"/>
      </w:rPr>
      <w:pict>
        <v:shape id="_x0000_s2049" o:spid="_x0000_s2049" o:spt="202" type="#_x0000_t202" style="position:absolute;left:0pt;margin-top:-1.6pt;height:25.2pt;width:33.5pt;mso-position-horizontal:outside;mso-position-horizontal-relative:margin;z-index:251660288;mso-width-relative:page;mso-height-relative:page;" filled="f" stroked="f" coordsize="21600,21600" o:gfxdata="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XmMAXtQAAAAFAQAADwAAAAAAAAABACAAAAAiAAAAZHJzL2Rvd25yZXYueG1sUEsBAhQAFAAA&#10;AAgAh07iQEQKtRa6AQAAcQMAAA4AAAAAAAAAAQAgAAAAIwEAAGRycy9lMm9Eb2MueG1sUEsFBgAA&#10;AAAGAAYAWQEAAE8FAAAAAA==&#10;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pStyle w:val="8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- 17 -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5BF9B3"/>
    <w:multiLevelType w:val="multilevel"/>
    <w:tmpl w:val="1F5BF9B3"/>
    <w:lvl w:ilvl="0" w:tentative="0">
      <w:start w:val="1"/>
      <w:numFmt w:val="chineseCounting"/>
      <w:suff w:val="nothing"/>
      <w:lvlText w:val="第%1章 "/>
      <w:lvlJc w:val="left"/>
      <w:pPr>
        <w:tabs>
          <w:tab w:val="left" w:pos="0"/>
        </w:tabs>
        <w:ind w:left="432" w:hanging="432"/>
      </w:pPr>
      <w:rPr>
        <w:rFonts w:hint="eastAsia" w:eastAsia="黑体" w:cs="仿宋_GB2312"/>
        <w:b/>
        <w:sz w:val="44"/>
        <w:szCs w:val="28"/>
      </w:rPr>
    </w:lvl>
    <w:lvl w:ilvl="1" w:tentative="0">
      <w:start w:val="1"/>
      <w:numFmt w:val="decimal"/>
      <w:pStyle w:val="3"/>
      <w:isLgl/>
      <w:lvlText w:val="%1.%2"/>
      <w:lvlJc w:val="left"/>
      <w:pPr>
        <w:tabs>
          <w:tab w:val="left" w:pos="420"/>
        </w:tabs>
        <w:ind w:left="575" w:hanging="575"/>
      </w:pPr>
      <w:rPr>
        <w:rFonts w:hint="eastAsia" w:ascii="Times New Roman" w:hAnsi="Times New Roman" w:eastAsia="黑体" w:cs="仿宋_GB2312"/>
        <w:sz w:val="32"/>
        <w:szCs w:val="28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eastAsia" w:ascii="Times New Roman" w:hAnsi="Times New Roman" w:eastAsia="黑体" w:cs="仿宋_GB2312"/>
        <w:sz w:val="28"/>
        <w:szCs w:val="28"/>
      </w:rPr>
    </w:lvl>
    <w:lvl w:ilvl="3" w:tentative="0">
      <w:start w:val="1"/>
      <w:numFmt w:val="decimal"/>
      <w:isLgl/>
      <w:lvlText w:val="%1.%2.%3.%4"/>
      <w:lvlJc w:val="left"/>
      <w:pPr>
        <w:ind w:left="1424" w:hanging="864"/>
      </w:pPr>
      <w:rPr>
        <w:rFonts w:hint="eastAsia" w:ascii="Times New Roman" w:hAnsi="Times New Roman" w:eastAsia="黑体" w:cs="仿宋_GB2312"/>
        <w:b/>
        <w:sz w:val="28"/>
        <w:szCs w:val="28"/>
      </w:rPr>
    </w:lvl>
    <w:lvl w:ilvl="4" w:tentative="0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D6876AE"/>
    <w:rsid w:val="008E012A"/>
    <w:rsid w:val="00E96DFD"/>
    <w:rsid w:val="00FB1C00"/>
    <w:rsid w:val="02D0436C"/>
    <w:rsid w:val="02FB17F1"/>
    <w:rsid w:val="03D82979"/>
    <w:rsid w:val="089A12F8"/>
    <w:rsid w:val="090C55AD"/>
    <w:rsid w:val="09945570"/>
    <w:rsid w:val="0A554BE2"/>
    <w:rsid w:val="0AE55C2B"/>
    <w:rsid w:val="0BFF5C80"/>
    <w:rsid w:val="0D446160"/>
    <w:rsid w:val="0D6C3EF7"/>
    <w:rsid w:val="0DDE3AB8"/>
    <w:rsid w:val="0E7A5D1C"/>
    <w:rsid w:val="10644BD2"/>
    <w:rsid w:val="121E2AC6"/>
    <w:rsid w:val="12F24147"/>
    <w:rsid w:val="13A24595"/>
    <w:rsid w:val="14E032E4"/>
    <w:rsid w:val="15021727"/>
    <w:rsid w:val="15394257"/>
    <w:rsid w:val="15DD358D"/>
    <w:rsid w:val="16334607"/>
    <w:rsid w:val="16D73E12"/>
    <w:rsid w:val="178A352D"/>
    <w:rsid w:val="18D23EAC"/>
    <w:rsid w:val="1A233194"/>
    <w:rsid w:val="1CE16038"/>
    <w:rsid w:val="1E814BC4"/>
    <w:rsid w:val="1EB9014B"/>
    <w:rsid w:val="1FA95640"/>
    <w:rsid w:val="200E4608"/>
    <w:rsid w:val="20427A56"/>
    <w:rsid w:val="240D0523"/>
    <w:rsid w:val="24C70EF2"/>
    <w:rsid w:val="24F13A39"/>
    <w:rsid w:val="27862374"/>
    <w:rsid w:val="27921762"/>
    <w:rsid w:val="27D26FC7"/>
    <w:rsid w:val="2887614F"/>
    <w:rsid w:val="28B335AE"/>
    <w:rsid w:val="29DB6B9B"/>
    <w:rsid w:val="2B282A88"/>
    <w:rsid w:val="2E276A03"/>
    <w:rsid w:val="2F454A5C"/>
    <w:rsid w:val="31B21563"/>
    <w:rsid w:val="31C35B81"/>
    <w:rsid w:val="332A4744"/>
    <w:rsid w:val="333F70C9"/>
    <w:rsid w:val="34847ECB"/>
    <w:rsid w:val="36224F66"/>
    <w:rsid w:val="37DD5814"/>
    <w:rsid w:val="3800637B"/>
    <w:rsid w:val="396533F5"/>
    <w:rsid w:val="3AD672B9"/>
    <w:rsid w:val="3B65740D"/>
    <w:rsid w:val="3C933873"/>
    <w:rsid w:val="3CB24784"/>
    <w:rsid w:val="3CB55F5E"/>
    <w:rsid w:val="3CBF6F3C"/>
    <w:rsid w:val="3D3F5809"/>
    <w:rsid w:val="3D6B1770"/>
    <w:rsid w:val="3D850F47"/>
    <w:rsid w:val="3E444E20"/>
    <w:rsid w:val="3ECE4FC6"/>
    <w:rsid w:val="3F1F210A"/>
    <w:rsid w:val="416F1491"/>
    <w:rsid w:val="41E1397A"/>
    <w:rsid w:val="42BE22B3"/>
    <w:rsid w:val="45A00C0F"/>
    <w:rsid w:val="46194730"/>
    <w:rsid w:val="46BD32F3"/>
    <w:rsid w:val="47C936EA"/>
    <w:rsid w:val="48F7627E"/>
    <w:rsid w:val="49D35DBD"/>
    <w:rsid w:val="49F31149"/>
    <w:rsid w:val="4B302B11"/>
    <w:rsid w:val="4B5F6FCA"/>
    <w:rsid w:val="4D0B7697"/>
    <w:rsid w:val="4E0C1816"/>
    <w:rsid w:val="4F1075A2"/>
    <w:rsid w:val="4F7C28EE"/>
    <w:rsid w:val="50FE7AE2"/>
    <w:rsid w:val="522117E4"/>
    <w:rsid w:val="5334058D"/>
    <w:rsid w:val="53DC648E"/>
    <w:rsid w:val="552D381C"/>
    <w:rsid w:val="55A64033"/>
    <w:rsid w:val="561D1D9D"/>
    <w:rsid w:val="58F11950"/>
    <w:rsid w:val="592B38EB"/>
    <w:rsid w:val="593815EC"/>
    <w:rsid w:val="594F3E46"/>
    <w:rsid w:val="59C142A5"/>
    <w:rsid w:val="5A0D24E4"/>
    <w:rsid w:val="5A4A097D"/>
    <w:rsid w:val="5BA0191E"/>
    <w:rsid w:val="5BB21969"/>
    <w:rsid w:val="5D097C7B"/>
    <w:rsid w:val="5D3B6F2A"/>
    <w:rsid w:val="5D6876AE"/>
    <w:rsid w:val="5E3A0A24"/>
    <w:rsid w:val="5EC75630"/>
    <w:rsid w:val="5EE066D0"/>
    <w:rsid w:val="5F473B24"/>
    <w:rsid w:val="600B5831"/>
    <w:rsid w:val="601552D5"/>
    <w:rsid w:val="628D3F0F"/>
    <w:rsid w:val="63406877"/>
    <w:rsid w:val="64133D6A"/>
    <w:rsid w:val="644F0445"/>
    <w:rsid w:val="64CF6370"/>
    <w:rsid w:val="65FC4542"/>
    <w:rsid w:val="661A4227"/>
    <w:rsid w:val="677C510C"/>
    <w:rsid w:val="67DA4471"/>
    <w:rsid w:val="67ED4077"/>
    <w:rsid w:val="69203F47"/>
    <w:rsid w:val="6AD4161B"/>
    <w:rsid w:val="6CDE1D6D"/>
    <w:rsid w:val="6EA4172E"/>
    <w:rsid w:val="6F8932B5"/>
    <w:rsid w:val="727D1897"/>
    <w:rsid w:val="73182248"/>
    <w:rsid w:val="75A51790"/>
    <w:rsid w:val="75E83E13"/>
    <w:rsid w:val="793B2505"/>
    <w:rsid w:val="79BB48F5"/>
    <w:rsid w:val="7C3C5447"/>
    <w:rsid w:val="7C5D5328"/>
    <w:rsid w:val="7CFE157D"/>
    <w:rsid w:val="7D6A5177"/>
    <w:rsid w:val="7DA07FDB"/>
    <w:rsid w:val="7DA94E19"/>
    <w:rsid w:val="7DDB5060"/>
    <w:rsid w:val="7F404C5C"/>
    <w:rsid w:val="7F462D36"/>
    <w:rsid w:val="7FA7229A"/>
    <w:rsid w:val="7FFDD05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after="200"/>
      <w:jc w:val="left"/>
      <w:outlineLvl w:val="1"/>
    </w:pPr>
    <w:rPr>
      <w:rFonts w:eastAsia="黑体"/>
      <w:b/>
      <w:bCs/>
      <w:kern w:val="0"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semiHidden/>
    <w:qFormat/>
    <w:uiPriority w:val="99"/>
    <w:pPr>
      <w:spacing w:before="100" w:beforeAutospacing="1" w:after="100" w:afterAutospacing="1"/>
      <w:ind w:left="200" w:leftChars="200" w:hanging="200" w:hangingChars="200"/>
    </w:pPr>
  </w:style>
  <w:style w:type="paragraph" w:styleId="4">
    <w:name w:val="Salutation"/>
    <w:basedOn w:val="1"/>
    <w:next w:val="1"/>
    <w:qFormat/>
    <w:uiPriority w:val="0"/>
    <w:pPr>
      <w:textAlignment w:val="baseline"/>
    </w:pPr>
  </w:style>
  <w:style w:type="paragraph" w:styleId="5">
    <w:name w:val="Body Text"/>
    <w:basedOn w:val="1"/>
    <w:qFormat/>
    <w:uiPriority w:val="0"/>
    <w:rPr>
      <w:rFonts w:ascii="仿宋_GB2312" w:eastAsia="仿宋_GB2312" w:cs="仿宋_GB2312"/>
      <w:sz w:val="32"/>
      <w:szCs w:val="3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/>
      <w:kern w:val="0"/>
      <w:sz w:val="20"/>
    </w:rPr>
  </w:style>
  <w:style w:type="paragraph" w:styleId="7">
    <w:name w:val="Body Text Indent 2"/>
    <w:basedOn w:val="1"/>
    <w:qFormat/>
    <w:uiPriority w:val="0"/>
    <w:pPr>
      <w:spacing w:after="120" w:line="480" w:lineRule="auto"/>
      <w:ind w:left="200" w:leftChars="200"/>
    </w:pPr>
    <w:rPr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7"/>
      </w:tabs>
      <w:snapToGrid w:val="0"/>
      <w:jc w:val="center"/>
    </w:pPr>
    <w:rPr>
      <w:sz w:val="18"/>
    </w:rPr>
  </w:style>
  <w:style w:type="paragraph" w:styleId="10">
    <w:name w:val="toc 4"/>
    <w:next w:val="1"/>
    <w:qFormat/>
    <w:uiPriority w:val="0"/>
    <w:pPr>
      <w:wordWrap w:val="0"/>
      <w:ind w:left="850"/>
      <w:jc w:val="both"/>
    </w:pPr>
    <w:rPr>
      <w:rFonts w:ascii="Calibri" w:hAnsi="Calibri" w:eastAsia="宋体" w:cs="Times New Roman"/>
      <w:sz w:val="21"/>
      <w:lang w:val="en-US" w:eastAsia="zh-CN" w:bidi="ar-SA"/>
    </w:rPr>
  </w:style>
  <w:style w:type="paragraph" w:styleId="11">
    <w:name w:val="Body Text 2"/>
    <w:basedOn w:val="1"/>
    <w:qFormat/>
    <w:uiPriority w:val="0"/>
    <w:pPr>
      <w:spacing w:line="360" w:lineRule="auto"/>
    </w:pPr>
    <w:rPr>
      <w:sz w:val="28"/>
    </w:rPr>
  </w:style>
  <w:style w:type="paragraph" w:styleId="1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13">
    <w:name w:val="Normal (Web)"/>
    <w:basedOn w:val="1"/>
    <w:next w:val="14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14">
    <w:name w:val="文本"/>
    <w:basedOn w:val="1"/>
    <w:qFormat/>
    <w:uiPriority w:val="0"/>
    <w:pPr>
      <w:widowControl/>
      <w:spacing w:line="365" w:lineRule="atLeast"/>
      <w:ind w:left="1" w:firstLine="720"/>
    </w:pPr>
    <w:rPr>
      <w:rFonts w:cs="宋体"/>
      <w:kern w:val="0"/>
      <w:sz w:val="20"/>
    </w:rPr>
  </w:style>
  <w:style w:type="paragraph" w:styleId="15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NormalCharacter"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21">
    <w:name w:val="四号正文"/>
    <w:basedOn w:val="1"/>
    <w:qFormat/>
    <w:uiPriority w:val="0"/>
    <w:pPr>
      <w:spacing w:line="360" w:lineRule="auto"/>
    </w:pPr>
    <w:rPr>
      <w:rFonts w:ascii="??" w:hAnsi="??"/>
      <w:color w:val="000000"/>
      <w:kern w:val="0"/>
      <w:sz w:val="28"/>
      <w:szCs w:val="21"/>
      <w:lang w:val="zh-CN"/>
    </w:rPr>
  </w:style>
  <w:style w:type="character" w:customStyle="1" w:styleId="22">
    <w:name w:val="15"/>
    <w:qFormat/>
    <w:uiPriority w:val="0"/>
    <w:rPr>
      <w:rFonts w:hint="eastAsia" w:ascii="宋体" w:hAnsi="宋体" w:eastAsia="宋体"/>
      <w:color w:val="FF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17</Pages>
  <Words>1190</Words>
  <Characters>6786</Characters>
  <Lines>56</Lines>
  <Paragraphs>15</Paragraphs>
  <TotalTime>1</TotalTime>
  <ScaleCrop>false</ScaleCrop>
  <LinksUpToDate>false</LinksUpToDate>
  <CharactersWithSpaces>7961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2026-08-13T15:37:00Z</dcterms:created>
  <dc:creator>Administrator</dc:creator>
  <cp:lastModifiedBy>user</cp:lastModifiedBy>
  <cp:lastPrinted>2025-12-23T15:35:00Z</cp:lastPrinted>
  <dcterms:modified xsi:type="dcterms:W3CDTF">2026-10-15T16:43:28Z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  <property fmtid="{D5CDD505-2E9C-101B-9397-08002B2CF9AE}" pid="3" name="ICV">
    <vt:lpwstr>B38630B51EE74232845747228D9E0C2E_13</vt:lpwstr>
  </property>
  <property fmtid="{D5CDD505-2E9C-101B-9397-08002B2CF9AE}" pid="4" name="KSOTemplateDocerSaveRecord">
    <vt:lpwstr>eyJoZGlkIjoiMzM4MGY3Y2Y5ZjNkOTAwYWU4NDNiNzI1MzczYmVmOTIiLCJ1c2VySWQiOiI4MjY5NDE4NTUifQ==</vt:lpwstr>
  </property>
</Properties>
</file>