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44"/>
          <w:szCs w:val="44"/>
        </w:rPr>
      </w:pPr>
      <w:bookmarkStart w:id="0" w:name="_GoBack"/>
      <w:r>
        <w:rPr>
          <w:rFonts w:hint="eastAsia"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-933450</wp:posOffset>
            </wp:positionH>
            <wp:positionV relativeFrom="page">
              <wp:posOffset>71120</wp:posOffset>
            </wp:positionV>
            <wp:extent cx="7538720" cy="10654665"/>
            <wp:effectExtent l="0" t="0" r="0" b="0"/>
            <wp:wrapNone/>
            <wp:docPr id="2" name="图片 5" descr="自然局红头文件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自然局红头文件3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38720" cy="1065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sz w:val="44"/>
          <w:szCs w:val="44"/>
        </w:rPr>
      </w:pPr>
    </w:p>
    <w:p>
      <w:pPr>
        <w:rPr>
          <w:sz w:val="44"/>
          <w:szCs w:val="44"/>
        </w:rPr>
      </w:pPr>
    </w:p>
    <w:p>
      <w:pPr>
        <w:spacing w:line="560" w:lineRule="exact"/>
        <w:rPr>
          <w:rFonts w:eastAsia="方正小标宋_GBK" w:cs="方正小标宋_GBK"/>
          <w:bCs/>
          <w:sz w:val="44"/>
          <w:szCs w:val="44"/>
        </w:rPr>
      </w:pPr>
    </w:p>
    <w:p>
      <w:pPr>
        <w:spacing w:line="560" w:lineRule="exact"/>
        <w:jc w:val="center"/>
        <w:rPr>
          <w:rFonts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黑水县自然资源局</w:t>
      </w:r>
    </w:p>
    <w:p>
      <w:pPr>
        <w:spacing w:line="560" w:lineRule="exact"/>
        <w:jc w:val="center"/>
        <w:rPr>
          <w:rFonts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2025年阿坝州黑水县专职监测项目</w:t>
      </w:r>
    </w:p>
    <w:p>
      <w:pPr>
        <w:spacing w:line="560" w:lineRule="exact"/>
        <w:jc w:val="center"/>
        <w:rPr>
          <w:rFonts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专项预算绩效自评报告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  <w:lang w:val="zh-CN"/>
        </w:rPr>
      </w:pPr>
      <w:r>
        <w:rPr>
          <w:rFonts w:hint="eastAsia" w:ascii="黑体" w:hAnsi="黑体" w:eastAsia="黑体" w:cs="黑体"/>
          <w:sz w:val="32"/>
          <w:szCs w:val="32"/>
        </w:rPr>
        <w:t>一、</w:t>
      </w:r>
      <w:r>
        <w:rPr>
          <w:rFonts w:hint="eastAsia" w:ascii="黑体" w:hAnsi="黑体" w:eastAsia="黑体" w:cs="黑体"/>
          <w:sz w:val="32"/>
          <w:szCs w:val="32"/>
          <w:lang w:val="zh-CN"/>
        </w:rPr>
        <w:t>项目概况</w:t>
      </w:r>
    </w:p>
    <w:p>
      <w:pPr>
        <w:spacing w:line="560" w:lineRule="exact"/>
        <w:ind w:firstLine="642" w:firstLineChars="200"/>
        <w:rPr>
          <w:rFonts w:ascii="楷体_GB2312" w:hAnsi="楷体_GB2312" w:eastAsia="楷体_GB2312" w:cs="楷体_GB2312"/>
          <w:b/>
          <w:bCs/>
          <w:sz w:val="32"/>
          <w:szCs w:val="32"/>
          <w:lang w:val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zh-CN"/>
        </w:rPr>
        <w:t>（一）设立背景及基本情况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设立原因及背景:为了加强监测预警能力，提升群策群防能力，汛期预警信息及时传递至受威胁对象，提升群众防灾救灾能力，开展“三查”，动态掌握隐患点变形情况。遇到险情时，提前做好“三避让”和“三个紧急撤离”，保障人民群众生命财产安全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项目立项、资金申报的依据：</w:t>
      </w:r>
      <w:r>
        <w:rPr>
          <w:rFonts w:hint="eastAsia" w:ascii="仿宋_GB2312" w:hAnsi="仿宋_GB2312" w:eastAsia="仿宋_GB2312" w:cs="仿宋_GB2312"/>
          <w:sz w:val="32"/>
          <w:szCs w:val="32"/>
        </w:rPr>
        <w:t>1.《四川省“十四五”地质灾害防治规划》；2.《四川省地质灾害隐患点动态管理办法（试行）》；3.《四川省地质灾害群测群防专职监测工作实施细则》。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项目主要内容：对黑水县</w:t>
      </w:r>
      <w:r>
        <w:rPr>
          <w:rFonts w:hint="eastAsia" w:ascii="仿宋_GB2312" w:hAnsi="仿宋_GB2312" w:eastAsia="仿宋_GB2312" w:cs="仿宋_GB2312"/>
          <w:sz w:val="32"/>
          <w:szCs w:val="32"/>
        </w:rPr>
        <w:t>15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个乡镇</w:t>
      </w:r>
      <w:r>
        <w:rPr>
          <w:rFonts w:hint="eastAsia" w:ascii="仿宋_GB2312" w:hAnsi="仿宋_GB2312" w:eastAsia="仿宋_GB2312" w:cs="仿宋_GB2312"/>
          <w:sz w:val="32"/>
          <w:szCs w:val="32"/>
        </w:rPr>
        <w:t>235处（立项数据，具有动态调整性，实际完成235处监测任务）地质灾害隐患点逐点设置监测人员1名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。</w:t>
      </w:r>
    </w:p>
    <w:p>
      <w:pPr>
        <w:spacing w:line="560" w:lineRule="exact"/>
        <w:ind w:firstLine="642" w:firstLineChars="200"/>
        <w:rPr>
          <w:rFonts w:ascii="楷体_GB2312" w:hAnsi="楷体_GB2312" w:eastAsia="楷体_GB2312" w:cs="楷体_GB2312"/>
          <w:b/>
          <w:bCs/>
          <w:sz w:val="32"/>
          <w:szCs w:val="32"/>
          <w:lang w:val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zh-CN"/>
        </w:rPr>
        <w:t>（二）实施目的及支持方向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项目资金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管理办法制定情况：</w:t>
      </w:r>
      <w:r>
        <w:rPr>
          <w:rFonts w:hint="eastAsia" w:ascii="仿宋_GB2312" w:hAnsi="仿宋_GB2312" w:eastAsia="仿宋_GB2312" w:cs="仿宋_GB2312"/>
          <w:sz w:val="32"/>
          <w:szCs w:val="32"/>
        </w:rPr>
        <w:t>制定了《黑水县地质灾害群测群防专职监测人员管理办法》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项目实施目的和主要工作任务：</w:t>
      </w:r>
      <w:r>
        <w:rPr>
          <w:rFonts w:hint="eastAsia" w:ascii="仿宋_GB2312" w:hAnsi="仿宋_GB2312" w:eastAsia="仿宋_GB2312" w:cs="仿宋_GB2312"/>
          <w:sz w:val="32"/>
          <w:szCs w:val="32"/>
        </w:rPr>
        <w:t>为了加强监测预警能力，提升群策群防能力，汛期预警信息及时传递至受威胁对象，提升群众防灾救灾能力，主要工作任务是开展隐患排查，传递预警信息，</w:t>
      </w:r>
      <w:r>
        <w:rPr>
          <w:rFonts w:hint="default" w:ascii="仿宋_GB2312" w:hAnsi="仿宋_GB2312" w:eastAsia="仿宋_GB2312" w:cs="仿宋_GB2312"/>
          <w:sz w:val="32"/>
          <w:szCs w:val="32"/>
        </w:rPr>
        <w:t>做好</w:t>
      </w:r>
      <w:r>
        <w:rPr>
          <w:rFonts w:hint="eastAsia" w:ascii="仿宋_GB2312" w:hAnsi="仿宋_GB2312" w:eastAsia="仿宋_GB2312" w:cs="仿宋_GB2312"/>
          <w:sz w:val="32"/>
          <w:szCs w:val="32"/>
        </w:rPr>
        <w:t>“三避让”和“三个紧急撤离”。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项目支持方向：</w:t>
      </w:r>
      <w:r>
        <w:rPr>
          <w:rFonts w:hint="eastAsia" w:ascii="仿宋_GB2312" w:hAnsi="仿宋_GB2312" w:eastAsia="仿宋_GB2312" w:cs="仿宋_GB2312"/>
          <w:sz w:val="32"/>
          <w:szCs w:val="32"/>
        </w:rPr>
        <w:t>地质灾害综合防治体系建设。</w:t>
      </w:r>
    </w:p>
    <w:p>
      <w:pPr>
        <w:spacing w:line="560" w:lineRule="exact"/>
        <w:ind w:firstLine="642" w:firstLineChars="200"/>
        <w:rPr>
          <w:rFonts w:ascii="楷体_GB2312" w:hAnsi="楷体_GB2312" w:eastAsia="楷体_GB2312" w:cs="楷体_GB2312"/>
          <w:b/>
          <w:bCs/>
          <w:sz w:val="32"/>
          <w:szCs w:val="32"/>
          <w:lang w:val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zh-CN"/>
        </w:rPr>
        <w:t>（三）预算安排及分配管理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预算安排情况：</w:t>
      </w:r>
      <w:r>
        <w:rPr>
          <w:rFonts w:hint="eastAsia" w:ascii="仿宋_GB2312" w:hAnsi="仿宋_GB2312" w:eastAsia="仿宋_GB2312" w:cs="仿宋_GB2312"/>
          <w:sz w:val="32"/>
          <w:szCs w:val="32"/>
        </w:rPr>
        <w:t>按照每名监测人员3600元/年，235处隐患点各设置1名监测人员，总共80.28万元。资金来源为</w:t>
      </w:r>
      <w:r>
        <w:rPr>
          <w:rFonts w:hint="default" w:ascii="仿宋_GB2312" w:hAnsi="仿宋_GB2312" w:eastAsia="仿宋_GB2312" w:cs="仿宋_GB2312"/>
          <w:sz w:val="32"/>
          <w:szCs w:val="32"/>
        </w:rPr>
        <w:t>中央、省委</w:t>
      </w:r>
      <w:r>
        <w:rPr>
          <w:rFonts w:hint="eastAsia" w:ascii="仿宋_GB2312" w:hAnsi="仿宋_GB2312" w:eastAsia="仿宋_GB2312" w:cs="仿宋_GB2312"/>
          <w:sz w:val="32"/>
          <w:szCs w:val="32"/>
        </w:rPr>
        <w:t>资金。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项目资金分配原则及考虑因素：</w:t>
      </w:r>
      <w:r>
        <w:rPr>
          <w:rFonts w:hint="eastAsia" w:ascii="仿宋_GB2312" w:hAnsi="仿宋_GB2312" w:eastAsia="仿宋_GB2312" w:cs="仿宋_GB2312"/>
          <w:sz w:val="32"/>
          <w:szCs w:val="32"/>
        </w:rPr>
        <w:t>分配原则按照每个点分配，考虑因素主要是汛期在岗履职情况，采取电话抽查方式，按照《黑水县地质灾害群测群防专职监测人员管理办法》进行考核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项目资金分配情况：</w:t>
      </w:r>
      <w:r>
        <w:rPr>
          <w:rFonts w:hint="eastAsia" w:ascii="仿宋_GB2312" w:hAnsi="仿宋_GB2312" w:eastAsia="仿宋_GB2312" w:cs="仿宋_GB2312"/>
          <w:sz w:val="32"/>
          <w:szCs w:val="32"/>
        </w:rPr>
        <w:t>按照每名监测人员3600元/年进行分配。</w:t>
      </w:r>
    </w:p>
    <w:p>
      <w:pPr>
        <w:spacing w:line="560" w:lineRule="exact"/>
        <w:ind w:firstLine="642" w:firstLineChars="200"/>
        <w:rPr>
          <w:rFonts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zh-CN"/>
        </w:rPr>
        <w:t>（四）项目绩效目标设置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项目整体、区域和具体绩效目标设置情况：</w:t>
      </w:r>
      <w:r>
        <w:rPr>
          <w:rFonts w:hint="eastAsia" w:ascii="仿宋_GB2312" w:hAnsi="仿宋_GB2312" w:eastAsia="仿宋_GB2312" w:cs="仿宋_GB2312"/>
          <w:sz w:val="32"/>
          <w:szCs w:val="32"/>
        </w:rPr>
        <w:t>通过对235处隐患点实施监测，加强监测预警能力，提升群策群防能力，汛期预警信息及时传递至受威胁对象，提升群众防灾救灾能力，开展“三查”，动态掌握隐患点变形情况。遇到险情时，提前做好“三避让”和“三个紧急撤离”，保障人民群众生命财产安全。</w:t>
      </w:r>
    </w:p>
    <w:tbl>
      <w:tblPr>
        <w:tblStyle w:val="16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3"/>
        <w:gridCol w:w="827"/>
        <w:gridCol w:w="870"/>
        <w:gridCol w:w="1851"/>
        <w:gridCol w:w="322"/>
        <w:gridCol w:w="2324"/>
        <w:gridCol w:w="336"/>
        <w:gridCol w:w="207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b/>
                <w:bCs/>
                <w:color w:val="000000"/>
                <w:sz w:val="36"/>
                <w:szCs w:val="36"/>
              </w:rPr>
            </w:pPr>
            <w:r>
              <w:rPr>
                <w:rFonts w:hint="eastAsia" w:ascii="方正小标宋_GBK" w:hAnsi="方正小标宋_GBK"/>
                <w:color w:val="000000"/>
                <w:kern w:val="0"/>
                <w:sz w:val="44"/>
                <w:szCs w:val="44"/>
              </w:rPr>
              <w:t>绩效目标表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13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3866" w:type="pct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</w:rPr>
              <w:t>2025-阿坝州黑水县-专职监测项目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3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所属专项</w:t>
            </w:r>
          </w:p>
        </w:tc>
        <w:tc>
          <w:tcPr>
            <w:tcW w:w="3866" w:type="pct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自然灾害综合防治体系建设工程补助资金（地质灾害综合防治体系建设工程）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13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中央主管部门</w:t>
            </w:r>
          </w:p>
        </w:tc>
        <w:tc>
          <w:tcPr>
            <w:tcW w:w="1502" w:type="pct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财政部、自然资源部</w:t>
            </w:r>
          </w:p>
        </w:tc>
        <w:tc>
          <w:tcPr>
            <w:tcW w:w="116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专项实施期</w:t>
            </w:r>
          </w:p>
        </w:tc>
        <w:tc>
          <w:tcPr>
            <w:tcW w:w="1199" w:type="pct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2025年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13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省级财政部门</w:t>
            </w:r>
          </w:p>
        </w:tc>
        <w:tc>
          <w:tcPr>
            <w:tcW w:w="1502" w:type="pct"/>
            <w:gridSpan w:val="3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四川省财政厅</w:t>
            </w:r>
          </w:p>
        </w:tc>
        <w:tc>
          <w:tcPr>
            <w:tcW w:w="1165" w:type="pct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省级主管部门</w:t>
            </w:r>
          </w:p>
        </w:tc>
        <w:tc>
          <w:tcPr>
            <w:tcW w:w="1199" w:type="pct"/>
            <w:gridSpan w:val="2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四川省自然资源厅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134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资金投入（万元）</w:t>
            </w:r>
          </w:p>
        </w:tc>
        <w:tc>
          <w:tcPr>
            <w:tcW w:w="150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资金总额</w:t>
            </w:r>
          </w:p>
        </w:tc>
        <w:tc>
          <w:tcPr>
            <w:tcW w:w="236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80.28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134" w:type="pct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其中，中央补助资金</w:t>
            </w:r>
          </w:p>
        </w:tc>
        <w:tc>
          <w:tcPr>
            <w:tcW w:w="236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80.28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134" w:type="pct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地方资金</w:t>
            </w:r>
          </w:p>
        </w:tc>
        <w:tc>
          <w:tcPr>
            <w:tcW w:w="236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2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总体目标</w:t>
            </w:r>
          </w:p>
        </w:tc>
        <w:tc>
          <w:tcPr>
            <w:tcW w:w="4271" w:type="pct"/>
            <w:gridSpan w:val="7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Style w:val="22"/>
                <w:rFonts w:hint="default"/>
                <w:color w:val="000000"/>
              </w:rPr>
              <w:t xml:space="preserve"> 为了加强监测预警能力，提升群策群防能力，汛期预警信息及时传递至受威胁对象，提升群众防灾救灾能力，开展“三查”，动态掌握隐患点变形情况。遇到险情时，提前做好“三避让”和“三个紧急撤离”，保障人民群众生命财产安全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  <w:tc>
          <w:tcPr>
            <w:tcW w:w="4271" w:type="pct"/>
            <w:gridSpan w:val="7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  <w:tc>
          <w:tcPr>
            <w:tcW w:w="4271" w:type="pct"/>
            <w:gridSpan w:val="7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29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绩效指标</w:t>
            </w:r>
          </w:p>
        </w:tc>
        <w:tc>
          <w:tcPr>
            <w:tcW w:w="831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一级指标</w:t>
            </w:r>
          </w:p>
        </w:tc>
        <w:tc>
          <w:tcPr>
            <w:tcW w:w="913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二级指标</w:t>
            </w:r>
          </w:p>
        </w:tc>
        <w:tc>
          <w:tcPr>
            <w:tcW w:w="1497" w:type="pct"/>
            <w:gridSpan w:val="3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三级指标</w:t>
            </w:r>
          </w:p>
        </w:tc>
        <w:tc>
          <w:tcPr>
            <w:tcW w:w="1030" w:type="pct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指标值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29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  <w:tc>
          <w:tcPr>
            <w:tcW w:w="831" w:type="pct"/>
            <w:gridSpan w:val="2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产出指标</w:t>
            </w:r>
          </w:p>
        </w:tc>
        <w:tc>
          <w:tcPr>
            <w:tcW w:w="9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数量指标</w:t>
            </w:r>
          </w:p>
        </w:tc>
        <w:tc>
          <w:tcPr>
            <w:tcW w:w="1497" w:type="pct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235处</w:t>
            </w:r>
          </w:p>
        </w:tc>
        <w:tc>
          <w:tcPr>
            <w:tcW w:w="103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</w:rPr>
              <w:t>=235处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29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  <w:tc>
          <w:tcPr>
            <w:tcW w:w="831" w:type="pct"/>
            <w:gridSpan w:val="2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  <w:tc>
          <w:tcPr>
            <w:tcW w:w="9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时效指标</w:t>
            </w:r>
          </w:p>
        </w:tc>
        <w:tc>
          <w:tcPr>
            <w:tcW w:w="1497" w:type="pct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项目按时完成率</w:t>
            </w:r>
          </w:p>
        </w:tc>
        <w:tc>
          <w:tcPr>
            <w:tcW w:w="103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100%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29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  <w:tc>
          <w:tcPr>
            <w:tcW w:w="831" w:type="pct"/>
            <w:gridSpan w:val="2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效益指标</w:t>
            </w:r>
          </w:p>
        </w:tc>
        <w:tc>
          <w:tcPr>
            <w:tcW w:w="913" w:type="pct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经济效益指标</w:t>
            </w:r>
          </w:p>
        </w:tc>
        <w:tc>
          <w:tcPr>
            <w:tcW w:w="1497" w:type="pct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有效保护受威胁人员</w:t>
            </w:r>
          </w:p>
        </w:tc>
        <w:tc>
          <w:tcPr>
            <w:tcW w:w="103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≥</w:t>
            </w:r>
            <w:r>
              <w:rPr>
                <w:rFonts w:hint="eastAsia"/>
                <w:color w:val="000000"/>
                <w:kern w:val="0"/>
                <w:sz w:val="20"/>
                <w:szCs w:val="20"/>
              </w:rPr>
              <w:t>17000</w:t>
            </w: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29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  <w:tc>
          <w:tcPr>
            <w:tcW w:w="831" w:type="pct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满意度指标</w:t>
            </w:r>
          </w:p>
        </w:tc>
        <w:tc>
          <w:tcPr>
            <w:tcW w:w="91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服务对象满意度指标</w:t>
            </w:r>
          </w:p>
        </w:tc>
        <w:tc>
          <w:tcPr>
            <w:tcW w:w="1497" w:type="pct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实施区域受益群众满意度</w:t>
            </w:r>
          </w:p>
        </w:tc>
        <w:tc>
          <w:tcPr>
            <w:tcW w:w="103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≥90%</w:t>
            </w:r>
          </w:p>
        </w:tc>
      </w:tr>
    </w:tbl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项目自评工作开展情况：项目已于2025年底完成，有效保护了15个乡镇235个隐患点4820户20874人的生命财产安全，项目资金使用规范，管理措施到位，群众满意度达到100%，绩效目标全面实现。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二、评价实施</w:t>
      </w:r>
    </w:p>
    <w:p>
      <w:pPr>
        <w:spacing w:line="560" w:lineRule="exact"/>
        <w:ind w:firstLine="642" w:firstLineChars="200"/>
        <w:rPr>
          <w:rFonts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zh-CN"/>
        </w:rPr>
        <w:t>（一）评价目的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通过项目绩效自评，全面评估2025年度地质灾害专职监测项目的实施效果、资金使用规范性、目标完成度及社会效益，总结经验教训，为后续同类项目提供改进依据，确保财政资金使用效益最大化，切实保障群众生命财产安全。</w:t>
      </w:r>
    </w:p>
    <w:p>
      <w:pPr>
        <w:spacing w:line="560" w:lineRule="exact"/>
        <w:ind w:firstLine="642" w:firstLineChars="200"/>
        <w:rPr>
          <w:rFonts w:ascii="楷体_GB2312" w:hAnsi="楷体_GB2312" w:eastAsia="楷体_GB2312" w:cs="楷体_GB2312"/>
          <w:b/>
          <w:bCs/>
          <w:sz w:val="32"/>
          <w:szCs w:val="32"/>
          <w:lang w:val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zh-CN"/>
        </w:rPr>
        <w:t>（二）预设问题及评价重点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1.预设问题：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项目资金分配是否符合政策标准？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搬迁任务是否按时完成？群众满意度如何？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生态修复和就业支持措施是否落实到位？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2.评价重点：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资金使用合规性：资金资金的分配、拨付及使用情况符合省级主管部门要求。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目标完成度：评估235处隐患点监测实际完成情况及受威胁群众保护效果。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社会效益：调查搬迁群众居住环境改善、就业支持及心理适应情况。</w:t>
      </w:r>
    </w:p>
    <w:p>
      <w:pPr>
        <w:spacing w:line="560" w:lineRule="exact"/>
        <w:ind w:firstLine="642" w:firstLineChars="200"/>
        <w:rPr>
          <w:rFonts w:ascii="楷体_GB2312" w:hAnsi="楷体_GB2312" w:eastAsia="楷体_GB2312" w:cs="楷体_GB2312"/>
          <w:b/>
          <w:bCs/>
          <w:sz w:val="32"/>
          <w:szCs w:val="32"/>
          <w:lang w:val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zh-CN"/>
        </w:rPr>
        <w:t>（三）评价选点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选取黑水县1</w:t>
      </w:r>
      <w:r>
        <w:rPr>
          <w:rFonts w:hint="eastAsia" w:ascii="仿宋_GB2312" w:hAnsi="仿宋_GB2312" w:eastAsia="仿宋_GB2312" w:cs="仿宋_GB2312"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个乡镇中具有代表性的</w:t>
      </w:r>
      <w:r>
        <w:rPr>
          <w:rFonts w:hint="eastAsia" w:ascii="仿宋_GB2312" w:hAnsi="仿宋_GB2312" w:eastAsia="仿宋_GB2312" w:cs="仿宋_GB2312"/>
          <w:sz w:val="32"/>
          <w:szCs w:val="32"/>
        </w:rPr>
        <w:t>隐患点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点位进行实地踏勘，涵盖</w:t>
      </w:r>
      <w:r>
        <w:rPr>
          <w:rFonts w:hint="eastAsia" w:ascii="仿宋_GB2312" w:hAnsi="仿宋_GB2312" w:eastAsia="仿宋_GB2312" w:cs="仿宋_GB2312"/>
          <w:sz w:val="32"/>
          <w:szCs w:val="32"/>
        </w:rPr>
        <w:t>15个乡镇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。</w:t>
      </w:r>
    </w:p>
    <w:p>
      <w:pPr>
        <w:spacing w:line="560" w:lineRule="exact"/>
        <w:ind w:firstLine="642" w:firstLineChars="200"/>
        <w:rPr>
          <w:rFonts w:ascii="楷体_GB2312" w:hAnsi="楷体_GB2312" w:eastAsia="楷体_GB2312" w:cs="楷体_GB2312"/>
          <w:b/>
          <w:bCs/>
          <w:sz w:val="32"/>
          <w:szCs w:val="32"/>
          <w:lang w:val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zh-CN"/>
        </w:rPr>
        <w:t>（四）评价方法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1.成本效益分析法：评估资金投入与产出效益（生命财产保护）的匹配度。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2.实地勘察法：现场核查监测预警处置情况。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3.问卷调查法：面向威胁对象发放问卷，收集满意度及需求反馈。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4.座谈调研法：与乡镇政府、村组干部、监测人员及群众代表座谈，了解实施难点及成效。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5.单位自评法：对照绩效目标，逐项梳理项目完成情况及资金管理合规性。</w:t>
      </w:r>
    </w:p>
    <w:p>
      <w:pPr>
        <w:spacing w:line="560" w:lineRule="exact"/>
        <w:ind w:firstLine="642" w:firstLineChars="200"/>
        <w:rPr>
          <w:rFonts w:ascii="楷体_GB2312" w:hAnsi="楷体_GB2312" w:eastAsia="楷体_GB2312" w:cs="楷体_GB2312"/>
          <w:b/>
          <w:bCs/>
          <w:sz w:val="32"/>
          <w:szCs w:val="32"/>
          <w:lang w:val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zh-CN"/>
        </w:rPr>
        <w:t>（五）评价组织。评价组人员构成和职责分工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评价组构成：由黑水县自然资源局形成自评小组，进行自评。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职责分工：办公室统筹协调;资源环境股提供项目实施资料及政策解读,独立开展数据分析、群众满意度调查及综合评分。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黑体" w:hAnsi="黑体" w:eastAsia="黑体" w:cs="黑体"/>
          <w:sz w:val="32"/>
          <w:szCs w:val="32"/>
        </w:rPr>
        <w:t>三、绩效分析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ab/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根据项目预算绩效评价指标体系“通用指标”“专用指标”“个性指标”涉及二、三级指标进行逐项绩效分析并评分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spacing w:line="560" w:lineRule="exact"/>
        <w:ind w:firstLine="642" w:firstLineChars="200"/>
        <w:rPr>
          <w:rFonts w:ascii="楷体_GB2312" w:hAnsi="楷体_GB2312" w:eastAsia="楷体_GB2312" w:cs="楷体_GB2312"/>
          <w:b/>
          <w:bCs/>
          <w:sz w:val="32"/>
          <w:szCs w:val="32"/>
          <w:lang w:val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zh-CN"/>
        </w:rPr>
        <w:t>（一）通用指标绩效分析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1.项目决策。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决策程序（6 分）：项目依据《四川省“十四五”地质灾害防治规划》等政策文件立项，经研究论证申报，决策程序规范，得6分。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规划论证（6分）：规划聚焦逐点落实监测人员，目标明确（235处），绩效指标科学（保护≥20000人、群众满意度≥90%），得6分。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资金投向（6分）：资金聚焦地质灾害威胁区，支持群测群防体系建设，与省州规划匹配，得6分。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2.项目管理。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制度办法（2分）：制定《黑水县地质灾害群测群防专职监测人员管理办法》，明确考核办法，体系健全，得2分。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分配管理（10分）：资金按照每点3600元分配，分配因素合理，得10分。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绩效监管（6分）：建立定期督查机制，汛期每周全覆盖抽查监测人员在岗履职情况，绩效监控到位，得6分。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3.项目实施。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预算执行（6分）：</w:t>
      </w:r>
      <w:r>
        <w:rPr>
          <w:rFonts w:hint="default" w:ascii="仿宋_GB2312" w:hAnsi="仿宋_GB2312" w:eastAsia="仿宋_GB2312" w:cs="仿宋_GB2312"/>
          <w:sz w:val="32"/>
          <w:szCs w:val="32"/>
        </w:rPr>
        <w:t>中央、省委</w:t>
      </w:r>
      <w:r>
        <w:rPr>
          <w:rFonts w:hint="eastAsia" w:ascii="仿宋_GB2312" w:hAnsi="仿宋_GB2312" w:eastAsia="仿宋_GB2312" w:cs="仿宋_GB2312"/>
          <w:sz w:val="32"/>
          <w:szCs w:val="32"/>
        </w:rPr>
        <w:t>资金84.6万元，下达到位，并完成拨付，预算执行率100%，得6分。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资金使用（3分）：资金按考核标准拨付，无挪用、超支情况，得3分。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4.项目结果。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目标完成（6分）：实际完成235处隐患点监测，群众满意度100%（超预期90%），得6分。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完成时效（3分）：2025年底前完成全部任务，按时完成率100%，得3分。</w:t>
      </w:r>
    </w:p>
    <w:p>
      <w:pPr>
        <w:spacing w:line="560" w:lineRule="exact"/>
        <w:ind w:firstLine="642" w:firstLineChars="200"/>
        <w:rPr>
          <w:rFonts w:ascii="楷体_GB2312" w:hAnsi="楷体_GB2312" w:eastAsia="楷体_GB2312" w:cs="楷体_GB2312"/>
          <w:b/>
          <w:bCs/>
          <w:sz w:val="32"/>
          <w:szCs w:val="32"/>
          <w:lang w:val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zh-CN"/>
        </w:rPr>
        <w:t>（二）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专用指标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zh-CN"/>
        </w:rPr>
        <w:t>绩效分析。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该项目为民生保障类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民生保障</w:t>
      </w:r>
      <w:r>
        <w:rPr>
          <w:rFonts w:hint="eastAsia" w:ascii="仿宋_GB2312" w:hAnsi="仿宋_GB2312" w:eastAsia="仿宋_GB2312" w:cs="仿宋_GB2312"/>
          <w:sz w:val="32"/>
          <w:szCs w:val="32"/>
        </w:rPr>
        <w:t>类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区域均衡性（10分）：隐患点分部全县15个乡镇，分部均衡，得10分。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对象精准性（10分）：隐患点选择时近几年或者前期发生险情和灾情，群众反响大，威胁人数多，选择充分经过专家论证，选取精准，得10分。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标准合理性（5分）：隐患点选择和监测人员选择符合相关标准，标准合理，得5分。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群众满意度（5分）：经调查走访，群众满意度达100%，得5分。</w:t>
      </w:r>
    </w:p>
    <w:p>
      <w:pPr>
        <w:spacing w:line="560" w:lineRule="exact"/>
        <w:ind w:firstLine="642" w:firstLineChars="200"/>
        <w:rPr>
          <w:rFonts w:ascii="楷体_GB2312" w:hAnsi="楷体_GB2312" w:eastAsia="楷体_GB2312" w:cs="楷体_GB2312"/>
          <w:b/>
          <w:bCs/>
          <w:sz w:val="32"/>
          <w:szCs w:val="32"/>
          <w:lang w:val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zh-CN"/>
        </w:rPr>
        <w:t>（三）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个性指标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zh-CN"/>
        </w:rPr>
        <w:t>绩效分析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四川省地质灾害防治项目在线监管平台填报率（16分）：项目完成情况、验收情况、资金拨付情况均在四川省地质灾害防治项目在线监管平台填报。得分16分。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四、评价结论</w:t>
      </w:r>
    </w:p>
    <w:p>
      <w:pPr>
        <w:spacing w:line="560" w:lineRule="exact"/>
        <w:ind w:firstLine="642" w:firstLineChars="200"/>
        <w:rPr>
          <w:rFonts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（一）总体结论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项目绩效自评总分100分（通用指标54分+专用指标30分+个性指标16分，扣分项未触发）。项目实施严格遵循</w:t>
      </w:r>
      <w:r>
        <w:rPr>
          <w:rFonts w:hint="default" w:ascii="仿宋_GB2312" w:hAnsi="仿宋_GB2312" w:eastAsia="仿宋_GB2312" w:cs="仿宋_GB2312"/>
          <w:sz w:val="32"/>
          <w:szCs w:val="32"/>
        </w:rPr>
        <w:t>中央、省委</w:t>
      </w:r>
      <w:r>
        <w:rPr>
          <w:rFonts w:hint="eastAsia" w:ascii="仿宋_GB2312" w:hAnsi="仿宋_GB2312" w:eastAsia="仿宋_GB2312" w:cs="仿宋_GB2312"/>
          <w:sz w:val="32"/>
          <w:szCs w:val="32"/>
        </w:rPr>
        <w:t>政策，资金管理规范，任务超额完成，有效保护受威胁对象生命财产安全，群众满意度达100%，全面实现 “减少地质灾害威胁、改善居住环境、促进城乡融合”的总体目标。</w:t>
      </w:r>
    </w:p>
    <w:p>
      <w:pPr>
        <w:spacing w:line="560" w:lineRule="exact"/>
        <w:ind w:firstLine="642" w:firstLineChars="200"/>
        <w:rPr>
          <w:rFonts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（二）项目实施亮点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1.资金分配精准化：按照每点分配，并实际考核，提高资金使用效率。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2.监管机制常态化：通过定期巡检、进度通报，确保项目按时高质量完成。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五、存在主要问题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无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  <w:lang w:val="zh-CN"/>
        </w:rPr>
      </w:pPr>
      <w:r>
        <w:rPr>
          <w:rFonts w:hint="eastAsia" w:ascii="黑体" w:hAnsi="黑体" w:eastAsia="黑体" w:cs="黑体"/>
          <w:sz w:val="32"/>
          <w:szCs w:val="32"/>
          <w:lang w:val="zh-CN"/>
        </w:rPr>
        <w:t>六、改进建议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无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附表：1.专项预算绩效自评打分表</w:t>
      </w:r>
    </w:p>
    <w:p>
      <w:pPr>
        <w:spacing w:line="560" w:lineRule="exact"/>
        <w:ind w:firstLine="1600" w:firstLineChars="5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2.专项预算绩效自评实地踏勘点位清单表</w:t>
      </w:r>
    </w:p>
    <w:p>
      <w:pPr>
        <w:spacing w:line="560" w:lineRule="exact"/>
        <w:ind w:firstLine="1600" w:firstLineChars="5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3.专项预算项目绩效目标完成情况自评表</w:t>
      </w:r>
    </w:p>
    <w:p/>
    <w:p/>
    <w:p/>
    <w:p>
      <w:pPr>
        <w:spacing w:line="560" w:lineRule="exact"/>
        <w:ind w:firstLine="5120" w:firstLineChars="1600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ind w:firstLine="5120" w:firstLineChars="16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黑水县自然资源局</w:t>
      </w:r>
    </w:p>
    <w:p>
      <w:pPr>
        <w:spacing w:line="560" w:lineRule="exact"/>
        <w:ind w:firstLine="5120" w:firstLineChars="16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2026年3月30日</w:t>
      </w:r>
    </w:p>
    <w:p>
      <w:pPr>
        <w:snapToGrid w:val="0"/>
        <w:spacing w:line="578" w:lineRule="exact"/>
        <w:rPr>
          <w:color w:val="000000"/>
          <w:kern w:val="0"/>
          <w:shd w:val="clear" w:color="auto" w:fill="FFFFFF"/>
          <w:lang w:val="zh-CN"/>
        </w:rPr>
        <w:sectPr>
          <w:footerReference r:id="rId3" w:type="default"/>
          <w:footerReference r:id="rId4" w:type="even"/>
          <w:pgSz w:w="11906" w:h="16838"/>
          <w:pgMar w:top="2154" w:right="1417" w:bottom="2041" w:left="1531" w:header="851" w:footer="992" w:gutter="0"/>
          <w:pgNumType w:fmt="numberInDash"/>
          <w:cols w:space="720" w:num="1"/>
          <w:docGrid w:type="lines" w:linePitch="312" w:charSpace="0"/>
        </w:sectPr>
      </w:pPr>
    </w:p>
    <w:p>
      <w:pPr>
        <w:snapToGrid w:val="0"/>
        <w:spacing w:line="578" w:lineRule="exact"/>
        <w:rPr>
          <w:rFonts w:ascii="黑体" w:hAnsi="黑体" w:eastAsia="黑体" w:cs="黑体"/>
          <w:kern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kern w:val="0"/>
          <w:sz w:val="32"/>
          <w:szCs w:val="32"/>
          <w:shd w:val="clear" w:color="auto" w:fill="FFFFFF"/>
          <w:lang w:val="zh-CN"/>
        </w:rPr>
        <w:t>附表</w:t>
      </w:r>
      <w:r>
        <w:rPr>
          <w:rFonts w:hint="eastAsia" w:ascii="黑体" w:hAnsi="黑体" w:eastAsia="黑体" w:cs="黑体"/>
          <w:kern w:val="0"/>
          <w:sz w:val="32"/>
          <w:szCs w:val="32"/>
          <w:shd w:val="clear" w:color="auto" w:fill="FFFFFF"/>
        </w:rPr>
        <w:t>1</w:t>
      </w:r>
    </w:p>
    <w:p>
      <w:pPr>
        <w:spacing w:line="578" w:lineRule="exact"/>
        <w:jc w:val="center"/>
        <w:rPr>
          <w:rFonts w:eastAsia="方正小标宋_GBK"/>
          <w:sz w:val="40"/>
          <w:szCs w:val="40"/>
        </w:rPr>
      </w:pPr>
      <w:r>
        <w:rPr>
          <w:rFonts w:hint="eastAsia" w:eastAsia="方正小标宋_GBK"/>
          <w:sz w:val="40"/>
          <w:szCs w:val="40"/>
        </w:rPr>
        <w:t>专项</w:t>
      </w:r>
      <w:r>
        <w:rPr>
          <w:rFonts w:eastAsia="方正小标宋_GBK"/>
          <w:sz w:val="40"/>
          <w:szCs w:val="40"/>
        </w:rPr>
        <w:t>预算绩效自评打分表</w:t>
      </w:r>
    </w:p>
    <w:tbl>
      <w:tblPr>
        <w:tblStyle w:val="16"/>
        <w:tblW w:w="1245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7"/>
        <w:gridCol w:w="765"/>
        <w:gridCol w:w="825"/>
        <w:gridCol w:w="1355"/>
        <w:gridCol w:w="696"/>
        <w:gridCol w:w="5766"/>
        <w:gridCol w:w="668"/>
        <w:gridCol w:w="81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5208" w:type="dxa"/>
            <w:gridSpan w:val="5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000000"/>
                <w:kern w:val="0"/>
                <w:sz w:val="24"/>
              </w:rPr>
              <w:t>绩效评价指标</w:t>
            </w:r>
          </w:p>
        </w:tc>
        <w:tc>
          <w:tcPr>
            <w:tcW w:w="576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000000"/>
                <w:kern w:val="0"/>
                <w:sz w:val="24"/>
              </w:rPr>
              <w:t>指标解释</w:t>
            </w:r>
          </w:p>
        </w:tc>
        <w:tc>
          <w:tcPr>
            <w:tcW w:w="66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000000"/>
                <w:kern w:val="0"/>
                <w:sz w:val="24"/>
              </w:rPr>
              <w:t>自评得分</w:t>
            </w:r>
          </w:p>
        </w:tc>
        <w:tc>
          <w:tcPr>
            <w:tcW w:w="81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000000"/>
                <w:kern w:val="0"/>
                <w:sz w:val="24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000000"/>
                <w:kern w:val="0"/>
                <w:sz w:val="24"/>
              </w:rPr>
              <w:t>一级指标</w:t>
            </w:r>
          </w:p>
        </w:tc>
        <w:tc>
          <w:tcPr>
            <w:tcW w:w="15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000000"/>
                <w:kern w:val="0"/>
                <w:sz w:val="24"/>
              </w:rPr>
              <w:t>二级指标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000000"/>
                <w:kern w:val="0"/>
                <w:sz w:val="24"/>
              </w:rPr>
              <w:t>三级指标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000000"/>
                <w:kern w:val="0"/>
                <w:sz w:val="24"/>
              </w:rPr>
              <w:t>指标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color w:val="000000"/>
                <w:kern w:val="0"/>
                <w:sz w:val="24"/>
              </w:rPr>
              <w:t>分值</w:t>
            </w:r>
          </w:p>
        </w:tc>
        <w:tc>
          <w:tcPr>
            <w:tcW w:w="57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bCs/>
                <w:color w:val="000000"/>
                <w:sz w:val="24"/>
              </w:rPr>
            </w:pPr>
          </w:p>
        </w:tc>
        <w:tc>
          <w:tcPr>
            <w:tcW w:w="66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bCs/>
                <w:color w:val="000000"/>
                <w:sz w:val="24"/>
              </w:rPr>
            </w:pPr>
          </w:p>
        </w:tc>
        <w:tc>
          <w:tcPr>
            <w:tcW w:w="81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bCs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通用指标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（54分）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项目决策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（18分）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决策程序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项目决策程序是否严密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规划论证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项目规划论证是否符合</w:t>
            </w:r>
            <w:r>
              <w:rPr>
                <w:rFonts w:hint="default" w:ascii="方正仿宋_GBK" w:hAnsi="方正仿宋_GBK" w:eastAsia="方正仿宋_GBK" w:cs="方正仿宋_GBK"/>
                <w:color w:val="000000"/>
                <w:kern w:val="0"/>
                <w:sz w:val="24"/>
              </w:rPr>
              <w:t>中央、省委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要求，项目绩效目标设置是否科学合理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资金投向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项目资金是否与项目总体规划、相关行业事业发展相匹配，是否聚焦重大任务、重点领域、重点环节和重点项目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项目管理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（18分）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制度办法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2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项目制度办法是否体系健全、要素完备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2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分配管理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项目资金分配因素选取、权重设置、区域分布，项目管理、审批是否符合管理要求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绩效监管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管资金、项目、政策是否管绩效，项目绩效监管是否按要求开展，对下指导是否有力有效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项目实施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（9分）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预算执行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项目资金财政拨付、单位执行和地方配套到位情况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资金使用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3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资金使用拨付、项目实施是否符合规定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3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项目结果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（9分）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目标完成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项目是否完成预期目标，实施结果是否与绩效目标相匹配，反映目标实现程度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完成时效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3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项目实际完成时间与计划完成时间的比较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3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专用指标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（30分）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产业发展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（30分）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符合性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项目实施是否与省委省政府支持重点、产业支持政策符合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成长性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项目实施对相关企业（机构）成长性的促进作用，主要反映支持对象创新创造创业能力情况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经济性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项目实施对相关企业（机构）主营业务收入、净利润、税收、产量等方面增长情况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民生保障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（30分）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区域均衡性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项目资金分配体现的均衡公平情况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对象精准性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资金实际支持对象是否符合管理要求，是否符合支持对象范围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标准合理性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5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资金实际补贴标准是否符合资金管理办法规定的补助标准，是否及时按标准兑现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5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群众满意度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5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资金涉及相关受益群体、支持对象的满意度调查访谈情况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5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基础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设施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（30分）</w:t>
            </w:r>
          </w:p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在建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项目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工程进度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15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项目是否达到计划工程进度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资金拨付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15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项目是否达到预先确定的资金拨付进度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建成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项目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项目验收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项目验收是否及时合格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功能实现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项目经济社会功能是否实现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后续管护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项目后续维护是否实现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专用指标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（30分）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行政运转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（30分）</w:t>
            </w:r>
          </w:p>
        </w:tc>
        <w:tc>
          <w:tcPr>
            <w:tcW w:w="13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用途合规性</w:t>
            </w:r>
          </w:p>
        </w:tc>
        <w:tc>
          <w:tcPr>
            <w:tcW w:w="6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7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是否按规定用途、适用范围进行本地区专项资金分配</w:t>
            </w:r>
          </w:p>
        </w:tc>
        <w:tc>
          <w:tcPr>
            <w:tcW w:w="6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程序合规性</w:t>
            </w:r>
          </w:p>
        </w:tc>
        <w:tc>
          <w:tcPr>
            <w:tcW w:w="6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资金管理程序是否符合专项资金管理要求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标准合规性</w:t>
            </w:r>
          </w:p>
        </w:tc>
        <w:tc>
          <w:tcPr>
            <w:tcW w:w="6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资金分配标准是否符合专项资金管理要求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57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个性指标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（16分）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4"/>
              </w:rPr>
              <w:t>四川省地质灾害防治项目在线监管平台填报率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16</w:t>
            </w:r>
          </w:p>
        </w:tc>
        <w:tc>
          <w:tcPr>
            <w:tcW w:w="576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根据项目个性自行设定部分指标，反映该项指标执行完成情况。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16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57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……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……</w:t>
            </w:r>
          </w:p>
        </w:tc>
        <w:tc>
          <w:tcPr>
            <w:tcW w:w="57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57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……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……</w:t>
            </w:r>
          </w:p>
        </w:tc>
        <w:tc>
          <w:tcPr>
            <w:tcW w:w="57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扣分项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（10分）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被评价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部门配合度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—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被评价对象工作配合情况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</w:tbl>
    <w:p>
      <w:pPr>
        <w:spacing w:line="578" w:lineRule="exact"/>
        <w:rPr>
          <w:rFonts w:eastAsia="黑体"/>
          <w:kern w:val="0"/>
          <w:shd w:val="clear" w:color="auto" w:fill="FFFFFF"/>
          <w:lang w:val="zh-CN"/>
        </w:rPr>
        <w:sectPr>
          <w:pgSz w:w="16838" w:h="11906" w:orient="landscape"/>
          <w:pgMar w:top="1531" w:right="2154" w:bottom="1417" w:left="2041" w:header="851" w:footer="992" w:gutter="0"/>
          <w:pgNumType w:fmt="numberInDash"/>
          <w:cols w:space="720" w:num="1"/>
          <w:docGrid w:type="lines" w:linePitch="312" w:charSpace="0"/>
        </w:sectPr>
      </w:pPr>
    </w:p>
    <w:p>
      <w:pPr>
        <w:spacing w:line="560" w:lineRule="exac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  <w:shd w:val="clear" w:color="auto" w:fill="FFFFFF"/>
          <w:lang w:val="zh-CN"/>
        </w:rPr>
        <w:t>附表</w:t>
      </w:r>
      <w:r>
        <w:rPr>
          <w:rFonts w:hint="eastAsia" w:ascii="黑体" w:hAnsi="黑体" w:eastAsia="黑体" w:cs="黑体"/>
          <w:kern w:val="0"/>
          <w:sz w:val="32"/>
          <w:szCs w:val="32"/>
          <w:shd w:val="clear" w:color="auto" w:fill="FFFFFF"/>
        </w:rPr>
        <w:t>2</w:t>
      </w:r>
    </w:p>
    <w:p>
      <w:pPr>
        <w:spacing w:line="560" w:lineRule="exact"/>
        <w:jc w:val="center"/>
        <w:rPr>
          <w:rFonts w:eastAsia="方正小标宋_GBK"/>
          <w:sz w:val="40"/>
          <w:szCs w:val="40"/>
        </w:rPr>
      </w:pPr>
      <w:r>
        <w:rPr>
          <w:rFonts w:eastAsia="方正小标宋_GBK"/>
          <w:sz w:val="40"/>
          <w:szCs w:val="40"/>
        </w:rPr>
        <w:t>专项预算绩效自评实地踏勘点位清单表</w:t>
      </w:r>
    </w:p>
    <w:p>
      <w:pPr>
        <w:spacing w:line="400" w:lineRule="exact"/>
        <w:jc w:val="center"/>
        <w:rPr>
          <w:rFonts w:ascii="楷体_GB2312" w:hAnsi="楷体_GB2312" w:eastAsia="楷体_GB2312" w:cs="楷体_GB2312"/>
          <w:sz w:val="28"/>
          <w:szCs w:val="28"/>
        </w:rPr>
      </w:pPr>
    </w:p>
    <w:tbl>
      <w:tblPr>
        <w:tblStyle w:val="16"/>
        <w:tblW w:w="79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5956"/>
        <w:gridCol w:w="9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序号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实地踏勘点位</w:t>
            </w:r>
          </w:p>
        </w:tc>
        <w:tc>
          <w:tcPr>
            <w:tcW w:w="905" w:type="dxa"/>
            <w:noWrap/>
          </w:tcPr>
          <w:p>
            <w:pPr>
              <w:spacing w:line="3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芦花镇农牧局背后崩塌</w:t>
            </w: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卡龙镇卡龙村达安组依洛河泥石流</w:t>
            </w: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色尔古镇五里村聚集区后山崩塌</w:t>
            </w: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西尔镇政府驻地云林寺沟泥石流</w:t>
            </w: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木苏镇热十多沟泥石流</w:t>
            </w: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沙石多镇杨柳秋村一组脚蹼泥石流</w:t>
            </w: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知木林镇维多村泥石流</w:t>
            </w: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扎窝镇扎窝村达古西里沟罗窝河坝泥石流</w:t>
            </w: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瓦钵乡曲瓦村六合组滑坡</w:t>
            </w: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石碉楼乡俄尔村活动室滑坡</w:t>
            </w: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龙坝乡二巴郎村二巴郎滑坡</w:t>
            </w: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维古乡维古村老医院滑坡</w:t>
            </w: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晴朗乡红星村库车泥石流</w:t>
            </w: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慈坝乡慈坝村俄体道路下方滑坡</w:t>
            </w: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洛多乡沙拉村滑坡</w:t>
            </w: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……</w:t>
            </w: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</w:tbl>
    <w:p>
      <w:pPr>
        <w:spacing w:line="400" w:lineRule="exact"/>
        <w:jc w:val="center"/>
        <w:rPr>
          <w:szCs w:val="21"/>
        </w:rPr>
      </w:pPr>
      <w:r>
        <w:rPr>
          <w:szCs w:val="21"/>
        </w:rPr>
        <w:t>备注：项目</w:t>
      </w:r>
      <w:r>
        <w:rPr>
          <w:rFonts w:hint="eastAsia"/>
          <w:szCs w:val="21"/>
        </w:rPr>
        <w:t>实地踏勘</w:t>
      </w:r>
      <w:r>
        <w:rPr>
          <w:szCs w:val="21"/>
        </w:rPr>
        <w:t>点位包括市（州）本级、县（市、区）</w:t>
      </w:r>
      <w:r>
        <w:rPr>
          <w:rFonts w:hint="eastAsia"/>
          <w:szCs w:val="21"/>
        </w:rPr>
        <w:t>本级及有关项目、单位、公司</w:t>
      </w:r>
      <w:r>
        <w:rPr>
          <w:szCs w:val="21"/>
        </w:rPr>
        <w:t>等。</w:t>
      </w:r>
    </w:p>
    <w:p>
      <w:pPr>
        <w:snapToGrid w:val="0"/>
        <w:spacing w:line="578" w:lineRule="exact"/>
        <w:rPr>
          <w:rFonts w:eastAsia="黑体"/>
          <w:kern w:val="0"/>
          <w:shd w:val="clear" w:color="auto" w:fill="FFFFFF"/>
          <w:lang w:val="zh-CN"/>
        </w:rPr>
      </w:pPr>
    </w:p>
    <w:p>
      <w:pPr>
        <w:snapToGrid w:val="0"/>
        <w:spacing w:line="578" w:lineRule="exact"/>
        <w:rPr>
          <w:rFonts w:eastAsia="黑体"/>
          <w:kern w:val="0"/>
          <w:shd w:val="clear" w:color="auto" w:fill="FFFFFF"/>
        </w:rPr>
      </w:pPr>
      <w:r>
        <w:rPr>
          <w:rFonts w:eastAsia="黑体"/>
          <w:kern w:val="0"/>
          <w:shd w:val="clear" w:color="auto" w:fill="FFFFFF"/>
          <w:lang w:val="zh-CN"/>
        </w:rPr>
        <w:br w:type="page"/>
      </w:r>
      <w:r>
        <w:rPr>
          <w:rFonts w:eastAsia="黑体"/>
          <w:kern w:val="0"/>
          <w:shd w:val="clear" w:color="auto" w:fill="FFFFFF"/>
          <w:lang w:val="zh-CN"/>
        </w:rPr>
        <w:t>附表</w:t>
      </w:r>
      <w:r>
        <w:rPr>
          <w:rFonts w:hint="eastAsia" w:eastAsia="黑体"/>
          <w:kern w:val="0"/>
          <w:shd w:val="clear" w:color="auto" w:fill="FFFFFF"/>
        </w:rPr>
        <w:t>3</w:t>
      </w:r>
    </w:p>
    <w:tbl>
      <w:tblPr>
        <w:tblStyle w:val="16"/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noWrap/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eastAsia="黑体"/>
                <w:color w:val="000000"/>
                <w:sz w:val="30"/>
                <w:szCs w:val="30"/>
              </w:rPr>
            </w:pPr>
            <w:r>
              <w:rPr>
                <w:rFonts w:eastAsia="方正小标宋简体"/>
                <w:color w:val="000000"/>
                <w:kern w:val="0"/>
                <w:sz w:val="40"/>
                <w:szCs w:val="40"/>
              </w:rPr>
              <w:t>专项预算项目绩效目标完成情况自评表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2025-阿坝州黑水县-专职监测项目</w:t>
            </w:r>
          </w:p>
          <w:p>
            <w:pPr>
              <w:spacing w:line="300" w:lineRule="exact"/>
              <w:rPr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黑水县自然资源局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lef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专职监测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中长期规划（名称、文号，仅指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lef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1.《四川省“十四五”地质灾害防治规划》；</w:t>
            </w:r>
          </w:p>
          <w:p>
            <w:pPr>
              <w:spacing w:line="300" w:lineRule="exact"/>
              <w:jc w:val="lef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2.《四川省地质灾害隐患点动态管理办法（试行）》；</w:t>
            </w:r>
          </w:p>
          <w:p>
            <w:pPr>
              <w:spacing w:line="300" w:lineRule="exact"/>
              <w:jc w:val="lef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3.《四川省地质灾害群测群防专职监测工作实施细则》。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lef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《四川省“十四五”地质灾害防治规划》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eastAsia="Wingdings 2"/>
                <w:color w:val="000000"/>
                <w:sz w:val="24"/>
              </w:rPr>
            </w:pPr>
            <w:r>
              <w:rPr>
                <w:rFonts w:eastAsia="Wingdings 2"/>
                <w:color w:val="000000"/>
                <w:kern w:val="0"/>
                <w:sz w:val="24"/>
              </w:rPr>
              <w:t>£</w:t>
            </w:r>
            <w:r>
              <w:rPr>
                <w:color w:val="000000"/>
                <w:kern w:val="0"/>
                <w:sz w:val="24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Wingdings 2"/>
                <w:color w:val="000000"/>
                <w:sz w:val="24"/>
              </w:rPr>
            </w:pPr>
            <w:r>
              <w:rPr>
                <w:rFonts w:eastAsia="Wingdings 2"/>
                <w:color w:val="000000"/>
                <w:kern w:val="0"/>
                <w:sz w:val="24"/>
              </w:rPr>
              <w:t>£项目法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Wingdings 2"/>
                <w:color w:val="000000"/>
                <w:sz w:val="24"/>
              </w:rPr>
            </w:pPr>
            <w:r>
              <w:rPr>
                <w:rFonts w:eastAsia="Wingdings 2"/>
                <w:color w:val="000000"/>
                <w:kern w:val="0"/>
                <w:sz w:val="24"/>
              </w:rPr>
              <w:t>£</w:t>
            </w:r>
            <w:r>
              <w:rPr>
                <w:color w:val="000000"/>
                <w:kern w:val="0"/>
                <w:sz w:val="24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Wingdings 2"/>
                <w:color w:val="000000"/>
                <w:sz w:val="24"/>
              </w:rPr>
            </w:pPr>
            <w:r>
              <w:rPr>
                <w:rFonts w:eastAsia="Wingdings 2"/>
                <w:color w:val="000000"/>
                <w:kern w:val="0"/>
                <w:sz w:val="24"/>
              </w:rPr>
              <w:t>£</w:t>
            </w:r>
            <w:r>
              <w:rPr>
                <w:color w:val="000000"/>
                <w:kern w:val="0"/>
                <w:sz w:val="24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lef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《黑水县地质灾害群测群防专职监测人员管理办法》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lef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黑水县2025年度235处隐患点监测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lef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居住在地质灾害隐患点危险区范围内的居民。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2025年1月-2025年12月31日。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项目资金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righ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84.6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 xml:space="preserve">      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righ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84.6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righ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完成全县15个乡镇235个隐患点监测。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地质灾害专职监测隐患点数量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=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235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处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235处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监测人员隐患点监测及时率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=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100%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地质灾害隐患监测按时完成时间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=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2025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年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已按时完成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效益指标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经济效益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社会效益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sz w:val="24"/>
              </w:rPr>
              <w:t>完成190处地质灾害专职监测，汛期开展日常监测预警、隐患排查、宣传培训、应急演练，必要时组织受威胁对象转移，有效保障群众生命财产安全</w:t>
            </w:r>
            <w:r>
              <w:rPr>
                <w:rFonts w:hint="eastAsia" w:ascii="宋体" w:hAnsi="宋体"/>
                <w:sz w:val="24"/>
              </w:rPr>
              <w:t>。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=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100%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满意度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服务对象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受地质灾害威胁群众满意度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=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100%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经济成本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投入监测经费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=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84.6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万元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100%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left"/>
              <w:rPr>
                <w:color w:val="000000"/>
                <w:sz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</w:tr>
    </w:tbl>
    <w:p>
      <w:pPr>
        <w:pStyle w:val="15"/>
        <w:spacing w:after="0" w:line="20" w:lineRule="exact"/>
        <w:ind w:leftChars="0" w:firstLine="480"/>
        <w:rPr>
          <w:rFonts w:eastAsia="黑体"/>
          <w:sz w:val="24"/>
        </w:rPr>
      </w:pP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4800" w:firstLineChars="1500"/>
        <w:rPr>
          <w:rFonts w:ascii="仿宋_GB2312" w:hAnsi="仿宋_GB2312" w:eastAsia="仿宋_GB2312" w:cs="仿宋_GB2312"/>
          <w:sz w:val="32"/>
          <w:szCs w:val="32"/>
        </w:rPr>
      </w:pPr>
    </w:p>
    <w:bookmarkEnd w:id="0"/>
    <w:sectPr>
      <w:pgSz w:w="11906" w:h="16838"/>
      <w:pgMar w:top="2154" w:right="1417" w:bottom="2041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altName w:val="Times New Roman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??">
    <w:altName w:val="AR PL UKai C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小标宋简体">
    <w:altName w:val="方正小标宋_GBK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AR PL UKai CN">
    <w:panose1 w:val="02000503000000000000"/>
    <w:charset w:val="86"/>
    <w:family w:val="auto"/>
    <w:pitch w:val="default"/>
    <w:sig w:usb0="A00002FF" w:usb1="3ACFFDFF" w:usb2="00000036" w:usb3="00000000" w:csb0="2016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right="360" w:firstLine="6655" w:firstLineChars="2377"/>
      <w:rPr>
        <w:rFonts w:ascii="宋体"/>
        <w:sz w:val="28"/>
        <w:szCs w:val="28"/>
      </w:rPr>
    </w:pPr>
    <w:r>
      <w:rPr>
        <w:sz w:val="28"/>
      </w:rPr>
      <w:pict>
        <v:shape id="_x0000_s2050" o:spid="_x0000_s2050" o:spt="202" type="#_x0000_t202" style="position:absolute;left:0pt;margin-top:-1.6pt;height:25.2pt;width:33.5pt;mso-position-horizontal:outside;mso-position-horizontal-relative:margin;z-index:251660288;mso-width-relative:page;mso-height-relative:page;" filled="f" stroked="f" coordsize="21600,21600" o:gfxdata="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XmMAXtQAAAAFAQAADwAAAAAAAAABACAAAAAiAAAAZHJzL2Rvd25yZXYueG1sUEsBAhQAFAAA&#10;AAgAh07iQEQKtRa6AQAAcQMAAA4AAAAAAAAAAQAgAAAAIwEAAGRycy9lMm9Eb2MueG1sUEsFBgAA&#10;AAAGAAYAWQEAAE8FAAAAAA==&#10;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pStyle w:val="7"/>
                  <w:rPr>
                    <w:rFonts w:ascii="宋体" w:hAnsi="宋体" w:cs="宋体"/>
                    <w:sz w:val="28"/>
                    <w:szCs w:val="28"/>
                  </w:rPr>
                </w:pP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hAnsi="宋体" w:cs="宋体"/>
                    <w:sz w:val="28"/>
                    <w:szCs w:val="28"/>
                  </w:rPr>
                  <w:t>- 13 -</w: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right="360" w:firstLine="360"/>
    </w:pPr>
    <w:r>
      <w:pict>
        <v:shape id="_x0000_s2049" o:spid="_x0000_s2049" o:spt="202" type="#_x0000_t202" style="position:absolute;left:0pt;margin-left:0pt;margin-top:-8.95pt;height:27.1pt;width:71.1pt;mso-position-horizontal-relative:margin;z-index:251659264;mso-width-relative:page;mso-height-relative:page;" filled="f" stroked="f" coordsize="21600,21600" o:gfxdata="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hL1wb9cAAAAHAQAADwAAAAAAAAABACAAAAAiAAAAZHJzL2Rvd25yZXYueG1sUEsBAhQA&#10;FAAAAAgAh07iQIayZpC6AQAAcQMAAA4AAAAAAAAAAQAgAAAAJgEAAGRycy9lMm9Eb2MueG1sUEsF&#10;BgAAAAAGAAYAWQEAAFIFAAAAAA==&#10;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pStyle w:val="7"/>
                </w:pP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hAnsi="宋体" w:cs="宋体"/>
                    <w:sz w:val="28"/>
                    <w:szCs w:val="28"/>
                  </w:rPr>
                  <w:t>- 2 -</w: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5BF9B3"/>
    <w:multiLevelType w:val="multilevel"/>
    <w:tmpl w:val="1F5BF9B3"/>
    <w:lvl w:ilvl="0" w:tentative="0">
      <w:start w:val="1"/>
      <w:numFmt w:val="chineseCounting"/>
      <w:suff w:val="nothing"/>
      <w:lvlText w:val="第%1章 "/>
      <w:lvlJc w:val="left"/>
      <w:pPr>
        <w:tabs>
          <w:tab w:val="left" w:pos="0"/>
        </w:tabs>
        <w:ind w:left="432" w:hanging="432"/>
      </w:pPr>
      <w:rPr>
        <w:rFonts w:hint="eastAsia" w:eastAsia="黑体" w:cs="仿宋_GB2312"/>
        <w:b/>
        <w:sz w:val="44"/>
        <w:szCs w:val="28"/>
      </w:rPr>
    </w:lvl>
    <w:lvl w:ilvl="1" w:tentative="0">
      <w:start w:val="1"/>
      <w:numFmt w:val="decimal"/>
      <w:pStyle w:val="2"/>
      <w:isLgl/>
      <w:lvlText w:val="%1.%2"/>
      <w:lvlJc w:val="left"/>
      <w:pPr>
        <w:tabs>
          <w:tab w:val="left" w:pos="420"/>
        </w:tabs>
        <w:ind w:left="575" w:hanging="575"/>
      </w:pPr>
      <w:rPr>
        <w:rFonts w:hint="eastAsia" w:ascii="Times New Roman" w:hAnsi="Times New Roman" w:eastAsia="黑体" w:cs="仿宋_GB2312"/>
        <w:sz w:val="32"/>
        <w:szCs w:val="28"/>
      </w:rPr>
    </w:lvl>
    <w:lvl w:ilvl="2" w:tentative="0">
      <w:start w:val="1"/>
      <w:numFmt w:val="decimal"/>
      <w:isLgl/>
      <w:lvlText w:val="%1.%2.%3"/>
      <w:lvlJc w:val="left"/>
      <w:pPr>
        <w:ind w:left="720" w:hanging="720"/>
      </w:pPr>
      <w:rPr>
        <w:rFonts w:hint="eastAsia" w:ascii="Times New Roman" w:hAnsi="Times New Roman" w:eastAsia="黑体" w:cs="仿宋_GB2312"/>
        <w:sz w:val="28"/>
        <w:szCs w:val="28"/>
      </w:rPr>
    </w:lvl>
    <w:lvl w:ilvl="3" w:tentative="0">
      <w:start w:val="1"/>
      <w:numFmt w:val="decimal"/>
      <w:isLgl/>
      <w:lvlText w:val="%1.%2.%3.%4"/>
      <w:lvlJc w:val="left"/>
      <w:pPr>
        <w:ind w:left="1424" w:hanging="864"/>
      </w:pPr>
      <w:rPr>
        <w:rFonts w:hint="eastAsia" w:ascii="Times New Roman" w:hAnsi="Times New Roman" w:eastAsia="黑体" w:cs="仿宋_GB2312"/>
        <w:b/>
        <w:sz w:val="28"/>
        <w:szCs w:val="28"/>
      </w:rPr>
    </w:lvl>
    <w:lvl w:ilvl="4" w:tentative="0">
      <w:start w:val="1"/>
      <w:numFmt w:val="decimal"/>
      <w:isLgl/>
      <w:lvlText w:val="%1.%2.%3.%4.%5.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isLgl/>
      <w:lvlText w:val="%1.%2.%3.%4.%5.%6."/>
      <w:lvlJc w:val="left"/>
      <w:pPr>
        <w:ind w:left="1151" w:hanging="1151"/>
      </w:pPr>
      <w:rPr>
        <w:rFonts w:hint="eastAsia"/>
      </w:rPr>
    </w:lvl>
    <w:lvl w:ilvl="6" w:tentative="0">
      <w:start w:val="1"/>
      <w:numFmt w:val="decimal"/>
      <w:isLgl/>
      <w:lvlText w:val="%1.%2.%3.%4.%5.%6.%7.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isLgl/>
      <w:lvlText w:val="%1.%2.%3.%4.%5.%6.%7.%8.%9."/>
      <w:lvlJc w:val="left"/>
      <w:pPr>
        <w:ind w:left="1583" w:hanging="1583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5D6876AE"/>
    <w:rsid w:val="000B160C"/>
    <w:rsid w:val="00301AE6"/>
    <w:rsid w:val="003D5689"/>
    <w:rsid w:val="00496F32"/>
    <w:rsid w:val="007D2FDB"/>
    <w:rsid w:val="007E74B3"/>
    <w:rsid w:val="009B63C2"/>
    <w:rsid w:val="00AB6DF8"/>
    <w:rsid w:val="00AE5476"/>
    <w:rsid w:val="00D81C5D"/>
    <w:rsid w:val="00DA1178"/>
    <w:rsid w:val="00EB288A"/>
    <w:rsid w:val="00F64330"/>
    <w:rsid w:val="02D0436C"/>
    <w:rsid w:val="03D82979"/>
    <w:rsid w:val="089A12F8"/>
    <w:rsid w:val="090C55AD"/>
    <w:rsid w:val="09945570"/>
    <w:rsid w:val="0A554BE2"/>
    <w:rsid w:val="0AE55C2B"/>
    <w:rsid w:val="0BFF5C80"/>
    <w:rsid w:val="0D446160"/>
    <w:rsid w:val="0D6C3EF7"/>
    <w:rsid w:val="0DDE3AB8"/>
    <w:rsid w:val="0E7A5D1C"/>
    <w:rsid w:val="10644BD2"/>
    <w:rsid w:val="121E2AC6"/>
    <w:rsid w:val="12F24147"/>
    <w:rsid w:val="13A24595"/>
    <w:rsid w:val="14E032E4"/>
    <w:rsid w:val="15021727"/>
    <w:rsid w:val="15394257"/>
    <w:rsid w:val="15DD358D"/>
    <w:rsid w:val="16334607"/>
    <w:rsid w:val="16D73E12"/>
    <w:rsid w:val="178A352D"/>
    <w:rsid w:val="18D23EAC"/>
    <w:rsid w:val="1A233194"/>
    <w:rsid w:val="1CE16038"/>
    <w:rsid w:val="1E814BC4"/>
    <w:rsid w:val="1EB9014B"/>
    <w:rsid w:val="1FA95640"/>
    <w:rsid w:val="200E4608"/>
    <w:rsid w:val="20427A56"/>
    <w:rsid w:val="240D0523"/>
    <w:rsid w:val="24C70EF2"/>
    <w:rsid w:val="24F13A39"/>
    <w:rsid w:val="27862374"/>
    <w:rsid w:val="27921762"/>
    <w:rsid w:val="27D26FC7"/>
    <w:rsid w:val="2887614F"/>
    <w:rsid w:val="28B335AE"/>
    <w:rsid w:val="29DB6B9B"/>
    <w:rsid w:val="2B282A88"/>
    <w:rsid w:val="2E276A03"/>
    <w:rsid w:val="2F454A5C"/>
    <w:rsid w:val="31B21563"/>
    <w:rsid w:val="31C35B81"/>
    <w:rsid w:val="332A4744"/>
    <w:rsid w:val="333F70C9"/>
    <w:rsid w:val="34847ECB"/>
    <w:rsid w:val="36224F66"/>
    <w:rsid w:val="37DD5814"/>
    <w:rsid w:val="3800637B"/>
    <w:rsid w:val="396533F5"/>
    <w:rsid w:val="3AD672B9"/>
    <w:rsid w:val="3B65740D"/>
    <w:rsid w:val="3C933873"/>
    <w:rsid w:val="3CB24784"/>
    <w:rsid w:val="3CB55F5E"/>
    <w:rsid w:val="3CBF6F3C"/>
    <w:rsid w:val="3D3F5809"/>
    <w:rsid w:val="3D6B1770"/>
    <w:rsid w:val="3D850F47"/>
    <w:rsid w:val="3E444E20"/>
    <w:rsid w:val="3ECE4FC6"/>
    <w:rsid w:val="3F1F210A"/>
    <w:rsid w:val="416F1491"/>
    <w:rsid w:val="41E1397A"/>
    <w:rsid w:val="42BE22B3"/>
    <w:rsid w:val="45A00C0F"/>
    <w:rsid w:val="46194730"/>
    <w:rsid w:val="46BD32F3"/>
    <w:rsid w:val="47C936EA"/>
    <w:rsid w:val="48F7627E"/>
    <w:rsid w:val="49D35DBD"/>
    <w:rsid w:val="49F31149"/>
    <w:rsid w:val="4B302B11"/>
    <w:rsid w:val="4B5F6FCA"/>
    <w:rsid w:val="4D0B7697"/>
    <w:rsid w:val="4E0C1816"/>
    <w:rsid w:val="4F1075A2"/>
    <w:rsid w:val="4F7C28EE"/>
    <w:rsid w:val="50FE7AE2"/>
    <w:rsid w:val="522117E4"/>
    <w:rsid w:val="5334058D"/>
    <w:rsid w:val="53DC648E"/>
    <w:rsid w:val="552D381C"/>
    <w:rsid w:val="55A64033"/>
    <w:rsid w:val="561D1D9D"/>
    <w:rsid w:val="58F11950"/>
    <w:rsid w:val="592B38EB"/>
    <w:rsid w:val="593815EC"/>
    <w:rsid w:val="594F3E46"/>
    <w:rsid w:val="59C142A5"/>
    <w:rsid w:val="5A0D24E4"/>
    <w:rsid w:val="5A4A097D"/>
    <w:rsid w:val="5BA0191E"/>
    <w:rsid w:val="5BB21969"/>
    <w:rsid w:val="5D097C7B"/>
    <w:rsid w:val="5D3B6F2A"/>
    <w:rsid w:val="5D6876AE"/>
    <w:rsid w:val="5E3A0A24"/>
    <w:rsid w:val="5EC75630"/>
    <w:rsid w:val="5EE066D0"/>
    <w:rsid w:val="5F473B24"/>
    <w:rsid w:val="600B5831"/>
    <w:rsid w:val="601552D5"/>
    <w:rsid w:val="628D3F0F"/>
    <w:rsid w:val="63406877"/>
    <w:rsid w:val="64133D6A"/>
    <w:rsid w:val="644F0445"/>
    <w:rsid w:val="64CF6370"/>
    <w:rsid w:val="65FC4542"/>
    <w:rsid w:val="661A4227"/>
    <w:rsid w:val="677C510C"/>
    <w:rsid w:val="67DA4471"/>
    <w:rsid w:val="67ED4077"/>
    <w:rsid w:val="69203F47"/>
    <w:rsid w:val="6AD4161B"/>
    <w:rsid w:val="6CDE1D6D"/>
    <w:rsid w:val="6EA4172E"/>
    <w:rsid w:val="6F8932B5"/>
    <w:rsid w:val="727D1897"/>
    <w:rsid w:val="73182248"/>
    <w:rsid w:val="75A51790"/>
    <w:rsid w:val="75E83E13"/>
    <w:rsid w:val="793B2505"/>
    <w:rsid w:val="79BB48F5"/>
    <w:rsid w:val="7C3C5447"/>
    <w:rsid w:val="7C5D5328"/>
    <w:rsid w:val="7CFE157D"/>
    <w:rsid w:val="7D6A5177"/>
    <w:rsid w:val="7DA07FDB"/>
    <w:rsid w:val="7DA94E19"/>
    <w:rsid w:val="7DDB5060"/>
    <w:rsid w:val="7F404C5C"/>
    <w:rsid w:val="7F462D36"/>
    <w:rsid w:val="7FA7229A"/>
    <w:rsid w:val="C599909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99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numPr>
        <w:ilvl w:val="1"/>
        <w:numId w:val="1"/>
      </w:numPr>
      <w:spacing w:after="200"/>
      <w:jc w:val="left"/>
      <w:outlineLvl w:val="1"/>
    </w:pPr>
    <w:rPr>
      <w:rFonts w:eastAsia="黑体"/>
      <w:b/>
      <w:bCs/>
      <w:kern w:val="0"/>
      <w:sz w:val="32"/>
      <w:szCs w:val="32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Salutation"/>
    <w:basedOn w:val="1"/>
    <w:next w:val="1"/>
    <w:qFormat/>
    <w:uiPriority w:val="0"/>
    <w:pPr>
      <w:textAlignment w:val="baseline"/>
    </w:pPr>
  </w:style>
  <w:style w:type="paragraph" w:styleId="4">
    <w:name w:val="Body Text"/>
    <w:basedOn w:val="1"/>
    <w:qFormat/>
    <w:uiPriority w:val="0"/>
    <w:rPr>
      <w:rFonts w:ascii="仿宋_GB2312" w:eastAsia="仿宋_GB2312" w:cs="仿宋_GB2312"/>
      <w:sz w:val="32"/>
      <w:szCs w:val="32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  <w:rPr>
      <w:rFonts w:ascii="Calibri" w:hAnsi="Calibri"/>
      <w:kern w:val="0"/>
      <w:sz w:val="20"/>
    </w:rPr>
  </w:style>
  <w:style w:type="paragraph" w:styleId="6">
    <w:name w:val="Body Text Indent 2"/>
    <w:basedOn w:val="1"/>
    <w:qFormat/>
    <w:uiPriority w:val="0"/>
    <w:pPr>
      <w:spacing w:after="120" w:line="480" w:lineRule="auto"/>
      <w:ind w:left="200" w:leftChars="200"/>
    </w:pPr>
    <w:rPr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7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7"/>
      </w:tabs>
      <w:snapToGrid w:val="0"/>
      <w:jc w:val="center"/>
    </w:pPr>
    <w:rPr>
      <w:sz w:val="18"/>
    </w:rPr>
  </w:style>
  <w:style w:type="paragraph" w:styleId="9">
    <w:name w:val="toc 4"/>
    <w:next w:val="1"/>
    <w:qFormat/>
    <w:uiPriority w:val="0"/>
    <w:pPr>
      <w:wordWrap w:val="0"/>
      <w:ind w:left="850"/>
      <w:jc w:val="both"/>
    </w:pPr>
    <w:rPr>
      <w:rFonts w:ascii="Calibri" w:hAnsi="Calibri" w:eastAsia="宋体" w:cs="Times New Roman"/>
      <w:sz w:val="21"/>
      <w:lang w:val="en-US" w:eastAsia="zh-CN" w:bidi="ar-SA"/>
    </w:rPr>
  </w:style>
  <w:style w:type="paragraph" w:styleId="10">
    <w:name w:val="table of figures"/>
    <w:basedOn w:val="1"/>
    <w:next w:val="1"/>
    <w:semiHidden/>
    <w:qFormat/>
    <w:uiPriority w:val="99"/>
    <w:pPr>
      <w:spacing w:before="100" w:beforeAutospacing="1" w:after="100" w:afterAutospacing="1"/>
      <w:ind w:left="200" w:leftChars="200" w:hanging="200" w:hangingChars="200"/>
    </w:pPr>
  </w:style>
  <w:style w:type="paragraph" w:styleId="11">
    <w:name w:val="Body Text 2"/>
    <w:basedOn w:val="1"/>
    <w:qFormat/>
    <w:uiPriority w:val="0"/>
    <w:pPr>
      <w:spacing w:line="360" w:lineRule="auto"/>
    </w:pPr>
    <w:rPr>
      <w:sz w:val="28"/>
    </w:rPr>
  </w:style>
  <w:style w:type="paragraph" w:styleId="12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/>
      <w:kern w:val="0"/>
      <w:sz w:val="24"/>
    </w:rPr>
  </w:style>
  <w:style w:type="paragraph" w:styleId="13">
    <w:name w:val="Normal (Web)"/>
    <w:basedOn w:val="1"/>
    <w:next w:val="14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14">
    <w:name w:val="文本"/>
    <w:basedOn w:val="1"/>
    <w:qFormat/>
    <w:uiPriority w:val="0"/>
    <w:pPr>
      <w:widowControl/>
      <w:spacing w:line="365" w:lineRule="atLeast"/>
      <w:ind w:left="1" w:firstLine="720"/>
    </w:pPr>
    <w:rPr>
      <w:rFonts w:cs="宋体"/>
      <w:kern w:val="0"/>
      <w:sz w:val="20"/>
    </w:rPr>
  </w:style>
  <w:style w:type="paragraph" w:styleId="15">
    <w:name w:val="Body Text First Indent 2"/>
    <w:basedOn w:val="5"/>
    <w:qFormat/>
    <w:uiPriority w:val="0"/>
    <w:pPr>
      <w:ind w:firstLine="420" w:firstLineChars="200"/>
    </w:pPr>
    <w:rPr>
      <w:rFonts w:ascii="Times New Roman" w:hAnsi="Times New Roman"/>
    </w:r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NormalCharacter"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0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  <w:style w:type="paragraph" w:customStyle="1" w:styleId="21">
    <w:name w:val="四号正文"/>
    <w:basedOn w:val="1"/>
    <w:qFormat/>
    <w:uiPriority w:val="0"/>
    <w:pPr>
      <w:spacing w:line="360" w:lineRule="auto"/>
    </w:pPr>
    <w:rPr>
      <w:rFonts w:ascii="??" w:hAnsi="??"/>
      <w:color w:val="000000"/>
      <w:kern w:val="0"/>
      <w:sz w:val="28"/>
      <w:szCs w:val="21"/>
      <w:lang w:val="zh-CN"/>
    </w:rPr>
  </w:style>
  <w:style w:type="character" w:customStyle="1" w:styleId="22">
    <w:name w:val="15"/>
    <w:qFormat/>
    <w:uiPriority w:val="0"/>
    <w:rPr>
      <w:rFonts w:hint="eastAsia" w:ascii="宋体" w:hAnsi="宋体" w:eastAsia="宋体"/>
      <w:color w:val="FF000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50"/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13</Pages>
  <Words>865</Words>
  <Characters>4933</Characters>
  <Lines>41</Lines>
  <Paragraphs>11</Paragraphs>
  <TotalTime>3</TotalTime>
  <ScaleCrop>false</ScaleCrop>
  <LinksUpToDate>false</LinksUpToDate>
  <CharactersWithSpaces>5787</CharactersWithSpaces>
  <Application>WPS Office_11.1.0.10702_F1E327BC-269C-435d-A152-05C5408002CA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2026-08-13T15:38:00Z</dcterms:created>
  <dc:creator>Administrator</dc:creator>
  <cp:lastModifiedBy>user</cp:lastModifiedBy>
  <cp:lastPrinted>2025-12-23T15:35:00Z</cp:lastPrinted>
  <dcterms:modified xsi:type="dcterms:W3CDTF">2026-10-15T16:46:57Z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2052-11.1.0.10702</vt:lpwstr>
  </property>
  <property fmtid="{D5CDD505-2E9C-101B-9397-08002B2CF9AE}" pid="3" name="ICV">
    <vt:lpwstr>90C02671F42D44A5ACABD50DFAD6F874_13</vt:lpwstr>
  </property>
  <property fmtid="{D5CDD505-2E9C-101B-9397-08002B2CF9AE}" pid="4" name="KSOTemplateDocerSaveRecord">
    <vt:lpwstr>eyJoZGlkIjoiMzM4MGY3Y2Y5ZjNkOTAwYWU4NDNiNzI1MzczYmVmOTIiLCJ1c2VySWQiOiI4MjY5NDE4NTUifQ==</vt:lpwstr>
  </property>
</Properties>
</file>