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left="0"/>
        <w:jc w:val="center"/>
        <w:textAlignment w:val="auto"/>
        <w:rPr>
          <w:rFonts w:hint="eastAsia" w:ascii="宋体" w:hAnsi="宋体" w:eastAsia="宋体" w:cs="宋体"/>
          <w:b/>
          <w:bCs w:val="0"/>
          <w:sz w:val="44"/>
          <w:szCs w:val="44"/>
          <w:lang w:val="en-US" w:eastAsia="zh-CN"/>
        </w:rPr>
      </w:pPr>
      <w:r>
        <w:rPr>
          <w:rFonts w:hint="eastAsia" w:ascii="宋体" w:hAnsi="宋体" w:eastAsia="宋体" w:cs="宋体"/>
          <w:b/>
          <w:bCs w:val="0"/>
          <w:sz w:val="44"/>
          <w:szCs w:val="44"/>
          <w:lang w:val="en-US" w:eastAsia="zh-CN"/>
        </w:rPr>
        <w:t>黑水县建筑工程质量安全监督站</w:t>
      </w:r>
    </w:p>
    <w:p>
      <w:pPr>
        <w:pStyle w:val="4"/>
        <w:pageBreakBefore w:val="0"/>
        <w:widowControl w:val="0"/>
        <w:kinsoku/>
        <w:wordWrap/>
        <w:overflowPunct/>
        <w:topLinePunct w:val="0"/>
        <w:autoSpaceDE/>
        <w:autoSpaceDN/>
        <w:bidi w:val="0"/>
        <w:adjustRightInd/>
        <w:snapToGrid/>
        <w:spacing w:before="0" w:beforeLines="0" w:beforeAutospacing="0" w:after="0" w:afterLines="0" w:afterAutospacing="0" w:line="560" w:lineRule="exact"/>
        <w:ind w:left="0"/>
        <w:jc w:val="center"/>
        <w:textAlignment w:val="auto"/>
        <w:rPr>
          <w:rFonts w:hint="eastAsia" w:ascii="宋体" w:hAnsi="宋体" w:eastAsia="宋体" w:cs="宋体"/>
          <w:b/>
          <w:bCs w:val="0"/>
          <w:sz w:val="44"/>
          <w:szCs w:val="44"/>
        </w:rPr>
      </w:pPr>
      <w:r>
        <w:rPr>
          <w:rFonts w:hint="eastAsia" w:ascii="宋体" w:hAnsi="宋体" w:eastAsia="宋体" w:cs="宋体"/>
          <w:b/>
          <w:bCs w:val="0"/>
          <w:sz w:val="44"/>
          <w:szCs w:val="44"/>
          <w:lang w:val="en-US" w:eastAsia="zh-CN"/>
        </w:rPr>
        <w:t>2025</w:t>
      </w:r>
      <w:r>
        <w:rPr>
          <w:rFonts w:hint="eastAsia" w:ascii="宋体" w:hAnsi="宋体" w:eastAsia="宋体" w:cs="宋体"/>
          <w:b/>
          <w:bCs w:val="0"/>
          <w:sz w:val="44"/>
          <w:szCs w:val="44"/>
        </w:rPr>
        <w:t>年</w:t>
      </w:r>
      <w:r>
        <w:rPr>
          <w:rFonts w:hint="eastAsia" w:ascii="宋体" w:hAnsi="宋体" w:eastAsia="宋体" w:cs="宋体"/>
          <w:b/>
          <w:bCs w:val="0"/>
          <w:sz w:val="44"/>
          <w:szCs w:val="44"/>
          <w:lang w:eastAsia="zh-CN"/>
        </w:rPr>
        <w:t>县</w:t>
      </w:r>
      <w:r>
        <w:rPr>
          <w:rFonts w:hint="eastAsia" w:ascii="宋体" w:hAnsi="宋体" w:eastAsia="宋体" w:cs="宋体"/>
          <w:b/>
          <w:bCs w:val="0"/>
          <w:sz w:val="44"/>
          <w:szCs w:val="44"/>
        </w:rPr>
        <w:t>级部门整体支出绩效评价报告</w:t>
      </w:r>
    </w:p>
    <w:p>
      <w:pPr>
        <w:spacing w:line="580" w:lineRule="exact"/>
        <w:ind w:firstLine="642" w:firstLineChars="200"/>
        <w:rPr>
          <w:rFonts w:ascii="仿宋_GB2312" w:hAnsi="黑体" w:eastAsia="仿宋_GB2312" w:cs="黑体"/>
          <w:b/>
          <w:sz w:val="32"/>
          <w:szCs w:val="32"/>
        </w:rPr>
      </w:pPr>
    </w:p>
    <w:p>
      <w:pPr>
        <w:pageBreakBefore w:val="0"/>
        <w:widowControl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一、部门</w:t>
      </w:r>
      <w:r>
        <w:rPr>
          <w:rFonts w:hint="eastAsia" w:ascii="黑体" w:hAnsi="黑体" w:eastAsia="黑体" w:cs="黑体"/>
          <w:b w:val="0"/>
          <w:bCs w:val="0"/>
          <w:sz w:val="32"/>
          <w:szCs w:val="32"/>
          <w:lang w:eastAsia="zh-CN"/>
        </w:rPr>
        <w:t>（</w:t>
      </w:r>
      <w:r>
        <w:rPr>
          <w:rFonts w:hint="eastAsia" w:ascii="黑体" w:hAnsi="黑体" w:eastAsia="黑体" w:cs="黑体"/>
          <w:b w:val="0"/>
          <w:bCs w:val="0"/>
          <w:sz w:val="32"/>
          <w:szCs w:val="32"/>
        </w:rPr>
        <w:t>单位</w:t>
      </w:r>
      <w:r>
        <w:rPr>
          <w:rFonts w:hint="eastAsia" w:ascii="黑体" w:hAnsi="黑体" w:eastAsia="黑体" w:cs="黑体"/>
          <w:b w:val="0"/>
          <w:bCs w:val="0"/>
          <w:sz w:val="32"/>
          <w:szCs w:val="32"/>
          <w:lang w:eastAsia="zh-CN"/>
        </w:rPr>
        <w:t>）</w:t>
      </w:r>
      <w:r>
        <w:rPr>
          <w:rFonts w:hint="eastAsia" w:ascii="黑体" w:hAnsi="黑体" w:eastAsia="黑体" w:cs="黑体"/>
          <w:b w:val="0"/>
          <w:bCs w:val="0"/>
          <w:sz w:val="32"/>
          <w:szCs w:val="32"/>
        </w:rPr>
        <w:t>概况</w:t>
      </w:r>
    </w:p>
    <w:p>
      <w:pPr>
        <w:pageBreakBefore w:val="0"/>
        <w:widowControl w:val="0"/>
        <w:numPr>
          <w:ilvl w:val="0"/>
          <w:numId w:val="0"/>
        </w:numPr>
        <w:kinsoku/>
        <w:wordWrap/>
        <w:overflowPunct/>
        <w:topLinePunct w:val="0"/>
        <w:autoSpaceDE/>
        <w:bidi w:val="0"/>
        <w:adjustRightInd/>
        <w:spacing w:beforeAutospacing="0" w:afterAutospacing="0" w:line="560" w:lineRule="exact"/>
        <w:ind w:left="0" w:firstLine="642"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lang w:eastAsia="zh-CN"/>
        </w:rPr>
        <w:t>（一）</w:t>
      </w:r>
      <w:r>
        <w:rPr>
          <w:rFonts w:hint="eastAsia" w:ascii="楷体_GB2312" w:hAnsi="楷体_GB2312" w:eastAsia="楷体_GB2312" w:cs="楷体_GB2312"/>
          <w:b/>
          <w:bCs/>
          <w:sz w:val="32"/>
          <w:szCs w:val="32"/>
        </w:rPr>
        <w:t>机构组成。</w:t>
      </w:r>
    </w:p>
    <w:p>
      <w:pPr>
        <w:pageBreakBefore w:val="0"/>
        <w:widowControl w:val="0"/>
        <w:kinsoku/>
        <w:wordWrap/>
        <w:overflowPunct/>
        <w:topLinePunct w:val="0"/>
        <w:autoSpaceDE/>
        <w:autoSpaceDN/>
        <w:bidi w:val="0"/>
        <w:adjustRightInd/>
        <w:snapToGrid/>
        <w:spacing w:beforeAutospacing="0" w:afterAutospacing="0" w:line="560" w:lineRule="exact"/>
        <w:ind w:left="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本部门独立编制机构1个。</w:t>
      </w:r>
    </w:p>
    <w:p>
      <w:pPr>
        <w:pageBreakBefore w:val="0"/>
        <w:widowControl w:val="0"/>
        <w:numPr>
          <w:ilvl w:val="0"/>
          <w:numId w:val="0"/>
        </w:numPr>
        <w:kinsoku/>
        <w:wordWrap/>
        <w:overflowPunct/>
        <w:topLinePunct w:val="0"/>
        <w:autoSpaceDE/>
        <w:bidi w:val="0"/>
        <w:adjustRightInd/>
        <w:spacing w:beforeAutospacing="0" w:afterAutospacing="0" w:line="560" w:lineRule="exact"/>
        <w:ind w:left="0" w:firstLine="642" w:firstLineChars="200"/>
        <w:textAlignment w:val="auto"/>
        <w:rPr>
          <w:rFonts w:hint="eastAsia" w:ascii="楷体_GB2312" w:hAnsi="楷体_GB2312" w:eastAsia="楷体_GB2312" w:cs="楷体_GB2312"/>
          <w:b/>
          <w:bCs/>
          <w:sz w:val="32"/>
          <w:szCs w:val="32"/>
          <w:lang w:eastAsia="zh-CN"/>
        </w:rPr>
      </w:pPr>
      <w:r>
        <w:rPr>
          <w:rFonts w:hint="eastAsia" w:ascii="楷体_GB2312" w:hAnsi="楷体_GB2312" w:eastAsia="楷体_GB2312" w:cs="楷体_GB2312"/>
          <w:b/>
          <w:bCs/>
          <w:sz w:val="32"/>
          <w:szCs w:val="32"/>
          <w:lang w:val="en-US" w:eastAsia="zh-CN"/>
        </w:rPr>
        <w:t>（二）</w:t>
      </w:r>
      <w:r>
        <w:rPr>
          <w:rFonts w:hint="eastAsia" w:ascii="楷体_GB2312" w:hAnsi="楷体_GB2312" w:eastAsia="楷体_GB2312" w:cs="楷体_GB2312"/>
          <w:b/>
          <w:bCs/>
          <w:sz w:val="32"/>
          <w:szCs w:val="32"/>
          <w:lang w:eastAsia="zh-CN"/>
        </w:rPr>
        <w:t>机构职能。</w:t>
      </w:r>
    </w:p>
    <w:p>
      <w:pPr>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lang w:eastAsia="zh-CN"/>
        </w:rPr>
        <w:t>黑水县住房和城乡建设局</w:t>
      </w:r>
      <w:r>
        <w:rPr>
          <w:rFonts w:hint="eastAsia" w:ascii="仿宋" w:hAnsi="仿宋" w:eastAsia="仿宋" w:cs="仿宋"/>
          <w:sz w:val="32"/>
          <w:szCs w:val="32"/>
        </w:rPr>
        <w:t>主要是负责</w:t>
      </w:r>
      <w:r>
        <w:rPr>
          <w:rFonts w:hint="eastAsia" w:ascii="仿宋" w:hAnsi="仿宋" w:eastAsia="仿宋" w:cs="仿宋"/>
          <w:sz w:val="32"/>
          <w:szCs w:val="32"/>
          <w:lang w:eastAsia="zh-CN"/>
        </w:rPr>
        <w:t>本系统</w:t>
      </w:r>
      <w:r>
        <w:rPr>
          <w:rFonts w:hint="eastAsia" w:ascii="仿宋" w:hAnsi="仿宋" w:eastAsia="仿宋" w:cs="仿宋"/>
          <w:sz w:val="32"/>
          <w:szCs w:val="32"/>
        </w:rPr>
        <w:t>、</w:t>
      </w:r>
      <w:r>
        <w:rPr>
          <w:rFonts w:hint="eastAsia" w:ascii="仿宋" w:hAnsi="仿宋" w:eastAsia="仿宋" w:cs="仿宋"/>
          <w:sz w:val="32"/>
          <w:szCs w:val="32"/>
          <w:lang w:eastAsia="zh-CN"/>
        </w:rPr>
        <w:t>本部门依法行政工作、推进住房制度改革、保障全县城镇低收入家庭住房、全县工程建设标准体系责任、规范全县房地产市场秩序、监督管理全县建筑市场、指导全县城镇建设管理、</w:t>
      </w:r>
      <w:r>
        <w:rPr>
          <w:rFonts w:hint="eastAsia" w:ascii="仿宋" w:hAnsi="仿宋" w:eastAsia="仿宋" w:cs="仿宋"/>
          <w:sz w:val="32"/>
          <w:szCs w:val="32"/>
        </w:rPr>
        <w:t>建筑工程质量安全监督、城乡环境综合治理等工作</w:t>
      </w:r>
      <w:r>
        <w:rPr>
          <w:rFonts w:hint="eastAsia" w:ascii="仿宋" w:hAnsi="仿宋" w:eastAsia="仿宋" w:cs="仿宋"/>
          <w:sz w:val="32"/>
          <w:szCs w:val="32"/>
          <w:lang w:eastAsia="zh-CN"/>
        </w:rPr>
        <w:t>。</w:t>
      </w:r>
    </w:p>
    <w:p>
      <w:pPr>
        <w:pageBreakBefore w:val="0"/>
        <w:widowControl w:val="0"/>
        <w:numPr>
          <w:ilvl w:val="0"/>
          <w:numId w:val="0"/>
        </w:numPr>
        <w:kinsoku/>
        <w:wordWrap/>
        <w:overflowPunct/>
        <w:topLinePunct w:val="0"/>
        <w:autoSpaceDE/>
        <w:bidi w:val="0"/>
        <w:adjustRightInd/>
        <w:spacing w:beforeAutospacing="0" w:afterAutospacing="0" w:line="560" w:lineRule="exact"/>
        <w:ind w:left="0" w:firstLine="642" w:firstLineChars="200"/>
        <w:textAlignment w:val="auto"/>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lang w:eastAsia="zh-CN"/>
        </w:rPr>
        <w:t>（三</w:t>
      </w:r>
      <w:bookmarkStart w:id="0" w:name="_GoBack"/>
      <w:bookmarkEnd w:id="0"/>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人员概况。</w:t>
      </w:r>
    </w:p>
    <w:p>
      <w:pPr>
        <w:pageBreakBefore w:val="0"/>
        <w:widowControl w:val="0"/>
        <w:kinsoku/>
        <w:wordWrap/>
        <w:overflowPunct/>
        <w:topLinePunct w:val="0"/>
        <w:autoSpaceDE/>
        <w:bidi w:val="0"/>
        <w:adjustRightInd/>
        <w:spacing w:beforeAutospacing="0" w:afterAutospacing="0" w:line="560" w:lineRule="exact"/>
        <w:ind w:left="0"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sz w:val="32"/>
          <w:szCs w:val="32"/>
        </w:rPr>
        <w:t>单位编制</w:t>
      </w:r>
      <w:r>
        <w:rPr>
          <w:rFonts w:hint="eastAsia" w:ascii="仿宋_GB2312" w:hAnsi="仿宋_GB2312" w:eastAsia="仿宋_GB2312" w:cs="仿宋_GB2312"/>
          <w:sz w:val="32"/>
          <w:szCs w:val="32"/>
          <w:lang w:val="en-US" w:eastAsia="zh-CN"/>
        </w:rPr>
        <w:t>16</w:t>
      </w:r>
      <w:r>
        <w:rPr>
          <w:rFonts w:hint="eastAsia" w:ascii="仿宋_GB2312" w:hAnsi="仿宋_GB2312" w:eastAsia="仿宋_GB2312" w:cs="仿宋_GB2312"/>
          <w:sz w:val="32"/>
          <w:szCs w:val="32"/>
        </w:rPr>
        <w:t>人，本单位本年年末人数</w:t>
      </w:r>
      <w:r>
        <w:rPr>
          <w:rFonts w:hint="eastAsia" w:ascii="仿宋_GB2312" w:hAnsi="仿宋_GB2312" w:eastAsia="仿宋_GB2312" w:cs="仿宋_GB2312"/>
          <w:sz w:val="32"/>
          <w:szCs w:val="32"/>
          <w:lang w:val="en-US" w:eastAsia="zh-CN"/>
        </w:rPr>
        <w:t>14</w:t>
      </w:r>
      <w:r>
        <w:rPr>
          <w:rFonts w:hint="eastAsia" w:ascii="仿宋_GB2312" w:hAnsi="仿宋_GB2312" w:eastAsia="仿宋_GB2312" w:cs="仿宋_GB2312"/>
          <w:sz w:val="32"/>
          <w:szCs w:val="32"/>
        </w:rPr>
        <w:t>人，其中：事业编制人员</w:t>
      </w:r>
      <w:r>
        <w:rPr>
          <w:rFonts w:hint="eastAsia" w:ascii="仿宋_GB2312" w:hAnsi="仿宋_GB2312" w:eastAsia="仿宋_GB2312" w:cs="仿宋_GB2312"/>
          <w:sz w:val="32"/>
          <w:szCs w:val="32"/>
          <w:lang w:val="en-US" w:eastAsia="zh-CN"/>
        </w:rPr>
        <w:t>14</w:t>
      </w:r>
      <w:r>
        <w:rPr>
          <w:rFonts w:hint="eastAsia" w:ascii="仿宋_GB2312" w:hAnsi="仿宋_GB2312" w:eastAsia="仿宋_GB2312" w:cs="仿宋_GB2312"/>
          <w:sz w:val="32"/>
          <w:szCs w:val="32"/>
        </w:rPr>
        <w:t>人。</w:t>
      </w:r>
    </w:p>
    <w:p>
      <w:pPr>
        <w:spacing w:line="580" w:lineRule="exact"/>
        <w:ind w:firstLine="640" w:firstLineChars="200"/>
        <w:rPr>
          <w:rFonts w:ascii="仿宋_GB2312" w:hAnsi="黑体" w:eastAsia="仿宋_GB2312" w:cs="黑体"/>
          <w:sz w:val="32"/>
          <w:szCs w:val="32"/>
        </w:rPr>
      </w:pPr>
      <w:r>
        <w:rPr>
          <w:rFonts w:hint="eastAsia" w:ascii="黑体" w:hAnsi="黑体" w:eastAsia="黑体" w:cs="黑体"/>
          <w:sz w:val="32"/>
          <w:szCs w:val="32"/>
        </w:rPr>
        <w:t>二、部门财政资金收支情况</w:t>
      </w:r>
    </w:p>
    <w:p>
      <w:pPr>
        <w:spacing w:line="580" w:lineRule="exact"/>
        <w:ind w:firstLine="642" w:firstLineChars="200"/>
        <w:rPr>
          <w:rFonts w:ascii="仿宋_GB2312" w:hAnsi="仿宋" w:eastAsia="仿宋_GB2312" w:cs="仿宋_GB2312"/>
          <w:sz w:val="32"/>
          <w:szCs w:val="32"/>
        </w:rPr>
      </w:pPr>
      <w:r>
        <w:rPr>
          <w:rFonts w:hint="eastAsia" w:ascii="楷体_GB2312" w:hAnsi="楷体_GB2312" w:eastAsia="楷体_GB2312" w:cs="楷体_GB2312"/>
          <w:b/>
          <w:bCs/>
          <w:sz w:val="32"/>
          <w:szCs w:val="32"/>
        </w:rPr>
        <w:t>（一）部门财政资金收入情况。</w:t>
      </w:r>
    </w:p>
    <w:p>
      <w:pPr>
        <w:pageBreakBefore w:val="0"/>
        <w:widowControl w:val="0"/>
        <w:kinsoku/>
        <w:wordWrap/>
        <w:overflowPunct/>
        <w:topLinePunct w:val="0"/>
        <w:autoSpaceDE/>
        <w:bidi w:val="0"/>
        <w:adjustRightInd/>
        <w:spacing w:beforeAutospacing="0" w:afterAutospacing="0" w:line="560" w:lineRule="exact"/>
        <w:ind w:left="0" w:firstLine="640" w:firstLineChars="200"/>
        <w:textAlignment w:val="auto"/>
        <w:outlineLvl w:val="1"/>
        <w:rPr>
          <w:rFonts w:hint="eastAsia" w:ascii="仿宋_GB2312" w:hAnsi="仿宋" w:eastAsia="仿宋_GB2312" w:cs="仿宋_GB2312"/>
          <w:sz w:val="32"/>
          <w:szCs w:val="32"/>
        </w:rPr>
      </w:pPr>
      <w:r>
        <w:rPr>
          <w:rFonts w:hint="eastAsia" w:ascii="仿宋_GB2312" w:hAnsi="仿宋_GB2312" w:eastAsia="仿宋_GB2312" w:cs="仿宋_GB2312"/>
          <w:color w:val="000000"/>
          <w:sz w:val="32"/>
          <w:szCs w:val="32"/>
          <w:lang w:val="en-US" w:eastAsia="zh-CN"/>
        </w:rPr>
        <w:t>2025</w:t>
      </w:r>
      <w:r>
        <w:rPr>
          <w:rFonts w:hint="eastAsia" w:ascii="仿宋_GB2312" w:hAnsi="仿宋_GB2312" w:eastAsia="仿宋_GB2312" w:cs="仿宋_GB2312"/>
          <w:color w:val="000000"/>
          <w:sz w:val="32"/>
          <w:szCs w:val="32"/>
        </w:rPr>
        <w:t>年本年收入合计</w:t>
      </w:r>
      <w:r>
        <w:rPr>
          <w:rFonts w:hint="eastAsia" w:ascii="仿宋_GB2312" w:hAnsi="仿宋_GB2312" w:eastAsia="仿宋_GB2312" w:cs="仿宋_GB2312"/>
          <w:color w:val="000000"/>
          <w:sz w:val="32"/>
          <w:szCs w:val="32"/>
          <w:lang w:val="en-US" w:eastAsia="zh-CN"/>
        </w:rPr>
        <w:t>18058.79</w:t>
      </w:r>
      <w:r>
        <w:rPr>
          <w:rFonts w:hint="eastAsia" w:ascii="仿宋_GB2312" w:hAnsi="仿宋_GB2312" w:eastAsia="仿宋_GB2312" w:cs="仿宋_GB2312"/>
          <w:color w:val="000000"/>
          <w:sz w:val="32"/>
          <w:szCs w:val="32"/>
        </w:rPr>
        <w:t>万元，其中：一般公共预算财政拨款收入</w:t>
      </w:r>
      <w:r>
        <w:rPr>
          <w:rFonts w:hint="eastAsia" w:ascii="仿宋_GB2312" w:hAnsi="仿宋_GB2312" w:eastAsia="仿宋_GB2312" w:cs="仿宋_GB2312"/>
          <w:color w:val="000000"/>
          <w:sz w:val="32"/>
          <w:szCs w:val="32"/>
          <w:lang w:val="en-US" w:eastAsia="zh-CN"/>
        </w:rPr>
        <w:t>17817.2</w:t>
      </w:r>
      <w:r>
        <w:rPr>
          <w:rFonts w:hint="eastAsia" w:ascii="仿宋_GB2312" w:hAnsi="仿宋_GB2312" w:eastAsia="仿宋_GB2312" w:cs="仿宋_GB2312"/>
          <w:color w:val="000000"/>
          <w:sz w:val="32"/>
          <w:szCs w:val="32"/>
        </w:rPr>
        <w:t>万元，占</w:t>
      </w:r>
      <w:r>
        <w:rPr>
          <w:rFonts w:hint="eastAsia" w:ascii="仿宋_GB2312" w:hAnsi="仿宋_GB2312" w:eastAsia="仿宋_GB2312" w:cs="仿宋_GB2312"/>
          <w:color w:val="000000"/>
          <w:sz w:val="32"/>
          <w:szCs w:val="32"/>
          <w:lang w:eastAsia="zh-CN"/>
        </w:rPr>
        <w:t>比</w:t>
      </w:r>
      <w:r>
        <w:rPr>
          <w:rFonts w:hint="eastAsia" w:ascii="仿宋_GB2312" w:hAnsi="仿宋_GB2312" w:eastAsia="仿宋_GB2312" w:cs="仿宋_GB2312"/>
          <w:color w:val="000000"/>
          <w:sz w:val="32"/>
          <w:szCs w:val="32"/>
          <w:lang w:val="en-US" w:eastAsia="zh-CN"/>
        </w:rPr>
        <w:t>98.66</w:t>
      </w:r>
      <w:r>
        <w:rPr>
          <w:rFonts w:hint="eastAsia" w:ascii="仿宋_GB2312" w:hAnsi="仿宋_GB2312" w:eastAsia="仿宋_GB2312" w:cs="仿宋_GB2312"/>
          <w:color w:val="000000"/>
          <w:sz w:val="32"/>
          <w:szCs w:val="32"/>
        </w:rPr>
        <w:t>%。</w:t>
      </w:r>
    </w:p>
    <w:p>
      <w:pPr>
        <w:numPr>
          <w:ilvl w:val="0"/>
          <w:numId w:val="1"/>
        </w:numPr>
        <w:spacing w:line="580" w:lineRule="exact"/>
        <w:ind w:firstLine="642"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部门财政资金支出情况。</w:t>
      </w:r>
    </w:p>
    <w:p>
      <w:pPr>
        <w:pageBreakBefore w:val="0"/>
        <w:widowControl w:val="0"/>
        <w:kinsoku/>
        <w:wordWrap/>
        <w:overflowPunct/>
        <w:topLinePunct w:val="0"/>
        <w:autoSpaceDE/>
        <w:bidi w:val="0"/>
        <w:adjustRightInd/>
        <w:spacing w:beforeAutospacing="0" w:afterAutospacing="0" w:line="560" w:lineRule="exact"/>
        <w:ind w:left="0" w:firstLine="642"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rPr>
        <w:t>基本支出</w:t>
      </w:r>
    </w:p>
    <w:p>
      <w:pPr>
        <w:pStyle w:val="8"/>
        <w:keepNext w:val="0"/>
        <w:keepLines w:val="0"/>
        <w:pageBreakBefore w:val="0"/>
        <w:widowControl w:val="0"/>
        <w:kinsoku/>
        <w:wordWrap/>
        <w:overflowPunct/>
        <w:topLinePunct w:val="0"/>
        <w:autoSpaceDE/>
        <w:bidi w:val="0"/>
        <w:adjustRightInd/>
        <w:snapToGrid/>
        <w:spacing w:beforeAutospacing="0" w:after="0" w:afterAutospacing="0" w:line="560" w:lineRule="exact"/>
        <w:ind w:left="0" w:leftChars="0" w:firstLine="646" w:firstLineChars="0"/>
        <w:textAlignment w:val="auto"/>
        <w:rPr>
          <w:rFonts w:hint="eastAsia" w:ascii="仿宋_GB2312" w:hAnsi="仿宋_GB2312" w:eastAsia="仿宋_GB2312" w:cs="仿宋_GB2312"/>
          <w:color w:val="010101"/>
          <w:sz w:val="32"/>
          <w:szCs w:val="32"/>
        </w:rPr>
      </w:pPr>
      <w:r>
        <w:rPr>
          <w:rFonts w:hint="eastAsia" w:ascii="仿宋_GB2312" w:hAnsi="仿宋_GB2312" w:eastAsia="仿宋_GB2312" w:cs="仿宋_GB2312"/>
          <w:color w:val="010101"/>
          <w:sz w:val="32"/>
          <w:szCs w:val="32"/>
        </w:rPr>
        <w:t>基本支出用于为保障机构正常运转、完成日常工作任务而发生的支出，包括人员经费和公用经费。</w:t>
      </w:r>
    </w:p>
    <w:p>
      <w:pPr>
        <w:keepNext w:val="0"/>
        <w:keepLines w:val="0"/>
        <w:pageBreakBefore w:val="0"/>
        <w:widowControl w:val="0"/>
        <w:kinsoku/>
        <w:wordWrap/>
        <w:overflowPunct/>
        <w:topLinePunct w:val="0"/>
        <w:autoSpaceDE/>
        <w:autoSpaceDN w:val="0"/>
        <w:bidi w:val="0"/>
        <w:adjustRightInd/>
        <w:snapToGrid/>
        <w:spacing w:beforeAutospacing="0" w:afterAutospacing="0" w:line="560" w:lineRule="exact"/>
        <w:ind w:left="0"/>
        <w:textAlignment w:val="auto"/>
        <w:rPr>
          <w:rFonts w:hint="default" w:ascii="仿宋_GB2312" w:hAnsi="仿宋_GB2312" w:eastAsia="仿宋_GB2312" w:cs="仿宋_GB2312"/>
          <w:color w:val="010101"/>
          <w:sz w:val="32"/>
          <w:szCs w:val="32"/>
          <w:lang w:val="en-US" w:eastAsia="zh-CN"/>
        </w:rPr>
      </w:pPr>
      <w:r>
        <w:rPr>
          <w:rFonts w:hint="eastAsia" w:ascii="仿宋_GB2312" w:hAnsi="仿宋_GB2312" w:eastAsia="仿宋_GB2312" w:cs="仿宋_GB2312"/>
          <w:color w:val="010101"/>
          <w:sz w:val="32"/>
          <w:szCs w:val="32"/>
        </w:rPr>
        <w:t>　　20</w:t>
      </w:r>
      <w:r>
        <w:rPr>
          <w:rFonts w:hint="eastAsia" w:ascii="仿宋_GB2312" w:hAnsi="仿宋_GB2312" w:eastAsia="仿宋_GB2312" w:cs="仿宋_GB2312"/>
          <w:color w:val="010101"/>
          <w:sz w:val="32"/>
          <w:szCs w:val="32"/>
          <w:lang w:val="en-US" w:eastAsia="zh-CN"/>
        </w:rPr>
        <w:t>25</w:t>
      </w:r>
      <w:r>
        <w:rPr>
          <w:rFonts w:hint="eastAsia" w:ascii="仿宋_GB2312" w:hAnsi="仿宋_GB2312" w:eastAsia="仿宋_GB2312" w:cs="仿宋_GB2312"/>
          <w:color w:val="010101"/>
          <w:sz w:val="32"/>
          <w:szCs w:val="32"/>
        </w:rPr>
        <w:t>年决算基本支出</w:t>
      </w:r>
      <w:r>
        <w:rPr>
          <w:rFonts w:hint="eastAsia" w:ascii="仿宋_GB2312" w:hAnsi="仿宋_GB2312" w:eastAsia="仿宋_GB2312" w:cs="仿宋_GB2312"/>
          <w:color w:val="010101"/>
          <w:sz w:val="32"/>
          <w:szCs w:val="32"/>
          <w:lang w:val="en-US" w:eastAsia="zh-CN"/>
        </w:rPr>
        <w:t>392.97</w:t>
      </w:r>
      <w:r>
        <w:rPr>
          <w:rFonts w:hint="eastAsia" w:ascii="仿宋_GB2312" w:hAnsi="仿宋_GB2312" w:eastAsia="仿宋_GB2312" w:cs="仿宋_GB2312"/>
          <w:color w:val="010101"/>
          <w:sz w:val="32"/>
          <w:szCs w:val="32"/>
        </w:rPr>
        <w:t>万元，其中：</w:t>
      </w:r>
      <w:r>
        <w:rPr>
          <w:rFonts w:hint="eastAsia" w:ascii="仿宋_GB2312" w:hAnsi="仿宋_GB2312" w:eastAsia="仿宋_GB2312" w:cs="仿宋_GB2312"/>
          <w:color w:val="010101"/>
          <w:sz w:val="32"/>
          <w:szCs w:val="32"/>
          <w:lang w:eastAsia="zh-CN"/>
        </w:rPr>
        <w:t>人员经费</w:t>
      </w:r>
      <w:r>
        <w:rPr>
          <w:rFonts w:hint="eastAsia" w:ascii="仿宋_GB2312" w:hAnsi="仿宋_GB2312" w:eastAsia="仿宋_GB2312" w:cs="仿宋_GB2312"/>
          <w:color w:val="010101"/>
          <w:sz w:val="32"/>
          <w:szCs w:val="32"/>
          <w:lang w:val="en-US" w:eastAsia="zh-CN"/>
        </w:rPr>
        <w:t>354.79万元，公用经费38.17万元。</w:t>
      </w:r>
    </w:p>
    <w:p>
      <w:pPr>
        <w:pageBreakBefore w:val="0"/>
        <w:widowControl w:val="0"/>
        <w:kinsoku/>
        <w:wordWrap/>
        <w:overflowPunct/>
        <w:topLinePunct w:val="0"/>
        <w:autoSpaceDE/>
        <w:bidi w:val="0"/>
        <w:adjustRightInd/>
        <w:snapToGrid w:val="0"/>
        <w:spacing w:beforeAutospacing="0" w:afterAutospacing="0" w:line="560" w:lineRule="exact"/>
        <w:ind w:left="0" w:firstLine="642"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lang w:val="en-US" w:eastAsia="zh-CN"/>
        </w:rPr>
        <w:t>2.</w:t>
      </w:r>
      <w:r>
        <w:rPr>
          <w:rFonts w:hint="eastAsia" w:ascii="仿宋_GB2312" w:hAnsi="仿宋_GB2312" w:eastAsia="仿宋_GB2312" w:cs="仿宋_GB2312"/>
          <w:b/>
          <w:bCs/>
          <w:sz w:val="32"/>
          <w:szCs w:val="32"/>
        </w:rPr>
        <w:t>项目支出</w:t>
      </w:r>
    </w:p>
    <w:p>
      <w:pPr>
        <w:keepNext w:val="0"/>
        <w:keepLines w:val="0"/>
        <w:pageBreakBefore w:val="0"/>
        <w:widowControl w:val="0"/>
        <w:kinsoku/>
        <w:wordWrap/>
        <w:overflowPunct/>
        <w:topLinePunct w:val="0"/>
        <w:autoSpaceDE/>
        <w:autoSpaceDN w:val="0"/>
        <w:bidi w:val="0"/>
        <w:adjustRightInd/>
        <w:snapToGrid/>
        <w:spacing w:beforeAutospacing="0" w:afterAutospacing="0" w:line="560" w:lineRule="exact"/>
        <w:ind w:left="0" w:firstLine="640" w:firstLineChars="200"/>
        <w:textAlignment w:val="auto"/>
        <w:rPr>
          <w:rFonts w:hint="eastAsia" w:ascii="仿宋_GB2312" w:hAnsi="仿宋_GB2312" w:eastAsia="仿宋_GB2312" w:cs="仿宋_GB2312"/>
          <w:color w:val="010101"/>
          <w:sz w:val="32"/>
          <w:szCs w:val="32"/>
        </w:rPr>
      </w:pPr>
      <w:r>
        <w:rPr>
          <w:rFonts w:hint="eastAsia" w:ascii="仿宋_GB2312" w:hAnsi="仿宋_GB2312" w:eastAsia="仿宋_GB2312" w:cs="仿宋_GB2312"/>
          <w:color w:val="010101"/>
          <w:sz w:val="32"/>
          <w:szCs w:val="32"/>
        </w:rPr>
        <w:t>项目支出是在基本支出之外为完成其特定的行政工作任务而发生的支出，主要用于一般行政管理事务、</w:t>
      </w:r>
      <w:r>
        <w:rPr>
          <w:rFonts w:hint="eastAsia" w:ascii="仿宋_GB2312" w:hAnsi="仿宋_GB2312" w:eastAsia="仿宋_GB2312" w:cs="仿宋_GB2312"/>
          <w:color w:val="010101"/>
          <w:sz w:val="32"/>
          <w:szCs w:val="32"/>
          <w:lang w:val="en-US" w:eastAsia="zh-CN"/>
        </w:rPr>
        <w:t>城乡社区支出</w:t>
      </w:r>
      <w:r>
        <w:rPr>
          <w:rFonts w:hint="eastAsia" w:ascii="仿宋_GB2312" w:hAnsi="仿宋_GB2312" w:eastAsia="仿宋_GB2312" w:cs="仿宋_GB2312"/>
          <w:color w:val="010101"/>
          <w:sz w:val="32"/>
          <w:szCs w:val="32"/>
        </w:rPr>
        <w:t>等其他行政管理事务支出。</w:t>
      </w:r>
    </w:p>
    <w:p>
      <w:pPr>
        <w:pStyle w:val="2"/>
        <w:keepNext w:val="0"/>
        <w:keepLines w:val="0"/>
        <w:pageBreakBefore w:val="0"/>
        <w:widowControl w:val="0"/>
        <w:kinsoku/>
        <w:wordWrap/>
        <w:overflowPunct/>
        <w:topLinePunct w:val="0"/>
        <w:autoSpaceDE/>
        <w:bidi w:val="0"/>
        <w:adjustRightInd/>
        <w:snapToGrid/>
        <w:spacing w:beforeAutospacing="0" w:after="0" w:afterAutospacing="0" w:line="560" w:lineRule="exact"/>
        <w:ind w:left="0" w:firstLine="700" w:firstLineChars="219"/>
        <w:textAlignment w:val="auto"/>
        <w:rPr>
          <w:rFonts w:hint="eastAsia" w:ascii="仿宋_GB2312" w:hAnsi="仿宋_GB2312" w:eastAsia="仿宋_GB2312" w:cs="仿宋_GB2312"/>
          <w:color w:val="010101"/>
          <w:sz w:val="32"/>
          <w:szCs w:val="32"/>
        </w:rPr>
      </w:pPr>
      <w:r>
        <w:rPr>
          <w:rFonts w:hint="eastAsia" w:ascii="仿宋_GB2312" w:hAnsi="仿宋_GB2312" w:eastAsia="仿宋_GB2312" w:cs="仿宋_GB2312"/>
          <w:color w:val="010101"/>
          <w:sz w:val="32"/>
          <w:szCs w:val="32"/>
        </w:rPr>
        <w:t>202</w:t>
      </w:r>
      <w:r>
        <w:rPr>
          <w:rFonts w:hint="eastAsia" w:eastAsia="仿宋_GB2312" w:cs="仿宋_GB2312"/>
          <w:color w:val="010101"/>
          <w:sz w:val="32"/>
          <w:szCs w:val="32"/>
          <w:lang w:val="en-US" w:eastAsia="zh-CN"/>
        </w:rPr>
        <w:t>5</w:t>
      </w:r>
      <w:r>
        <w:rPr>
          <w:rFonts w:hint="eastAsia" w:ascii="仿宋_GB2312" w:hAnsi="仿宋_GB2312" w:eastAsia="仿宋_GB2312" w:cs="仿宋_GB2312"/>
          <w:color w:val="010101"/>
          <w:sz w:val="32"/>
          <w:szCs w:val="32"/>
        </w:rPr>
        <w:t>年</w:t>
      </w:r>
      <w:r>
        <w:rPr>
          <w:rFonts w:hint="eastAsia" w:ascii="仿宋_GB2312" w:hAnsi="仿宋_GB2312" w:eastAsia="仿宋_GB2312" w:cs="仿宋_GB2312"/>
          <w:color w:val="010101"/>
          <w:sz w:val="32"/>
          <w:szCs w:val="32"/>
          <w:lang w:eastAsia="zh-CN"/>
        </w:rPr>
        <w:t>决算项目</w:t>
      </w:r>
      <w:r>
        <w:rPr>
          <w:rFonts w:hint="eastAsia" w:ascii="仿宋_GB2312" w:hAnsi="仿宋_GB2312" w:eastAsia="仿宋_GB2312" w:cs="仿宋_GB2312"/>
          <w:color w:val="010101"/>
          <w:sz w:val="32"/>
          <w:szCs w:val="32"/>
        </w:rPr>
        <w:t>支出为</w:t>
      </w:r>
      <w:r>
        <w:rPr>
          <w:rFonts w:hint="eastAsia" w:eastAsia="仿宋_GB2312" w:cs="仿宋_GB2312"/>
          <w:color w:val="010101"/>
          <w:sz w:val="32"/>
          <w:szCs w:val="32"/>
          <w:lang w:val="en-US" w:eastAsia="zh-CN"/>
        </w:rPr>
        <w:t>17703.52</w:t>
      </w:r>
      <w:r>
        <w:rPr>
          <w:rFonts w:hint="eastAsia" w:ascii="仿宋_GB2312" w:hAnsi="仿宋_GB2312" w:eastAsia="仿宋_GB2312" w:cs="仿宋_GB2312"/>
          <w:color w:val="010101"/>
          <w:sz w:val="32"/>
          <w:szCs w:val="32"/>
        </w:rPr>
        <w:t>万元，其中：</w:t>
      </w:r>
      <w:r>
        <w:rPr>
          <w:rFonts w:hint="eastAsia" w:ascii="仿宋_GB2312" w:hAnsi="仿宋_GB2312" w:eastAsia="仿宋_GB2312" w:cs="仿宋_GB2312"/>
          <w:color w:val="010101"/>
          <w:sz w:val="32"/>
          <w:szCs w:val="32"/>
          <w:lang w:eastAsia="zh-CN"/>
        </w:rPr>
        <w:t>节能环保支出</w:t>
      </w:r>
      <w:r>
        <w:rPr>
          <w:rFonts w:hint="eastAsia" w:eastAsia="仿宋_GB2312" w:cs="仿宋_GB2312"/>
          <w:color w:val="010101"/>
          <w:sz w:val="32"/>
          <w:szCs w:val="32"/>
          <w:lang w:val="en-US" w:eastAsia="zh-CN"/>
        </w:rPr>
        <w:t>852.38</w:t>
      </w:r>
      <w:r>
        <w:rPr>
          <w:rFonts w:hint="eastAsia" w:ascii="仿宋_GB2312" w:hAnsi="仿宋_GB2312" w:eastAsia="仿宋_GB2312" w:cs="仿宋_GB2312"/>
          <w:color w:val="010101"/>
          <w:sz w:val="32"/>
          <w:szCs w:val="32"/>
        </w:rPr>
        <w:t>万元、</w:t>
      </w:r>
      <w:r>
        <w:rPr>
          <w:rFonts w:hint="eastAsia" w:ascii="仿宋_GB2312" w:hAnsi="仿宋_GB2312" w:eastAsia="仿宋_GB2312" w:cs="仿宋_GB2312"/>
          <w:color w:val="010101"/>
          <w:sz w:val="32"/>
          <w:szCs w:val="32"/>
          <w:lang w:eastAsia="zh-CN"/>
        </w:rPr>
        <w:t>城乡社区支出</w:t>
      </w:r>
      <w:r>
        <w:rPr>
          <w:rFonts w:hint="eastAsia" w:eastAsia="仿宋_GB2312" w:cs="仿宋_GB2312"/>
          <w:color w:val="010101"/>
          <w:sz w:val="32"/>
          <w:szCs w:val="32"/>
          <w:lang w:val="en-US" w:eastAsia="zh-CN"/>
        </w:rPr>
        <w:t>16215.81</w:t>
      </w:r>
      <w:r>
        <w:rPr>
          <w:rFonts w:hint="eastAsia" w:ascii="仿宋_GB2312" w:hAnsi="仿宋_GB2312" w:eastAsia="仿宋_GB2312" w:cs="仿宋_GB2312"/>
          <w:color w:val="010101"/>
          <w:sz w:val="32"/>
          <w:szCs w:val="32"/>
        </w:rPr>
        <w:t>万元</w:t>
      </w:r>
      <w:r>
        <w:rPr>
          <w:rFonts w:hint="eastAsia" w:ascii="仿宋_GB2312" w:hAnsi="仿宋_GB2312" w:eastAsia="仿宋_GB2312" w:cs="仿宋_GB2312"/>
          <w:color w:val="010101"/>
          <w:sz w:val="32"/>
          <w:szCs w:val="32"/>
          <w:lang w:eastAsia="zh-CN"/>
        </w:rPr>
        <w:t>、农林水支出</w:t>
      </w:r>
      <w:r>
        <w:rPr>
          <w:rFonts w:hint="eastAsia" w:eastAsia="仿宋_GB2312" w:cs="仿宋_GB2312"/>
          <w:color w:val="010101"/>
          <w:sz w:val="32"/>
          <w:szCs w:val="32"/>
          <w:lang w:val="en-US" w:eastAsia="zh-CN"/>
        </w:rPr>
        <w:t>500</w:t>
      </w:r>
      <w:r>
        <w:rPr>
          <w:rFonts w:hint="eastAsia" w:ascii="仿宋_GB2312" w:hAnsi="仿宋_GB2312" w:eastAsia="仿宋_GB2312" w:cs="仿宋_GB2312"/>
          <w:color w:val="010101"/>
          <w:sz w:val="32"/>
          <w:szCs w:val="32"/>
          <w:lang w:val="en-US" w:eastAsia="zh-CN"/>
        </w:rPr>
        <w:t>万元、住房保障支出</w:t>
      </w:r>
      <w:r>
        <w:rPr>
          <w:rFonts w:hint="eastAsia" w:eastAsia="仿宋_GB2312" w:cs="仿宋_GB2312"/>
          <w:color w:val="010101"/>
          <w:sz w:val="32"/>
          <w:szCs w:val="32"/>
          <w:lang w:val="en-US" w:eastAsia="zh-CN"/>
        </w:rPr>
        <w:t>110.34</w:t>
      </w:r>
      <w:r>
        <w:rPr>
          <w:rFonts w:hint="eastAsia" w:ascii="仿宋_GB2312" w:hAnsi="仿宋_GB2312" w:eastAsia="仿宋_GB2312" w:cs="仿宋_GB2312"/>
          <w:color w:val="010101"/>
          <w:sz w:val="32"/>
          <w:szCs w:val="32"/>
          <w:lang w:val="en-US" w:eastAsia="zh-CN"/>
        </w:rPr>
        <w:t>万元</w:t>
      </w:r>
      <w:r>
        <w:rPr>
          <w:rFonts w:hint="eastAsia" w:eastAsia="仿宋_GB2312" w:cs="仿宋_GB2312"/>
          <w:color w:val="010101"/>
          <w:sz w:val="32"/>
          <w:szCs w:val="32"/>
          <w:lang w:val="en-US" w:eastAsia="zh-CN"/>
        </w:rPr>
        <w:t>、灾害防治及应急管理支出25万元</w:t>
      </w:r>
      <w:r>
        <w:rPr>
          <w:rFonts w:hint="eastAsia" w:ascii="仿宋_GB2312" w:hAnsi="仿宋_GB2312" w:eastAsia="仿宋_GB2312" w:cs="仿宋_GB2312"/>
          <w:color w:val="010101"/>
          <w:sz w:val="32"/>
          <w:szCs w:val="32"/>
        </w:rPr>
        <w:t>。</w:t>
      </w:r>
    </w:p>
    <w:p>
      <w:pPr>
        <w:keepNext w:val="0"/>
        <w:keepLines w:val="0"/>
        <w:pageBreakBefore w:val="0"/>
        <w:widowControl w:val="0"/>
        <w:kinsoku/>
        <w:wordWrap/>
        <w:overflowPunct/>
        <w:topLinePunct w:val="0"/>
        <w:autoSpaceDE/>
        <w:autoSpaceDN w:val="0"/>
        <w:bidi w:val="0"/>
        <w:adjustRightInd/>
        <w:snapToGrid/>
        <w:spacing w:beforeAutospacing="0" w:afterAutospacing="0" w:line="560" w:lineRule="exact"/>
        <w:ind w:left="0" w:firstLine="642" w:firstLineChars="200"/>
        <w:textAlignment w:val="auto"/>
        <w:outlineLvl w:val="0"/>
        <w:rPr>
          <w:rFonts w:ascii="仿宋" w:hAnsi="仿宋" w:eastAsia="仿宋"/>
          <w:b/>
          <w:bCs/>
          <w:color w:val="010101"/>
          <w:sz w:val="32"/>
          <w:szCs w:val="32"/>
        </w:rPr>
      </w:pPr>
      <w:r>
        <w:rPr>
          <w:rFonts w:hint="eastAsia" w:ascii="仿宋" w:hAnsi="仿宋" w:eastAsia="仿宋"/>
          <w:b/>
          <w:bCs/>
          <w:color w:val="010101"/>
          <w:sz w:val="32"/>
          <w:szCs w:val="32"/>
          <w:lang w:val="en-US" w:eastAsia="zh-CN"/>
        </w:rPr>
        <w:t>3.</w:t>
      </w:r>
      <w:r>
        <w:rPr>
          <w:rFonts w:ascii="仿宋" w:hAnsi="仿宋" w:eastAsia="仿宋"/>
          <w:b/>
          <w:bCs/>
          <w:color w:val="010101"/>
          <w:sz w:val="32"/>
          <w:szCs w:val="32"/>
        </w:rPr>
        <w:t>“三公”经费情况</w:t>
      </w:r>
    </w:p>
    <w:p>
      <w:pPr>
        <w:spacing w:line="580" w:lineRule="exact"/>
        <w:ind w:firstLine="640" w:firstLineChars="200"/>
        <w:rPr>
          <w:rFonts w:hint="eastAsia"/>
        </w:rPr>
      </w:pPr>
      <w:r>
        <w:rPr>
          <w:rFonts w:hint="eastAsia" w:ascii="仿宋_GB2312" w:hAnsi="仿宋_GB2312" w:eastAsia="仿宋_GB2312" w:cs="仿宋_GB2312"/>
          <w:color w:val="010101"/>
          <w:sz w:val="32"/>
          <w:szCs w:val="32"/>
          <w:lang w:val="en-US" w:eastAsia="zh-CN"/>
        </w:rPr>
        <w:t>2025年</w:t>
      </w:r>
      <w:r>
        <w:rPr>
          <w:rFonts w:hint="eastAsia" w:ascii="仿宋_GB2312" w:hAnsi="仿宋_GB2312" w:eastAsia="仿宋_GB2312" w:cs="仿宋_GB2312"/>
          <w:color w:val="010101"/>
          <w:sz w:val="32"/>
          <w:szCs w:val="32"/>
        </w:rPr>
        <w:t>决算支出“三公”经费</w:t>
      </w:r>
      <w:r>
        <w:rPr>
          <w:rFonts w:hint="eastAsia" w:ascii="仿宋_GB2312" w:hAnsi="仿宋_GB2312" w:eastAsia="仿宋_GB2312" w:cs="仿宋_GB2312"/>
          <w:color w:val="010101"/>
          <w:sz w:val="32"/>
          <w:szCs w:val="32"/>
          <w:lang w:val="en-US" w:eastAsia="zh-CN"/>
        </w:rPr>
        <w:t>0</w:t>
      </w:r>
      <w:r>
        <w:rPr>
          <w:rFonts w:hint="eastAsia" w:ascii="仿宋_GB2312" w:hAnsi="仿宋_GB2312" w:eastAsia="仿宋_GB2312" w:cs="仿宋_GB2312"/>
          <w:color w:val="010101"/>
          <w:sz w:val="32"/>
          <w:szCs w:val="32"/>
        </w:rPr>
        <w:t>万元，其中公务接待费</w:t>
      </w:r>
      <w:r>
        <w:rPr>
          <w:rFonts w:hint="eastAsia" w:ascii="仿宋_GB2312" w:hAnsi="仿宋_GB2312" w:eastAsia="仿宋_GB2312" w:cs="仿宋_GB2312"/>
          <w:color w:val="010101"/>
          <w:sz w:val="32"/>
          <w:szCs w:val="32"/>
          <w:lang w:val="en-US" w:eastAsia="zh-CN"/>
        </w:rPr>
        <w:t>0</w:t>
      </w:r>
      <w:r>
        <w:rPr>
          <w:rFonts w:hint="eastAsia" w:ascii="仿宋_GB2312" w:hAnsi="仿宋_GB2312" w:eastAsia="仿宋_GB2312" w:cs="仿宋_GB2312"/>
          <w:color w:val="010101"/>
          <w:sz w:val="32"/>
          <w:szCs w:val="32"/>
        </w:rPr>
        <w:t>万元较</w:t>
      </w:r>
      <w:r>
        <w:rPr>
          <w:rFonts w:hint="eastAsia" w:ascii="仿宋_GB2312" w:hAnsi="仿宋_GB2312" w:eastAsia="仿宋_GB2312" w:cs="仿宋_GB2312"/>
          <w:color w:val="010101"/>
          <w:sz w:val="32"/>
          <w:szCs w:val="32"/>
          <w:lang w:eastAsia="zh-CN"/>
        </w:rPr>
        <w:t>上年同比下降</w:t>
      </w:r>
      <w:r>
        <w:rPr>
          <w:rFonts w:hint="eastAsia" w:ascii="仿宋_GB2312" w:hAnsi="仿宋_GB2312" w:eastAsia="仿宋_GB2312" w:cs="仿宋_GB2312"/>
          <w:color w:val="010101"/>
          <w:sz w:val="32"/>
          <w:szCs w:val="32"/>
          <w:lang w:val="en-US" w:eastAsia="zh-CN"/>
        </w:rPr>
        <w:t>100%。</w:t>
      </w:r>
    </w:p>
    <w:p>
      <w:pPr>
        <w:numPr>
          <w:ilvl w:val="0"/>
          <w:numId w:val="2"/>
        </w:numPr>
        <w:spacing w:line="58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部门整体预算绩效管理情况</w:t>
      </w:r>
    </w:p>
    <w:p>
      <w:pPr>
        <w:numPr>
          <w:ilvl w:val="0"/>
          <w:numId w:val="0"/>
        </w:numPr>
        <w:spacing w:line="580" w:lineRule="exact"/>
        <w:ind w:firstLine="642"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（一）部门预算管理。</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部门预算管理是整体预算绩效管理的基础，直接关系到全</w:t>
      </w:r>
      <w:r>
        <w:rPr>
          <w:rFonts w:hint="eastAsia" w:ascii="仿宋_GB2312" w:hAnsi="黑体" w:eastAsia="仿宋_GB2312" w:cs="黑体"/>
          <w:sz w:val="32"/>
          <w:szCs w:val="32"/>
          <w:lang w:eastAsia="zh-CN"/>
        </w:rPr>
        <w:t>单位</w:t>
      </w:r>
      <w:r>
        <w:rPr>
          <w:rFonts w:hint="eastAsia" w:ascii="仿宋_GB2312" w:hAnsi="黑体" w:eastAsia="仿宋_GB2312" w:cs="黑体"/>
          <w:sz w:val="32"/>
          <w:szCs w:val="32"/>
        </w:rPr>
        <w:t>各项工作的有序推进。</w:t>
      </w:r>
      <w:r>
        <w:rPr>
          <w:rFonts w:hint="eastAsia" w:ascii="仿宋_GB2312" w:hAnsi="黑体" w:eastAsia="仿宋_GB2312" w:cs="黑体"/>
          <w:sz w:val="32"/>
          <w:szCs w:val="32"/>
          <w:lang w:val="en-US" w:eastAsia="zh-CN"/>
        </w:rPr>
        <w:t>2025年</w:t>
      </w:r>
      <w:r>
        <w:rPr>
          <w:rFonts w:hint="eastAsia" w:ascii="仿宋_GB2312" w:hAnsi="黑体" w:eastAsia="仿宋_GB2312" w:cs="黑体"/>
          <w:sz w:val="32"/>
          <w:szCs w:val="32"/>
        </w:rPr>
        <w:t>我</w:t>
      </w:r>
      <w:r>
        <w:rPr>
          <w:rFonts w:hint="eastAsia" w:ascii="仿宋_GB2312" w:hAnsi="黑体" w:eastAsia="仿宋_GB2312" w:cs="黑体"/>
          <w:sz w:val="32"/>
          <w:szCs w:val="32"/>
          <w:lang w:eastAsia="zh-CN"/>
        </w:rPr>
        <w:t>单位</w:t>
      </w:r>
      <w:r>
        <w:rPr>
          <w:rFonts w:hint="eastAsia" w:ascii="仿宋_GB2312" w:hAnsi="黑体" w:eastAsia="仿宋_GB2312" w:cs="黑体"/>
          <w:sz w:val="32"/>
          <w:szCs w:val="32"/>
        </w:rPr>
        <w:t>从多个维度发力，不断提升部门预算管理水平，但也存在部分待改进之处。​</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1.绩效目标制定​</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我</w:t>
      </w:r>
      <w:r>
        <w:rPr>
          <w:rFonts w:hint="eastAsia" w:ascii="仿宋_GB2312" w:hAnsi="黑体" w:eastAsia="仿宋_GB2312" w:cs="黑体"/>
          <w:sz w:val="32"/>
          <w:szCs w:val="32"/>
          <w:lang w:eastAsia="zh-CN"/>
        </w:rPr>
        <w:t>单位</w:t>
      </w:r>
      <w:r>
        <w:rPr>
          <w:rFonts w:hint="eastAsia" w:ascii="仿宋_GB2312" w:hAnsi="黑体" w:eastAsia="仿宋_GB2312" w:cs="黑体"/>
          <w:sz w:val="32"/>
          <w:szCs w:val="32"/>
        </w:rPr>
        <w:t>严格按照 “贴合职能、科学合理、可衡量、可实现” 的原则制定绩效目标。结合住房和城乡建设领域重点工作，如</w:t>
      </w:r>
      <w:r>
        <w:rPr>
          <w:rFonts w:hint="eastAsia" w:ascii="仿宋_GB2312" w:hAnsi="黑体" w:eastAsia="仿宋_GB2312" w:cs="黑体"/>
          <w:sz w:val="32"/>
          <w:szCs w:val="32"/>
          <w:lang w:val="en-US" w:eastAsia="zh-CN"/>
        </w:rPr>
        <w:t>市政</w:t>
      </w:r>
      <w:r>
        <w:rPr>
          <w:rFonts w:hint="eastAsia" w:ascii="仿宋_GB2312" w:hAnsi="黑体" w:eastAsia="仿宋_GB2312" w:cs="黑体"/>
          <w:sz w:val="32"/>
          <w:szCs w:val="32"/>
        </w:rPr>
        <w:t>基础设施建设、保障性住房供给、老旧小区改造等，明确每个预算项目的具体目标。</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2.目标完成​</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从整体来看，大部分绩效目标均按计划完成。</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3.预算编制准确​</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为提高预算编制准确性，我局建立了“上下联动、多方论证”的编制机制。在编制前，组织业务科室、财务</w:t>
      </w:r>
      <w:r>
        <w:rPr>
          <w:rFonts w:hint="eastAsia" w:ascii="仿宋_GB2312" w:hAnsi="黑体" w:eastAsia="仿宋_GB2312" w:cs="黑体"/>
          <w:sz w:val="32"/>
          <w:szCs w:val="32"/>
          <w:lang w:val="en-US" w:eastAsia="zh-CN"/>
        </w:rPr>
        <w:t>室</w:t>
      </w:r>
      <w:r>
        <w:rPr>
          <w:rFonts w:hint="eastAsia" w:ascii="仿宋_GB2312" w:hAnsi="黑体" w:eastAsia="仿宋_GB2312" w:cs="黑体"/>
          <w:sz w:val="32"/>
          <w:szCs w:val="32"/>
        </w:rPr>
        <w:t>与项目实施单位开展充分调研，结合往年项目执行情况、物价变动趋势以及本年度工作任务，细化预算编制内容。</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4.支出控制​</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我局严格执行预算支出控制制度，通过“事前审批、事中监控、事后审核” 三重管控措施，确保资金使用合规、高效。在支出审批环节，明确各层级审批权限，杜绝超预算、无预算支出；在事中监控方面，利用预算管理系统实时跟踪资金支出进度，对接近预算上限的项目及时预警；在事后审核中，对每一笔支出的票据、合同等资料进行严格核查，确保支出符合规定。</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lang w:val="en-US" w:eastAsia="zh-CN"/>
        </w:rPr>
        <w:t>5</w:t>
      </w:r>
      <w:r>
        <w:rPr>
          <w:rFonts w:hint="eastAsia" w:ascii="仿宋_GB2312" w:hAnsi="黑体" w:eastAsia="仿宋_GB2312" w:cs="黑体"/>
          <w:sz w:val="32"/>
          <w:szCs w:val="32"/>
        </w:rPr>
        <w:t>.执行进度​</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为加快预算执行进度，每月对各项目预算执行进度进行统计分析，对进度滞后的项目</w:t>
      </w:r>
      <w:r>
        <w:rPr>
          <w:rFonts w:hint="eastAsia" w:ascii="仿宋_GB2312" w:hAnsi="黑体" w:eastAsia="仿宋_GB2312" w:cs="黑体"/>
          <w:sz w:val="32"/>
          <w:szCs w:val="32"/>
          <w:lang w:val="en-US" w:eastAsia="zh-CN"/>
        </w:rPr>
        <w:t>深入</w:t>
      </w:r>
      <w:r>
        <w:rPr>
          <w:rFonts w:hint="eastAsia" w:ascii="仿宋_GB2312" w:hAnsi="黑体" w:eastAsia="仿宋_GB2312" w:cs="黑体"/>
          <w:sz w:val="32"/>
          <w:szCs w:val="32"/>
        </w:rPr>
        <w:t>现场了解情况，协调解决执行过程中存在的问题。截至期末，部门整体预算执行进度</w:t>
      </w:r>
      <w:r>
        <w:rPr>
          <w:rFonts w:hint="eastAsia" w:ascii="仿宋_GB2312" w:hAnsi="黑体" w:eastAsia="仿宋_GB2312" w:cs="黑体"/>
          <w:sz w:val="32"/>
          <w:szCs w:val="32"/>
          <w:lang w:val="en-US" w:eastAsia="zh-CN"/>
        </w:rPr>
        <w:t>达到了项目建设时序进度，</w:t>
      </w:r>
      <w:r>
        <w:rPr>
          <w:rFonts w:hint="eastAsia" w:ascii="仿宋_GB2312" w:hAnsi="黑体" w:eastAsia="仿宋_GB2312" w:cs="黑体"/>
          <w:sz w:val="32"/>
          <w:szCs w:val="32"/>
        </w:rPr>
        <w:t>有效保障民生工作的及时落地。​</w:t>
      </w:r>
      <w:r>
        <w:rPr>
          <w:rFonts w:hint="eastAsia" w:ascii="仿宋_GB2312" w:hAnsi="黑体" w:eastAsia="仿宋_GB2312" w:cs="黑体"/>
          <w:sz w:val="32"/>
          <w:szCs w:val="32"/>
          <w:lang w:val="en-US" w:eastAsia="zh-CN"/>
        </w:rPr>
        <w:t xml:space="preserve">  6</w:t>
      </w:r>
      <w:r>
        <w:rPr>
          <w:rFonts w:hint="eastAsia" w:ascii="仿宋_GB2312" w:hAnsi="黑体" w:eastAsia="仿宋_GB2312" w:cs="黑体"/>
          <w:sz w:val="32"/>
          <w:szCs w:val="32"/>
        </w:rPr>
        <w:t>.预算完成情况​</w:t>
      </w:r>
    </w:p>
    <w:p>
      <w:pPr>
        <w:spacing w:line="580" w:lineRule="exact"/>
        <w:ind w:firstLine="640" w:firstLineChars="200"/>
        <w:rPr>
          <w:rFonts w:hint="default" w:ascii="仿宋_GB2312" w:hAnsi="黑体" w:eastAsia="仿宋_GB2312" w:cs="黑体"/>
          <w:sz w:val="32"/>
          <w:szCs w:val="32"/>
          <w:lang w:val="en-US" w:eastAsia="zh-CN"/>
        </w:rPr>
      </w:pPr>
      <w:r>
        <w:rPr>
          <w:rFonts w:hint="eastAsia" w:ascii="仿宋_GB2312" w:hAnsi="黑体" w:eastAsia="仿宋_GB2312" w:cs="黑体"/>
          <w:sz w:val="32"/>
          <w:szCs w:val="32"/>
        </w:rPr>
        <w:t>本年度部门预算总收入</w:t>
      </w:r>
      <w:r>
        <w:rPr>
          <w:rFonts w:hint="eastAsia" w:ascii="仿宋_GB2312" w:hAnsi="黑体" w:eastAsia="仿宋_GB2312" w:cs="黑体"/>
          <w:sz w:val="32"/>
          <w:szCs w:val="32"/>
          <w:lang w:val="en-US" w:eastAsia="zh-CN"/>
        </w:rPr>
        <w:t>18338.08</w:t>
      </w:r>
      <w:r>
        <w:rPr>
          <w:rFonts w:hint="eastAsia" w:ascii="仿宋_GB2312" w:hAnsi="黑体" w:eastAsia="仿宋_GB2312" w:cs="黑体"/>
          <w:sz w:val="32"/>
          <w:szCs w:val="32"/>
        </w:rPr>
        <w:t xml:space="preserve">万元，总支出 </w:t>
      </w:r>
      <w:r>
        <w:rPr>
          <w:rFonts w:hint="eastAsia" w:ascii="仿宋_GB2312" w:hAnsi="黑体" w:eastAsia="仿宋_GB2312" w:cs="黑体"/>
          <w:sz w:val="32"/>
          <w:szCs w:val="32"/>
          <w:lang w:val="en-US" w:eastAsia="zh-CN"/>
        </w:rPr>
        <w:t>18338.08</w:t>
      </w:r>
      <w:r>
        <w:rPr>
          <w:rFonts w:hint="eastAsia" w:ascii="仿宋_GB2312" w:hAnsi="黑体" w:eastAsia="仿宋_GB2312" w:cs="黑体"/>
          <w:sz w:val="32"/>
          <w:szCs w:val="32"/>
        </w:rPr>
        <w:t>万元，预算完成率为</w:t>
      </w:r>
      <w:r>
        <w:rPr>
          <w:rFonts w:hint="eastAsia" w:ascii="仿宋_GB2312" w:hAnsi="黑体" w:eastAsia="仿宋_GB2312" w:cs="黑体"/>
          <w:sz w:val="32"/>
          <w:szCs w:val="32"/>
          <w:lang w:val="en-US" w:eastAsia="zh-CN"/>
        </w:rPr>
        <w:t>100</w:t>
      </w:r>
      <w:r>
        <w:rPr>
          <w:rFonts w:hint="eastAsia" w:ascii="仿宋_GB2312" w:hAnsi="黑体" w:eastAsia="仿宋_GB2312" w:cs="黑体"/>
          <w:sz w:val="32"/>
          <w:szCs w:val="32"/>
        </w:rPr>
        <w:t>%。其中，基本支出完成</w:t>
      </w:r>
      <w:r>
        <w:rPr>
          <w:rFonts w:hint="eastAsia" w:ascii="仿宋_GB2312" w:hAnsi="黑体" w:eastAsia="仿宋_GB2312" w:cs="黑体"/>
          <w:sz w:val="32"/>
          <w:szCs w:val="32"/>
          <w:lang w:val="en-US" w:eastAsia="zh-CN"/>
        </w:rPr>
        <w:t>392.97</w:t>
      </w:r>
      <w:r>
        <w:rPr>
          <w:rFonts w:hint="eastAsia" w:ascii="仿宋_GB2312" w:hAnsi="黑体" w:eastAsia="仿宋_GB2312" w:cs="黑体"/>
          <w:sz w:val="32"/>
          <w:szCs w:val="32"/>
        </w:rPr>
        <w:t>万元，完成</w:t>
      </w:r>
      <w:r>
        <w:rPr>
          <w:rFonts w:hint="eastAsia" w:ascii="仿宋_GB2312" w:hAnsi="黑体" w:eastAsia="仿宋_GB2312" w:cs="黑体"/>
          <w:sz w:val="32"/>
          <w:szCs w:val="32"/>
          <w:lang w:eastAsia="zh-CN"/>
        </w:rPr>
        <w:t>总支出</w:t>
      </w:r>
      <w:r>
        <w:rPr>
          <w:rFonts w:hint="eastAsia" w:ascii="仿宋_GB2312" w:hAnsi="黑体" w:eastAsia="仿宋_GB2312" w:cs="黑体"/>
          <w:sz w:val="32"/>
          <w:szCs w:val="32"/>
        </w:rPr>
        <w:t xml:space="preserve">的 </w:t>
      </w:r>
      <w:r>
        <w:rPr>
          <w:rFonts w:hint="eastAsia" w:ascii="仿宋_GB2312" w:hAnsi="黑体" w:eastAsia="仿宋_GB2312" w:cs="黑体"/>
          <w:sz w:val="32"/>
          <w:szCs w:val="32"/>
          <w:lang w:val="en-US" w:eastAsia="zh-CN"/>
        </w:rPr>
        <w:t>2.14</w:t>
      </w:r>
      <w:r>
        <w:rPr>
          <w:rFonts w:hint="eastAsia" w:ascii="仿宋_GB2312" w:hAnsi="黑体" w:eastAsia="仿宋_GB2312" w:cs="黑体"/>
          <w:sz w:val="32"/>
          <w:szCs w:val="32"/>
        </w:rPr>
        <w:t>%，主要用于人员工资、办公经费等日常开支，保障了部门正常运转</w:t>
      </w:r>
      <w:r>
        <w:rPr>
          <w:rFonts w:hint="eastAsia" w:ascii="仿宋_GB2312" w:hAnsi="黑体" w:eastAsia="仿宋_GB2312" w:cs="黑体"/>
          <w:sz w:val="32"/>
          <w:szCs w:val="32"/>
          <w:lang w:eastAsia="zh-CN"/>
        </w:rPr>
        <w:t>，项目支出</w:t>
      </w:r>
      <w:r>
        <w:rPr>
          <w:rFonts w:hint="eastAsia" w:ascii="仿宋_GB2312" w:hAnsi="黑体" w:eastAsia="仿宋_GB2312" w:cs="黑体"/>
          <w:sz w:val="32"/>
          <w:szCs w:val="32"/>
          <w:lang w:val="en-US" w:eastAsia="zh-CN"/>
        </w:rPr>
        <w:t>17703.52万元，完成总支出的97.86%。</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lang w:val="en-US" w:eastAsia="zh-CN"/>
        </w:rPr>
        <w:t>7.</w:t>
      </w:r>
      <w:r>
        <w:rPr>
          <w:rFonts w:hint="eastAsia" w:ascii="仿宋_GB2312" w:hAnsi="黑体" w:eastAsia="仿宋_GB2312" w:cs="黑体"/>
          <w:sz w:val="32"/>
          <w:szCs w:val="32"/>
        </w:rPr>
        <w:t>违规记录​</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在预算管理过程中，我</w:t>
      </w:r>
      <w:r>
        <w:rPr>
          <w:rFonts w:hint="eastAsia" w:ascii="仿宋_GB2312" w:hAnsi="黑体" w:eastAsia="仿宋_GB2312" w:cs="黑体"/>
          <w:sz w:val="32"/>
          <w:szCs w:val="32"/>
          <w:lang w:eastAsia="zh-CN"/>
        </w:rPr>
        <w:t>单位</w:t>
      </w:r>
      <w:r>
        <w:rPr>
          <w:rFonts w:hint="eastAsia" w:ascii="仿宋_GB2312" w:hAnsi="黑体" w:eastAsia="仿宋_GB2312" w:cs="黑体"/>
          <w:sz w:val="32"/>
          <w:szCs w:val="32"/>
        </w:rPr>
        <w:t>始终坚持依法依规办事，严格遵守财经纪律。通过加强制度建设、开展廉政教育、强化监督检查等措施，有效防范了违规行为的发生。本年度未出现任何预算管理方面的违规记录。​</w:t>
      </w:r>
    </w:p>
    <w:p>
      <w:pPr>
        <w:spacing w:line="580" w:lineRule="exact"/>
        <w:ind w:firstLine="642"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（二）专项预算管理。</w:t>
      </w:r>
    </w:p>
    <w:p>
      <w:pPr>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专项预算是保障住房和城乡建设领域重点工作、重大项目实施的重要资金来源。我局高度重视专项预算管理，从项目程序、规划、结果、分配、绩效等多个方面入手，确保专项预算资金发挥最大效益。​</w:t>
      </w:r>
    </w:p>
    <w:p>
      <w:pPr>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1.</w:t>
      </w:r>
      <w:r>
        <w:rPr>
          <w:rFonts w:hint="eastAsia" w:ascii="仿宋_GB2312" w:hAnsi="仿宋_GB2312" w:eastAsia="仿宋_GB2312" w:cs="仿宋_GB2312"/>
          <w:b w:val="0"/>
          <w:bCs w:val="0"/>
          <w:sz w:val="32"/>
          <w:szCs w:val="32"/>
        </w:rPr>
        <w:t>专项预算项目程序严密​</w:t>
      </w:r>
    </w:p>
    <w:p>
      <w:pPr>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 xml:space="preserve">我局建立了严格的专项预算项目申报、评审、立项、实施、验收流程。在项目申报阶段，明确申报条件和要求，对申报项目的可行性、必要性、预算合理性进行全面评审；立项阶段，根据评审结果，结合年度工作重点，确定立项项目并公示；实施过程中，加强对项目进度、质量和资金使用的监督；项目完成后，组织专业人员进行验收，验收合格后方可办理资金结算。通过严密的程序，有效避免了 “人情项目”“关系项目” 的出现，确保专项预算项目立项科学、实施规范。从专项预算项目实施结果来看，大部分项目均达到了预期效果，结果与规划目标高度一致。例如，老旧小区改造专项项目，按照规划目标完成了 </w:t>
      </w:r>
      <w:r>
        <w:rPr>
          <w:rFonts w:hint="eastAsia" w:ascii="仿宋_GB2312" w:hAnsi="仿宋_GB2312" w:eastAsia="仿宋_GB2312" w:cs="仿宋_GB2312"/>
          <w:b w:val="0"/>
          <w:bCs w:val="0"/>
          <w:sz w:val="32"/>
          <w:szCs w:val="32"/>
          <w:lang w:val="zh-CN" w:eastAsia="zh-CN"/>
        </w:rPr>
        <w:t>4个老旧小区、6栋居民楼、102户居民、0.93万平方米建筑面积的改造任务，全面覆盖既定改造范围。</w:t>
      </w:r>
      <w:r>
        <w:rPr>
          <w:rFonts w:hint="eastAsia" w:ascii="仿宋_GB2312" w:hAnsi="仿宋_GB2312" w:eastAsia="仿宋_GB2312" w:cs="仿宋_GB2312"/>
          <w:b w:val="0"/>
          <w:bCs w:val="0"/>
          <w:sz w:val="32"/>
          <w:szCs w:val="32"/>
        </w:rPr>
        <w:t xml:space="preserve">改造内容包括道路修缮、管网更新、绿化提升等，改造后小区环境明显改善，居民满意度达到 </w:t>
      </w:r>
      <w:r>
        <w:rPr>
          <w:rFonts w:hint="eastAsia" w:ascii="仿宋_GB2312" w:hAnsi="仿宋_GB2312" w:eastAsia="仿宋_GB2312" w:cs="仿宋_GB2312"/>
          <w:b w:val="0"/>
          <w:bCs w:val="0"/>
          <w:sz w:val="32"/>
          <w:szCs w:val="32"/>
          <w:lang w:val="en-US" w:eastAsia="zh-CN"/>
        </w:rPr>
        <w:t>98</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符合 “改善民生、提升城市形象” 的规划目标。</w:t>
      </w:r>
    </w:p>
    <w:p>
      <w:pPr>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val="0"/>
          <w:bCs w:val="0"/>
          <w:sz w:val="32"/>
          <w:szCs w:val="32"/>
        </w:rPr>
        <w:t>分配科学​</w:t>
      </w:r>
    </w:p>
    <w:p>
      <w:pPr>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为确保专项预算资金分配科学合理，我局建立了 “因素法 + 项目法” 相结合的分配机制。在资金分配过程中，综合考虑区域经济发展水平、项目需求迫切程度、前期工作准备情况、绩效评价结果等因素。例如，在农村危房改造专项资金分配中，重点向危房数量较多的地区倾斜，同时参考上一年度该地区危房改造项目的绩效评价结果，绩效评价优秀的地区适当增加资金分配额度；在城市基础设施建设专项资金分配中，根据项目的重要性、紧迫性和可行性，采用项目法进行分配，确保资金向重点项目、急需项目倾斜。本年度专项预算资金分配过程中，未出现 “平均分配”“盲目分配” 的情况，资金分配的科学性和公平性得到了各相关单位的认可。​</w:t>
      </w:r>
    </w:p>
    <w:p>
      <w:pPr>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3.</w:t>
      </w:r>
      <w:r>
        <w:rPr>
          <w:rFonts w:hint="eastAsia" w:ascii="仿宋_GB2312" w:hAnsi="仿宋_GB2312" w:eastAsia="仿宋_GB2312" w:cs="仿宋_GB2312"/>
          <w:b w:val="0"/>
          <w:bCs w:val="0"/>
          <w:sz w:val="32"/>
          <w:szCs w:val="32"/>
        </w:rPr>
        <w:t>专项预算绩效目标完成​</w:t>
      </w:r>
    </w:p>
    <w:p>
      <w:pPr>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专项预算绩效目标完成情况总体良好。截至期末，</w:t>
      </w:r>
      <w:r>
        <w:rPr>
          <w:rFonts w:hint="eastAsia" w:ascii="仿宋_GB2312" w:hAnsi="仿宋_GB2312" w:eastAsia="仿宋_GB2312" w:cs="仿宋_GB2312"/>
          <w:b w:val="0"/>
          <w:bCs w:val="0"/>
          <w:sz w:val="32"/>
          <w:szCs w:val="32"/>
          <w:lang w:val="en-US" w:eastAsia="zh-CN"/>
        </w:rPr>
        <w:t>37</w:t>
      </w:r>
      <w:r>
        <w:rPr>
          <w:rFonts w:hint="eastAsia" w:ascii="仿宋_GB2312" w:hAnsi="仿宋_GB2312" w:eastAsia="仿宋_GB2312" w:cs="仿宋_GB2312"/>
          <w:b w:val="0"/>
          <w:bCs w:val="0"/>
          <w:sz w:val="32"/>
          <w:szCs w:val="32"/>
        </w:rPr>
        <w:t>个专项预算项目中，有</w:t>
      </w:r>
      <w:r>
        <w:rPr>
          <w:rFonts w:hint="eastAsia" w:ascii="仿宋_GB2312" w:hAnsi="仿宋_GB2312" w:eastAsia="仿宋_GB2312" w:cs="仿宋_GB2312"/>
          <w:b w:val="0"/>
          <w:bCs w:val="0"/>
          <w:sz w:val="32"/>
          <w:szCs w:val="32"/>
          <w:lang w:val="en-US" w:eastAsia="zh-CN"/>
        </w:rPr>
        <w:t>37</w:t>
      </w:r>
      <w:r>
        <w:rPr>
          <w:rFonts w:hint="eastAsia" w:ascii="仿宋_GB2312" w:hAnsi="仿宋_GB2312" w:eastAsia="仿宋_GB2312" w:cs="仿宋_GB2312"/>
          <w:b w:val="0"/>
          <w:bCs w:val="0"/>
          <w:sz w:val="32"/>
          <w:szCs w:val="32"/>
        </w:rPr>
        <w:t xml:space="preserve">个项目完成了绩效目标，完成率达到 </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pPr>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4</w:t>
      </w:r>
      <w:r>
        <w:rPr>
          <w:rFonts w:hint="eastAsia" w:ascii="仿宋_GB2312" w:hAnsi="仿宋_GB2312" w:eastAsia="仿宋_GB2312" w:cs="仿宋_GB2312"/>
          <w:b w:val="0"/>
          <w:bCs w:val="0"/>
          <w:sz w:val="32"/>
          <w:szCs w:val="32"/>
        </w:rPr>
        <w:t>. 实施绩效​</w:t>
      </w:r>
    </w:p>
    <w:p>
      <w:pPr>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专项预算项目实施绩效显著，在推动住房和城乡建设事业发展、改善民生、促进经济增长等方面发挥了重要作用。在民生改善方面，通过老旧小区改造等专项项目，改善了居民的居住条件；在城市功能提升方面，城市道路、桥梁、污水处理厂等基础设施专项项目的实施，提高了城市承载能力和运行效率。​</w:t>
      </w:r>
    </w:p>
    <w:p>
      <w:pPr>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val="en-US" w:eastAsia="zh-CN"/>
        </w:rPr>
        <w:t>5</w:t>
      </w:r>
      <w:r>
        <w:rPr>
          <w:rFonts w:hint="eastAsia" w:ascii="仿宋_GB2312" w:hAnsi="仿宋_GB2312" w:eastAsia="仿宋_GB2312" w:cs="仿宋_GB2312"/>
          <w:b w:val="0"/>
          <w:bCs w:val="0"/>
          <w:sz w:val="32"/>
          <w:szCs w:val="32"/>
        </w:rPr>
        <w:t>. 违规记录​</w:t>
      </w:r>
    </w:p>
    <w:p>
      <w:pPr>
        <w:spacing w:line="58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为加强专项预算资金管理，防范违规行为，我局建立了全方位的监督检查机制。定期组织专项预算资金使用情况检查，联合财政、审计等部门开展专项督查，对发现的问题及时督促整改。同时，加强对项目实施单位的廉政教育，提高工作人员的合规意识。本年度未发现专项预算管理方面的违规行为，如虚报冒领、截留挪用专项资金等情况，专项预算资金使用规范、安全。</w:t>
      </w:r>
    </w:p>
    <w:p>
      <w:pPr>
        <w:spacing w:line="580" w:lineRule="exact"/>
        <w:ind w:firstLine="642"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（三）结果应用情况。</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预算绩效管理结果应用是预算绩效管理的 “最后一公里”，直接关系到预算绩效管理的成效。我局高度重视结果应用工作，将评价结果与预算编制、项目管理、整改提升等相结合，充分发挥评价结果的导向作用。​</w:t>
      </w:r>
    </w:p>
    <w:p>
      <w:pPr>
        <w:spacing w:line="580" w:lineRule="exact"/>
        <w:ind w:firstLine="642" w:firstLineChars="200"/>
        <w:rPr>
          <w:rFonts w:hint="eastAsia" w:ascii="仿宋_GB2312" w:hAnsi="黑体" w:eastAsia="仿宋_GB2312" w:cs="黑体"/>
          <w:sz w:val="32"/>
          <w:szCs w:val="32"/>
        </w:rPr>
      </w:pPr>
      <w:r>
        <w:rPr>
          <w:rFonts w:hint="eastAsia" w:ascii="仿宋_GB2312" w:hAnsi="黑体" w:eastAsia="仿宋_GB2312" w:cs="黑体"/>
          <w:b/>
          <w:bCs/>
          <w:sz w:val="32"/>
          <w:szCs w:val="32"/>
        </w:rPr>
        <w:t>1.部门自评质量</w:t>
      </w:r>
      <w:r>
        <w:rPr>
          <w:rFonts w:hint="eastAsia" w:ascii="仿宋_GB2312" w:hAnsi="黑体" w:eastAsia="仿宋_GB2312" w:cs="黑体"/>
          <w:sz w:val="32"/>
          <w:szCs w:val="32"/>
        </w:rPr>
        <w:t>​</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我</w:t>
      </w:r>
      <w:r>
        <w:rPr>
          <w:rFonts w:hint="eastAsia" w:ascii="仿宋_GB2312" w:hAnsi="黑体" w:eastAsia="仿宋_GB2312" w:cs="黑体"/>
          <w:sz w:val="32"/>
          <w:szCs w:val="32"/>
          <w:lang w:eastAsia="zh-CN"/>
        </w:rPr>
        <w:t>单位</w:t>
      </w:r>
      <w:r>
        <w:rPr>
          <w:rFonts w:hint="eastAsia" w:ascii="仿宋_GB2312" w:hAnsi="黑体" w:eastAsia="仿宋_GB2312" w:cs="黑体"/>
          <w:sz w:val="32"/>
          <w:szCs w:val="32"/>
        </w:rPr>
        <w:t xml:space="preserve">建立了规范的部门自评工作机制，明确自评主体、自评内容、自评方法和自评时限。在自评过程中，要求各科室、各项目实施单位严格按照绩效评价指标体系，对预算项目的实施过程、绩效目标完成情况、资金使用效率等进行全面、客观、真实的评价。同时，引入第三方机构对部门自评工作进行指导和审核，提高自评质量。本年度部门自评报告合格率达到 </w:t>
      </w:r>
      <w:r>
        <w:rPr>
          <w:rFonts w:hint="eastAsia" w:ascii="仿宋_GB2312" w:hAnsi="黑体" w:eastAsia="仿宋_GB2312" w:cs="黑体"/>
          <w:sz w:val="32"/>
          <w:szCs w:val="32"/>
          <w:lang w:val="en-US" w:eastAsia="zh-CN"/>
        </w:rPr>
        <w:t>100</w:t>
      </w:r>
      <w:r>
        <w:rPr>
          <w:rFonts w:hint="eastAsia" w:ascii="仿宋_GB2312" w:hAnsi="黑体" w:eastAsia="仿宋_GB2312" w:cs="黑体"/>
          <w:sz w:val="32"/>
          <w:szCs w:val="32"/>
        </w:rPr>
        <w:t>%</w:t>
      </w:r>
      <w:r>
        <w:rPr>
          <w:rFonts w:hint="eastAsia" w:ascii="仿宋_GB2312" w:hAnsi="黑体" w:eastAsia="仿宋_GB2312" w:cs="黑体"/>
          <w:sz w:val="32"/>
          <w:szCs w:val="32"/>
          <w:lang w:eastAsia="zh-CN"/>
        </w:rPr>
        <w:t>，自评得分</w:t>
      </w:r>
      <w:r>
        <w:rPr>
          <w:rFonts w:hint="eastAsia" w:ascii="仿宋_GB2312" w:hAnsi="黑体" w:eastAsia="仿宋_GB2312" w:cs="黑体"/>
          <w:sz w:val="32"/>
          <w:szCs w:val="32"/>
          <w:lang w:val="en-US" w:eastAsia="zh-CN"/>
        </w:rPr>
        <w:t>90.42分。</w:t>
      </w:r>
      <w:r>
        <w:rPr>
          <w:rFonts w:hint="eastAsia" w:ascii="仿宋_GB2312" w:hAnsi="黑体" w:eastAsia="仿宋_GB2312" w:cs="黑体"/>
          <w:sz w:val="32"/>
          <w:szCs w:val="32"/>
        </w:rPr>
        <w:t>自评结果真实反映了预算项目的实际情况，为后续结果应用奠定了坚实基础。</w:t>
      </w:r>
    </w:p>
    <w:p>
      <w:pPr>
        <w:spacing w:line="580" w:lineRule="exact"/>
        <w:ind w:firstLine="642" w:firstLineChars="200"/>
        <w:rPr>
          <w:rFonts w:hint="eastAsia" w:ascii="仿宋_GB2312" w:hAnsi="黑体" w:eastAsia="仿宋_GB2312" w:cs="黑体"/>
          <w:b/>
          <w:bCs/>
          <w:sz w:val="32"/>
          <w:szCs w:val="32"/>
        </w:rPr>
      </w:pPr>
      <w:r>
        <w:rPr>
          <w:rFonts w:hint="eastAsia" w:ascii="仿宋_GB2312" w:hAnsi="黑体" w:eastAsia="仿宋_GB2312" w:cs="黑体"/>
          <w:b/>
          <w:bCs/>
          <w:sz w:val="32"/>
          <w:szCs w:val="32"/>
        </w:rPr>
        <w:t>2.绩效目标公开和自评公开​</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为增强预算绩效管理的透明度，我</w:t>
      </w:r>
      <w:r>
        <w:rPr>
          <w:rFonts w:hint="eastAsia" w:ascii="仿宋_GB2312" w:hAnsi="黑体" w:eastAsia="仿宋_GB2312" w:cs="黑体"/>
          <w:sz w:val="32"/>
          <w:szCs w:val="32"/>
          <w:lang w:eastAsia="zh-CN"/>
        </w:rPr>
        <w:t>单位</w:t>
      </w:r>
      <w:r>
        <w:rPr>
          <w:rFonts w:hint="eastAsia" w:ascii="仿宋_GB2312" w:hAnsi="黑体" w:eastAsia="仿宋_GB2312" w:cs="黑体"/>
          <w:sz w:val="32"/>
          <w:szCs w:val="32"/>
        </w:rPr>
        <w:t>按照相关规定，及时公开绩效目标和自评结果。在预算编制阶段，将部门整体绩效目标和各项目绩效目标在政府门户网站进行公开，接受社会监督；在预算执行结束后，将部门自评报告和重点项目绩效评价报告在规定时间内公开，公开内容包括项目基本情况、绩效目标完成情况、存在的问题及整改措施等。通过公开，广泛接受社会各界监督，提高了部门预算绩效管理的公信力。​</w:t>
      </w:r>
    </w:p>
    <w:p>
      <w:pPr>
        <w:spacing w:line="580" w:lineRule="exact"/>
        <w:ind w:firstLine="642" w:firstLineChars="200"/>
        <w:rPr>
          <w:rFonts w:hint="eastAsia" w:ascii="仿宋_GB2312" w:hAnsi="黑体" w:eastAsia="仿宋_GB2312" w:cs="黑体"/>
          <w:b/>
          <w:bCs/>
          <w:sz w:val="32"/>
          <w:szCs w:val="32"/>
        </w:rPr>
      </w:pPr>
      <w:r>
        <w:rPr>
          <w:rFonts w:hint="eastAsia" w:ascii="仿宋_GB2312" w:hAnsi="黑体" w:eastAsia="仿宋_GB2312" w:cs="黑体"/>
          <w:b/>
          <w:bCs/>
          <w:sz w:val="32"/>
          <w:szCs w:val="32"/>
        </w:rPr>
        <w:t>3.评价结果整改​</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对于绩效评价中发现的问题，我</w:t>
      </w:r>
      <w:r>
        <w:rPr>
          <w:rFonts w:hint="eastAsia" w:ascii="仿宋_GB2312" w:hAnsi="黑体" w:eastAsia="仿宋_GB2312" w:cs="黑体"/>
          <w:sz w:val="32"/>
          <w:szCs w:val="32"/>
          <w:lang w:eastAsia="zh-CN"/>
        </w:rPr>
        <w:t>单位</w:t>
      </w:r>
      <w:r>
        <w:rPr>
          <w:rFonts w:hint="eastAsia" w:ascii="仿宋_GB2312" w:hAnsi="黑体" w:eastAsia="仿宋_GB2312" w:cs="黑体"/>
          <w:sz w:val="32"/>
          <w:szCs w:val="32"/>
        </w:rPr>
        <w:t>建立了 “问题清单 + 整改台账 + 销号管理” 的整改机制。针对评价报告中指出的问题，及时组织相关科室和项目实施单位制定整改方案，明确整改责任人、整改措施和整改时限；建立整改台账，对整改情况进行跟踪记录，确保问题整改到位。​</w:t>
      </w:r>
    </w:p>
    <w:p>
      <w:pPr>
        <w:spacing w:line="580" w:lineRule="exact"/>
        <w:ind w:firstLine="642" w:firstLineChars="200"/>
        <w:rPr>
          <w:rFonts w:hint="eastAsia" w:ascii="仿宋_GB2312" w:hAnsi="黑体" w:eastAsia="仿宋_GB2312" w:cs="黑体"/>
          <w:sz w:val="32"/>
          <w:szCs w:val="32"/>
        </w:rPr>
      </w:pPr>
      <w:r>
        <w:rPr>
          <w:rFonts w:hint="eastAsia" w:ascii="仿宋_GB2312" w:hAnsi="黑体" w:eastAsia="仿宋_GB2312" w:cs="黑体"/>
          <w:b/>
          <w:bCs/>
          <w:sz w:val="32"/>
          <w:szCs w:val="32"/>
        </w:rPr>
        <w:t>4.应用结果反馈</w:t>
      </w:r>
      <w:r>
        <w:rPr>
          <w:rFonts w:hint="eastAsia" w:ascii="仿宋_GB2312" w:hAnsi="黑体" w:eastAsia="仿宋_GB2312" w:cs="黑体"/>
          <w:sz w:val="32"/>
          <w:szCs w:val="32"/>
        </w:rPr>
        <w:t>​</w:t>
      </w:r>
    </w:p>
    <w:p>
      <w:pPr>
        <w:spacing w:line="580" w:lineRule="exact"/>
        <w:ind w:firstLine="640" w:firstLineChars="200"/>
        <w:rPr>
          <w:rFonts w:hint="eastAsia" w:ascii="仿宋_GB2312" w:hAnsi="黑体" w:eastAsia="仿宋_GB2312" w:cs="黑体"/>
          <w:sz w:val="32"/>
          <w:szCs w:val="32"/>
        </w:rPr>
      </w:pPr>
      <w:r>
        <w:rPr>
          <w:rFonts w:hint="eastAsia" w:ascii="仿宋_GB2312" w:hAnsi="黑体" w:eastAsia="仿宋_GB2312" w:cs="黑体"/>
          <w:sz w:val="32"/>
          <w:szCs w:val="32"/>
        </w:rPr>
        <w:t>我</w:t>
      </w:r>
      <w:r>
        <w:rPr>
          <w:rFonts w:hint="eastAsia" w:ascii="仿宋_GB2312" w:hAnsi="黑体" w:eastAsia="仿宋_GB2312" w:cs="黑体"/>
          <w:sz w:val="32"/>
          <w:szCs w:val="32"/>
          <w:lang w:eastAsia="zh-CN"/>
        </w:rPr>
        <w:t>单位</w:t>
      </w:r>
      <w:r>
        <w:rPr>
          <w:rFonts w:hint="eastAsia" w:ascii="仿宋_GB2312" w:hAnsi="黑体" w:eastAsia="仿宋_GB2312" w:cs="黑体"/>
          <w:sz w:val="32"/>
          <w:szCs w:val="32"/>
        </w:rPr>
        <w:t>建立了完善的应用结果反馈机制，将绩效评价结果及时反馈给相关科室、项目实施单位以及上级主管部门。反馈内容包括评价结果、存在的问题、整改要求以及改进建议等。同时，将绩效评价结果作为预算编制、项目立项的重要依据。在预算编制方面，对绩效评价优秀的项目，在后续预算安排中优先给予支持；对绩效评价较差的项目，减少预算额度。通过结果反馈和应用，有效提升了部门预算管理水平和工作效率。</w:t>
      </w:r>
    </w:p>
    <w:p>
      <w:pPr>
        <w:spacing w:line="58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四、评价结论及建议</w:t>
      </w:r>
    </w:p>
    <w:p>
      <w:pPr>
        <w:spacing w:line="580" w:lineRule="exact"/>
        <w:ind w:firstLine="642"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（一）评价结论</w:t>
      </w: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通</w:t>
      </w:r>
      <w:r>
        <w:rPr>
          <w:rFonts w:hint="eastAsia" w:ascii="仿宋_GB2312" w:hAnsi="仿宋_GB2312" w:eastAsia="仿宋_GB2312" w:cs="仿宋_GB2312"/>
          <w:sz w:val="32"/>
          <w:szCs w:val="32"/>
          <w:lang w:eastAsia="zh-CN"/>
        </w:rPr>
        <w:t>过对黑水县建筑工程质量安全监督站</w:t>
      </w:r>
      <w:r>
        <w:rPr>
          <w:rFonts w:hint="eastAsia" w:ascii="仿宋_GB2312" w:hAnsi="仿宋_GB2312" w:eastAsia="仿宋_GB2312" w:cs="仿宋_GB2312"/>
          <w:sz w:val="32"/>
          <w:szCs w:val="32"/>
        </w:rPr>
        <w:t>部门整体预算绩效的全面评估，本</w:t>
      </w: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在预算执行规范性、项目实施成效及社会效益提升方面取得了显著成果。202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 xml:space="preserve">年度预算资金执行率达到 </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%，同时，预算管理制度不断完善，绩效监控机制逐步健全，为财政资金的高效使用提供了有力保障。但在预算编制精准度、跨部门协同效率及部分项目后期运维管理等方面仍存在优化空间。</w:t>
      </w:r>
    </w:p>
    <w:p>
      <w:pPr>
        <w:spacing w:line="580" w:lineRule="exact"/>
        <w:ind w:firstLine="642"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（二）改进建议</w:t>
      </w: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强化预算编制科学性：建立数据共享机制，结合历史执行数据与行业发展趋势，细化项目支出标准，提高预算编制的精准度和前瞻性。</w:t>
      </w:r>
    </w:p>
    <w:p>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优化项目管理流程：推行全周期绩效管理，在项目立项、实施、验收各环节设置量化考核指标，引入第三方评估机构开展动态监督，确保项目执行质量。</w:t>
      </w:r>
    </w:p>
    <w:p>
      <w:pPr>
        <w:spacing w:line="580" w:lineRule="exact"/>
        <w:ind w:firstLine="640" w:firstLineChars="200"/>
        <w:rPr>
          <w:rFonts w:ascii="仿宋_GB2312" w:hAnsi="仿宋_GB2312" w:eastAsia="仿宋_GB2312" w:cs="仿宋_GB2312"/>
          <w:sz w:val="32"/>
          <w:szCs w:val="32"/>
        </w:rPr>
      </w:pPr>
    </w:p>
    <w:p>
      <w:pPr>
        <w:widowControl/>
        <w:jc w:val="left"/>
        <w:rPr>
          <w:rFonts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文泉驿微米黑">
    <w:panose1 w:val="020B0606030804020204"/>
    <w:charset w:val="86"/>
    <w:family w:val="auto"/>
    <w:pitch w:val="default"/>
    <w:sig w:usb0="E10002EF" w:usb1="6BDFFCFB" w:usb2="00800036" w:usb3="00000000" w:csb0="603E019F" w:csb1="DFD70000"/>
  </w:font>
  <w:font w:name="DejaVu Sans">
    <w:panose1 w:val="020B0603030804020204"/>
    <w:charset w:val="00"/>
    <w:family w:val="auto"/>
    <w:pitch w:val="default"/>
    <w:sig w:usb0="E7006EFF" w:usb1="D200FDFF" w:usb2="0A246029" w:usb3="0400200C" w:csb0="600001FF" w:csb1="D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378D3C"/>
    <w:multiLevelType w:val="singleLevel"/>
    <w:tmpl w:val="A4378D3C"/>
    <w:lvl w:ilvl="0" w:tentative="0">
      <w:start w:val="2"/>
      <w:numFmt w:val="chineseCounting"/>
      <w:suff w:val="nothing"/>
      <w:lvlText w:val="（%1）"/>
      <w:lvlJc w:val="left"/>
      <w:rPr>
        <w:rFonts w:hint="eastAsia"/>
      </w:rPr>
    </w:lvl>
  </w:abstractNum>
  <w:abstractNum w:abstractNumId="1">
    <w:nsid w:val="D9F54391"/>
    <w:multiLevelType w:val="singleLevel"/>
    <w:tmpl w:val="D9F54391"/>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4YmFkMmRiOTVkZDYxZmUzNDY5YTNjNWEzNDk5ZDQifQ=="/>
  </w:docVars>
  <w:rsids>
    <w:rsidRoot w:val="00491B22"/>
    <w:rsid w:val="00291808"/>
    <w:rsid w:val="00491B22"/>
    <w:rsid w:val="0052390C"/>
    <w:rsid w:val="2A9F4368"/>
    <w:rsid w:val="34EB1F43"/>
    <w:rsid w:val="36435EC2"/>
    <w:rsid w:val="43EB7E23"/>
    <w:rsid w:val="4DD97D2F"/>
    <w:rsid w:val="5D7D7742"/>
    <w:rsid w:val="60D032A5"/>
    <w:rsid w:val="7B260B31"/>
    <w:rsid w:val="97FF6EC9"/>
    <w:rsid w:val="BEEE117C"/>
    <w:rsid w:val="F7EB699D"/>
    <w:rsid w:val="FB6F557E"/>
    <w:rsid w:val="FF552E0C"/>
    <w:rsid w:val="FFFD63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left="0" w:firstLine="40"/>
    </w:pPr>
    <w:rPr>
      <w:rFonts w:ascii="仿宋_GB2312" w:hAnsi="仿宋_GB2312" w:eastAsia="仿宋" w:cs="仿宋_GB2312"/>
      <w:sz w:val="32"/>
      <w:szCs w:val="32"/>
    </w:rPr>
  </w:style>
  <w:style w:type="paragraph" w:styleId="3">
    <w:name w:val="Body Text Indent"/>
    <w:basedOn w:val="1"/>
    <w:next w:val="2"/>
    <w:qFormat/>
    <w:uiPriority w:val="0"/>
    <w:pPr>
      <w:spacing w:after="120"/>
      <w:ind w:left="420"/>
    </w:pPr>
  </w:style>
  <w:style w:type="paragraph" w:styleId="5">
    <w:name w:val="Body Text"/>
    <w:basedOn w:val="1"/>
    <w:qFormat/>
    <w:uiPriority w:val="0"/>
    <w:pPr>
      <w:spacing w:after="120"/>
    </w:pPr>
  </w:style>
  <w:style w:type="paragraph" w:styleId="6">
    <w:name w:val="footer"/>
    <w:basedOn w:val="1"/>
    <w:link w:val="12"/>
    <w:semiHidden/>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7">
    <w:name w:val="header"/>
    <w:basedOn w:val="1"/>
    <w:link w:val="11"/>
    <w:semiHidden/>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8">
    <w:name w:val="Body Text First Indent"/>
    <w:basedOn w:val="5"/>
    <w:qFormat/>
    <w:uiPriority w:val="0"/>
    <w:pPr>
      <w:ind w:firstLine="664"/>
    </w:pPr>
    <w:rPr>
      <w:rFonts w:ascii="Calibri" w:hAnsi="Calibri" w:eastAsia="宋体" w:cs="Times New Roman"/>
    </w:rPr>
  </w:style>
  <w:style w:type="character" w:customStyle="1" w:styleId="11">
    <w:name w:val="页眉 Char"/>
    <w:basedOn w:val="10"/>
    <w:link w:val="7"/>
    <w:semiHidden/>
    <w:qFormat/>
    <w:uiPriority w:val="99"/>
    <w:rPr>
      <w:sz w:val="18"/>
      <w:szCs w:val="18"/>
    </w:rPr>
  </w:style>
  <w:style w:type="character" w:customStyle="1" w:styleId="12">
    <w:name w:val="页脚 Char"/>
    <w:basedOn w:val="10"/>
    <w:link w:val="6"/>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8</Pages>
  <Words>3635</Words>
  <Characters>3793</Characters>
  <Lines>2</Lines>
  <Paragraphs>1</Paragraphs>
  <TotalTime>7</TotalTime>
  <ScaleCrop>false</ScaleCrop>
  <LinksUpToDate>false</LinksUpToDate>
  <CharactersWithSpaces>3833</CharactersWithSpaces>
  <Application>WPS Office_11.1.0.10161_F1E327BC-269C-435d-A152-05C5408002CA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2019-08-21T01:06:00Z</dcterms:created>
  <dc:creator>Sky123.Org</dc:creator>
  <cp:lastModifiedBy>user</cp:lastModifiedBy>
  <dcterms:modified xsi:type="dcterms:W3CDTF">2026-10-09T11:29:09Z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2052-11.1.0.10161</vt:lpwstr>
  </property>
  <property fmtid="{D5CDD505-2E9C-101B-9397-08002B2CF9AE}" pid="3" name="ICV">
    <vt:lpwstr>3115989309D741DA945EE44A488D69E1</vt:lpwstr>
  </property>
  <property fmtid="{D5CDD505-2E9C-101B-9397-08002B2CF9AE}" pid="4" name="KSOTemplateDocerSaveRecord">
    <vt:lpwstr>eyJoZGlkIjoiYmE0NGJhNTNkY2M3NjQzYjllOGRmZTQ1Mjc0ZjllODAiLCJ1c2VySWQiOiI1NjcwNTYxOTMifQ==</vt:lpwstr>
  </property>
</Properties>
</file>