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bidi w:val="0"/>
        <w:spacing w:line="550" w:lineRule="exact"/>
        <w:jc w:val="center"/>
        <w:rPr>
          <w:rFonts w:hint="eastAsia" w:ascii="方正小标宋简体" w:eastAsia="方正小标宋简体"/>
          <w:color w:val="auto"/>
          <w:sz w:val="44"/>
          <w:szCs w:val="44"/>
          <w:shd w:val="clear" w:color="auto" w:fill="FFFFFF"/>
          <w:lang w:val="en-US" w:eastAsia="zh-CN"/>
        </w:rPr>
      </w:pPr>
      <w:r>
        <w:rPr>
          <w:rFonts w:hint="eastAsia" w:ascii="方正小标宋简体" w:eastAsia="方正小标宋简体"/>
          <w:color w:val="auto"/>
          <w:sz w:val="44"/>
          <w:szCs w:val="44"/>
          <w:shd w:val="clear" w:color="auto" w:fill="FFFFFF"/>
          <w:lang w:val="en-US" w:eastAsia="zh-CN"/>
        </w:rPr>
        <w:t>黑水县住房和城乡建设局</w:t>
      </w:r>
    </w:p>
    <w:p>
      <w:pPr>
        <w:keepNext w:val="0"/>
        <w:keepLines w:val="0"/>
        <w:pageBreakBefore w:val="0"/>
        <w:widowControl/>
        <w:kinsoku/>
        <w:wordWrap/>
        <w:overflowPunct/>
        <w:topLinePunct w:val="0"/>
        <w:bidi w:val="0"/>
        <w:spacing w:line="550" w:lineRule="exact"/>
        <w:jc w:val="center"/>
        <w:rPr>
          <w:rFonts w:hint="eastAsia" w:ascii="方正小标宋简体" w:eastAsia="方正小标宋简体"/>
          <w:color w:val="auto"/>
          <w:sz w:val="44"/>
          <w:szCs w:val="44"/>
          <w:shd w:val="clear" w:color="auto" w:fill="FFFFFF"/>
        </w:rPr>
      </w:pPr>
      <w:r>
        <w:rPr>
          <w:rFonts w:hint="eastAsia" w:ascii="方正小标宋简体" w:eastAsia="方正小标宋简体"/>
          <w:color w:val="auto"/>
          <w:sz w:val="44"/>
          <w:szCs w:val="44"/>
          <w:shd w:val="clear" w:color="auto" w:fill="FFFFFF"/>
        </w:rPr>
        <w:t>202</w:t>
      </w:r>
      <w:r>
        <w:rPr>
          <w:rFonts w:hint="eastAsia" w:ascii="方正小标宋简体" w:eastAsia="方正小标宋简体"/>
          <w:color w:val="auto"/>
          <w:sz w:val="44"/>
          <w:szCs w:val="44"/>
          <w:shd w:val="clear" w:color="auto" w:fill="FFFFFF"/>
          <w:lang w:val="en-US" w:eastAsia="zh-CN"/>
        </w:rPr>
        <w:t>5</w:t>
      </w:r>
      <w:r>
        <w:rPr>
          <w:rFonts w:hint="eastAsia" w:ascii="方正小标宋简体" w:eastAsia="方正小标宋简体"/>
          <w:color w:val="auto"/>
          <w:sz w:val="44"/>
          <w:szCs w:val="44"/>
          <w:shd w:val="clear" w:color="auto" w:fill="FFFFFF"/>
        </w:rPr>
        <w:t>年</w:t>
      </w:r>
      <w:r>
        <w:rPr>
          <w:rFonts w:hint="eastAsia" w:ascii="方正小标宋简体" w:eastAsia="方正小标宋简体"/>
          <w:color w:val="auto"/>
          <w:sz w:val="44"/>
          <w:szCs w:val="44"/>
          <w:shd w:val="clear" w:color="auto" w:fill="FFFFFF"/>
          <w:lang w:val="en-US" w:eastAsia="zh-CN"/>
        </w:rPr>
        <w:t>度</w:t>
      </w:r>
      <w:r>
        <w:rPr>
          <w:rFonts w:hint="eastAsia" w:ascii="方正小标宋简体" w:eastAsia="方正小标宋简体"/>
          <w:color w:val="auto"/>
          <w:sz w:val="44"/>
          <w:szCs w:val="44"/>
          <w:shd w:val="clear" w:color="auto" w:fill="FFFFFF"/>
        </w:rPr>
        <w:t>部门整体支出绩效</w:t>
      </w:r>
      <w:r>
        <w:rPr>
          <w:rFonts w:hint="eastAsia" w:ascii="方正小标宋简体" w:eastAsia="方正小标宋简体"/>
          <w:color w:val="auto"/>
          <w:sz w:val="44"/>
          <w:szCs w:val="44"/>
          <w:shd w:val="clear" w:color="auto" w:fill="FFFFFF"/>
          <w:lang w:val="en-US" w:eastAsia="zh-CN"/>
        </w:rPr>
        <w:t>自评</w:t>
      </w:r>
      <w:r>
        <w:rPr>
          <w:rFonts w:hint="eastAsia" w:ascii="方正小标宋简体" w:eastAsia="方正小标宋简体"/>
          <w:color w:val="auto"/>
          <w:sz w:val="44"/>
          <w:szCs w:val="44"/>
          <w:shd w:val="clear" w:color="auto" w:fill="FFFFFF"/>
        </w:rPr>
        <w:t>报告</w:t>
      </w:r>
    </w:p>
    <w:p>
      <w:pPr>
        <w:spacing w:line="580" w:lineRule="exact"/>
        <w:ind w:firstLine="642" w:firstLineChars="200"/>
        <w:rPr>
          <w:rFonts w:ascii="仿宋_GB2312" w:hAnsi="黑体" w:eastAsia="仿宋_GB2312" w:cs="黑体"/>
          <w:b/>
          <w:sz w:val="32"/>
          <w:szCs w:val="32"/>
        </w:rPr>
      </w:pP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cs="Times New Roman"/>
          <w:sz w:val="32"/>
          <w:szCs w:val="32"/>
        </w:rPr>
      </w:pPr>
      <w:r>
        <w:rPr>
          <w:rFonts w:hint="eastAsia"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642" w:firstLineChars="200"/>
        <w:textAlignment w:val="auto"/>
        <w:rPr>
          <w:rFonts w:hint="default" w:ascii="Times New Roman" w:hAnsi="Times New Roman" w:eastAsia="楷体_GB2312" w:cs="Times New Roman"/>
          <w:b/>
          <w:bCs/>
          <w:color w:val="000000"/>
          <w:kern w:val="0"/>
          <w:szCs w:val="32"/>
          <w:highlight w:val="none"/>
          <w:shd w:val="clear" w:color="auto" w:fill="FFFFFF"/>
          <w:lang w:val="zh-CN"/>
        </w:rPr>
      </w:pPr>
      <w:r>
        <w:rPr>
          <w:rFonts w:hint="eastAsia" w:eastAsia="楷体_GB2312" w:cs="Times New Roman"/>
          <w:b/>
          <w:bCs/>
          <w:color w:val="000000"/>
          <w:kern w:val="0"/>
          <w:sz w:val="32"/>
          <w:szCs w:val="32"/>
          <w:highlight w:val="none"/>
          <w:shd w:val="clear" w:color="auto" w:fill="FFFFFF"/>
          <w:lang w:val="zh-CN"/>
        </w:rPr>
        <w:t>（一）</w:t>
      </w:r>
      <w:r>
        <w:rPr>
          <w:rFonts w:hint="default" w:ascii="Times New Roman" w:hAnsi="Times New Roman" w:eastAsia="楷体_GB2312" w:cs="Times New Roman"/>
          <w:b/>
          <w:bCs/>
          <w:color w:val="000000"/>
          <w:kern w:val="0"/>
          <w:sz w:val="32"/>
          <w:szCs w:val="32"/>
          <w:highlight w:val="none"/>
          <w:shd w:val="clear" w:color="auto" w:fill="FFFFFF"/>
          <w:lang w:val="zh-CN"/>
        </w:rPr>
        <w:t>机构组成</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本部门独立编制机构1个，内设办公室、</w:t>
      </w:r>
      <w:r>
        <w:rPr>
          <w:rFonts w:hint="eastAsia" w:ascii="仿宋_GB2312" w:hAnsi="仿宋_GB2312" w:eastAsia="仿宋_GB2312" w:cs="仿宋_GB2312"/>
          <w:color w:val="auto"/>
          <w:sz w:val="32"/>
          <w:szCs w:val="32"/>
          <w:lang w:val="en-US" w:eastAsia="zh-CN"/>
        </w:rPr>
        <w:t>建筑管理股、城乡建设股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auto"/>
          <w:sz w:val="32"/>
          <w:szCs w:val="32"/>
          <w:lang w:val="en-US" w:eastAsia="zh-CN"/>
        </w:rPr>
        <w:t>城市管理综合行政执法大队、</w:t>
      </w:r>
      <w:r>
        <w:rPr>
          <w:rFonts w:hint="eastAsia" w:ascii="仿宋_GB2312" w:hAnsi="仿宋_GB2312" w:eastAsia="仿宋_GB2312" w:cs="仿宋_GB2312"/>
          <w:sz w:val="32"/>
          <w:szCs w:val="32"/>
        </w:rPr>
        <w:t>建</w:t>
      </w:r>
      <w:r>
        <w:rPr>
          <w:rFonts w:hint="eastAsia" w:ascii="仿宋_GB2312" w:hAnsi="仿宋_GB2312" w:eastAsia="仿宋_GB2312" w:cs="仿宋_GB2312"/>
          <w:sz w:val="32"/>
          <w:szCs w:val="32"/>
          <w:lang w:eastAsia="zh-CN"/>
        </w:rPr>
        <w:t>设</w:t>
      </w:r>
      <w:r>
        <w:rPr>
          <w:rFonts w:hint="eastAsia" w:ascii="仿宋_GB2312" w:hAnsi="仿宋_GB2312" w:eastAsia="仿宋_GB2312" w:cs="仿宋_GB2312"/>
          <w:sz w:val="32"/>
          <w:szCs w:val="32"/>
        </w:rPr>
        <w:t>工程质量安全监督站、城乡环境综合</w:t>
      </w:r>
      <w:r>
        <w:rPr>
          <w:rFonts w:hint="eastAsia" w:ascii="仿宋_GB2312" w:hAnsi="仿宋_GB2312" w:eastAsia="仿宋_GB2312" w:cs="仿宋_GB2312"/>
          <w:sz w:val="32"/>
          <w:szCs w:val="32"/>
          <w:lang w:eastAsia="zh-CN"/>
        </w:rPr>
        <w:t>治理服务中心、</w:t>
      </w:r>
      <w:r>
        <w:rPr>
          <w:rFonts w:hint="eastAsia" w:ascii="仿宋_GB2312" w:hAnsi="仿宋_GB2312" w:eastAsia="仿宋_GB2312" w:cs="仿宋_GB2312"/>
          <w:color w:val="auto"/>
          <w:sz w:val="32"/>
          <w:szCs w:val="32"/>
          <w:lang w:val="en-US" w:eastAsia="zh-CN"/>
        </w:rPr>
        <w:t>设计室、自来水厂</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个股室。</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本单位下属二级预算单位0个，其中行政单位0个，参照公务员管理事业单位0个，其他事业单位0个。</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left"/>
        <w:textAlignment w:val="auto"/>
        <w:outlineLvl w:val="9"/>
        <w:rPr>
          <w:rFonts w:hint="eastAsia" w:eastAsia="楷体_GB2312" w:cs="Times New Roman"/>
          <w:b/>
          <w:bCs/>
          <w:color w:val="000000"/>
          <w:kern w:val="0"/>
          <w:sz w:val="32"/>
          <w:szCs w:val="32"/>
          <w:highlight w:val="none"/>
          <w:shd w:val="clear" w:color="auto" w:fill="FFFFFF"/>
          <w:lang w:val="zh-CN"/>
        </w:rPr>
      </w:pPr>
      <w:r>
        <w:rPr>
          <w:rFonts w:hint="eastAsia"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机构职能</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黑水县住房和城乡建设局主要是负责本系统、本部门依法行政工作、推进住房制度改革、保障全县城镇低收入家庭住房、全县工程建设标准体系责任、规范全县房地产市场秩序、监督管理全县建筑市场、指导全县城镇建设管理、建筑工程质量安全监督、城乡环境综合治理等工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2" w:firstLineChars="200"/>
        <w:textAlignment w:val="auto"/>
        <w:rPr>
          <w:rFonts w:hint="eastAsia" w:eastAsia="楷体_GB2312" w:cs="Times New Roman"/>
          <w:b/>
          <w:bCs/>
          <w:color w:val="000000"/>
          <w:kern w:val="0"/>
          <w:sz w:val="32"/>
          <w:szCs w:val="32"/>
          <w:highlight w:val="none"/>
          <w:shd w:val="clear" w:color="auto" w:fill="FFFFFF"/>
          <w:lang w:val="zh-CN"/>
        </w:rPr>
      </w:pP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人员概况</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截至202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年末，单位编制</w:t>
      </w:r>
      <w:r>
        <w:rPr>
          <w:rFonts w:hint="eastAsia" w:ascii="仿宋_GB2312" w:hAnsi="仿宋_GB2312" w:eastAsia="仿宋_GB2312" w:cs="仿宋_GB2312"/>
          <w:sz w:val="32"/>
          <w:szCs w:val="32"/>
          <w:lang w:val="en-US" w:eastAsia="zh-CN"/>
        </w:rPr>
        <w:t>41</w:t>
      </w:r>
      <w:r>
        <w:rPr>
          <w:rFonts w:hint="eastAsia" w:ascii="仿宋_GB2312" w:hAnsi="仿宋_GB2312" w:eastAsia="仿宋_GB2312" w:cs="仿宋_GB2312"/>
          <w:sz w:val="32"/>
          <w:szCs w:val="32"/>
        </w:rPr>
        <w:t>名，行政编制</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人，其中行政工勤</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参公编制</w:t>
      </w:r>
      <w:r>
        <w:rPr>
          <w:rFonts w:hint="eastAsia" w:ascii="仿宋_GB2312" w:hAnsi="仿宋_GB2312" w:eastAsia="仿宋_GB2312" w:cs="仿宋_GB2312"/>
          <w:sz w:val="32"/>
          <w:szCs w:val="32"/>
          <w:lang w:val="en-US" w:eastAsia="zh-CN"/>
        </w:rPr>
        <w:t>12人，</w:t>
      </w:r>
      <w:r>
        <w:rPr>
          <w:rFonts w:hint="eastAsia" w:ascii="仿宋_GB2312" w:hAnsi="仿宋_GB2312" w:eastAsia="仿宋_GB2312" w:cs="仿宋_GB2312"/>
          <w:sz w:val="32"/>
          <w:szCs w:val="32"/>
        </w:rPr>
        <w:t>事业编制</w:t>
      </w:r>
      <w:r>
        <w:rPr>
          <w:rFonts w:hint="eastAsia" w:ascii="仿宋_GB2312" w:hAnsi="仿宋_GB2312" w:eastAsia="仿宋_GB2312" w:cs="仿宋_GB2312"/>
          <w:sz w:val="32"/>
          <w:szCs w:val="32"/>
          <w:lang w:val="en-US" w:eastAsia="zh-CN"/>
        </w:rPr>
        <w:t>17</w:t>
      </w:r>
      <w:r>
        <w:rPr>
          <w:rFonts w:hint="eastAsia" w:ascii="仿宋_GB2312" w:hAnsi="仿宋_GB2312" w:eastAsia="仿宋_GB2312" w:cs="仿宋_GB2312"/>
          <w:sz w:val="32"/>
          <w:szCs w:val="32"/>
        </w:rPr>
        <w:t>人，本单位本年年末</w:t>
      </w:r>
      <w:r>
        <w:rPr>
          <w:rFonts w:hint="eastAsia" w:ascii="仿宋_GB2312" w:hAnsi="仿宋_GB2312" w:eastAsia="仿宋_GB2312" w:cs="仿宋_GB2312"/>
          <w:sz w:val="32"/>
          <w:szCs w:val="32"/>
          <w:lang w:eastAsia="zh-CN"/>
        </w:rPr>
        <w:t>实有</w:t>
      </w:r>
      <w:r>
        <w:rPr>
          <w:rFonts w:hint="eastAsia" w:ascii="仿宋_GB2312" w:hAnsi="仿宋_GB2312" w:eastAsia="仿宋_GB2312" w:cs="仿宋_GB2312"/>
          <w:sz w:val="32"/>
          <w:szCs w:val="32"/>
        </w:rPr>
        <w:t>人数</w:t>
      </w:r>
      <w:r>
        <w:rPr>
          <w:rFonts w:hint="eastAsia" w:ascii="仿宋_GB2312" w:hAnsi="仿宋_GB2312" w:eastAsia="仿宋_GB2312" w:cs="仿宋_GB2312"/>
          <w:sz w:val="32"/>
          <w:szCs w:val="32"/>
          <w:lang w:val="en-US" w:eastAsia="zh-CN"/>
        </w:rPr>
        <w:t>36</w:t>
      </w:r>
      <w:r>
        <w:rPr>
          <w:rFonts w:hint="eastAsia" w:ascii="仿宋_GB2312" w:hAnsi="仿宋_GB2312" w:eastAsia="仿宋_GB2312" w:cs="仿宋_GB2312"/>
          <w:sz w:val="32"/>
          <w:szCs w:val="32"/>
        </w:rPr>
        <w:t>人，其中：行政编制人员</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参公编制</w:t>
      </w:r>
      <w:r>
        <w:rPr>
          <w:rFonts w:hint="eastAsia" w:ascii="仿宋_GB2312" w:hAnsi="仿宋_GB2312" w:eastAsia="仿宋_GB2312" w:cs="仿宋_GB2312"/>
          <w:sz w:val="32"/>
          <w:szCs w:val="32"/>
          <w:lang w:val="en-US" w:eastAsia="zh-CN"/>
        </w:rPr>
        <w:t>10人，</w:t>
      </w:r>
      <w:r>
        <w:rPr>
          <w:rFonts w:hint="eastAsia" w:ascii="仿宋_GB2312" w:hAnsi="仿宋_GB2312" w:eastAsia="仿宋_GB2312" w:cs="仿宋_GB2312"/>
          <w:sz w:val="32"/>
          <w:szCs w:val="32"/>
        </w:rPr>
        <w:t>事业编制人员</w:t>
      </w:r>
      <w:r>
        <w:rPr>
          <w:rFonts w:hint="eastAsia" w:ascii="仿宋_GB2312" w:hAnsi="仿宋_GB2312" w:eastAsia="仿宋_GB2312" w:cs="仿宋_GB2312"/>
          <w:sz w:val="32"/>
          <w:szCs w:val="32"/>
          <w:lang w:val="en-US" w:eastAsia="zh-CN"/>
        </w:rPr>
        <w:t>14</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，行政工勤</w:t>
      </w:r>
      <w:r>
        <w:rPr>
          <w:rFonts w:hint="eastAsia" w:ascii="仿宋_GB2312" w:hAnsi="仿宋_GB2312" w:eastAsia="仿宋_GB2312" w:cs="仿宋_GB2312"/>
          <w:sz w:val="32"/>
          <w:szCs w:val="32"/>
          <w:lang w:val="en-US" w:eastAsia="zh-CN"/>
        </w:rPr>
        <w:t>5人</w:t>
      </w:r>
      <w:r>
        <w:rPr>
          <w:rFonts w:hint="eastAsia" w:ascii="仿宋_GB2312" w:hAnsi="仿宋_GB2312" w:eastAsia="仿宋_GB2312" w:cs="仿宋_GB2312"/>
          <w:sz w:val="32"/>
          <w:szCs w:val="32"/>
        </w:rPr>
        <w:t>。</w:t>
      </w:r>
    </w:p>
    <w:p>
      <w:pPr>
        <w:spacing w:line="58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二、部门财政资金收支情况</w:t>
      </w:r>
    </w:p>
    <w:p>
      <w:pPr>
        <w:spacing w:line="58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（一）部门财政资金收入情况。</w:t>
      </w:r>
    </w:p>
    <w:p>
      <w:pPr>
        <w:pageBreakBefore w:val="0"/>
        <w:widowControl w:val="0"/>
        <w:kinsoku/>
        <w:wordWrap/>
        <w:overflowPunct/>
        <w:topLinePunct w:val="0"/>
        <w:autoSpaceDE/>
        <w:bidi w:val="0"/>
        <w:adjustRightInd/>
        <w:spacing w:beforeAutospacing="0" w:afterAutospacing="0" w:line="560" w:lineRule="exact"/>
        <w:ind w:left="0" w:firstLine="640" w:firstLineChars="200"/>
        <w:textAlignment w:val="auto"/>
        <w:outlineLvl w:val="1"/>
        <w:rPr>
          <w:rFonts w:hint="eastAsia" w:ascii="仿宋_GB2312" w:hAnsi="仿宋" w:eastAsia="仿宋_GB2312" w:cs="仿宋_GB2312"/>
          <w:sz w:val="32"/>
          <w:szCs w:val="32"/>
        </w:rPr>
      </w:pPr>
      <w:r>
        <w:rPr>
          <w:rFonts w:hint="eastAsia" w:ascii="仿宋_GB2312" w:hAnsi="仿宋_GB2312" w:eastAsia="仿宋_GB2312" w:cs="仿宋_GB2312"/>
          <w:color w:val="000000"/>
          <w:sz w:val="32"/>
          <w:szCs w:val="32"/>
          <w:lang w:val="en-US" w:eastAsia="zh-CN"/>
        </w:rPr>
        <w:t>2025</w:t>
      </w:r>
      <w:r>
        <w:rPr>
          <w:rFonts w:hint="eastAsia" w:ascii="仿宋_GB2312" w:hAnsi="仿宋_GB2312" w:eastAsia="仿宋_GB2312" w:cs="仿宋_GB2312"/>
          <w:color w:val="000000"/>
          <w:sz w:val="32"/>
          <w:szCs w:val="32"/>
        </w:rPr>
        <w:t>年本年收入合计</w:t>
      </w:r>
      <w:r>
        <w:rPr>
          <w:rFonts w:hint="eastAsia" w:ascii="仿宋_GB2312" w:hAnsi="仿宋_GB2312" w:eastAsia="仿宋_GB2312" w:cs="仿宋_GB2312"/>
          <w:color w:val="000000"/>
          <w:sz w:val="32"/>
          <w:szCs w:val="32"/>
          <w:lang w:val="en-US" w:eastAsia="zh-CN"/>
        </w:rPr>
        <w:t>18644.34</w:t>
      </w:r>
      <w:r>
        <w:rPr>
          <w:rFonts w:hint="eastAsia" w:ascii="仿宋_GB2312" w:hAnsi="仿宋_GB2312" w:eastAsia="仿宋_GB2312" w:cs="仿宋_GB2312"/>
          <w:color w:val="000000"/>
          <w:sz w:val="32"/>
          <w:szCs w:val="32"/>
        </w:rPr>
        <w:t>万元，其中：一般公共预算财政拨款收入</w:t>
      </w:r>
      <w:r>
        <w:rPr>
          <w:rFonts w:hint="eastAsia" w:ascii="仿宋_GB2312" w:hAnsi="仿宋_GB2312" w:eastAsia="仿宋_GB2312" w:cs="仿宋_GB2312"/>
          <w:color w:val="000000"/>
          <w:sz w:val="32"/>
          <w:szCs w:val="32"/>
          <w:lang w:val="en-US" w:eastAsia="zh-CN"/>
        </w:rPr>
        <w:t>18402.74</w:t>
      </w:r>
      <w:r>
        <w:rPr>
          <w:rFonts w:hint="eastAsia" w:ascii="仿宋_GB2312" w:hAnsi="仿宋_GB2312" w:eastAsia="仿宋_GB2312" w:cs="仿宋_GB2312"/>
          <w:color w:val="000000"/>
          <w:sz w:val="32"/>
          <w:szCs w:val="32"/>
        </w:rPr>
        <w:t>万元，占</w:t>
      </w:r>
      <w:r>
        <w:rPr>
          <w:rFonts w:hint="eastAsia" w:ascii="仿宋_GB2312" w:hAnsi="仿宋_GB2312" w:eastAsia="仿宋_GB2312" w:cs="仿宋_GB2312"/>
          <w:color w:val="000000"/>
          <w:sz w:val="32"/>
          <w:szCs w:val="32"/>
          <w:lang w:eastAsia="zh-CN"/>
        </w:rPr>
        <w:t>比</w:t>
      </w:r>
      <w:r>
        <w:rPr>
          <w:rFonts w:hint="eastAsia" w:ascii="仿宋_GB2312" w:hAnsi="仿宋_GB2312" w:eastAsia="仿宋_GB2312" w:cs="仿宋_GB2312"/>
          <w:color w:val="000000"/>
          <w:sz w:val="32"/>
          <w:szCs w:val="32"/>
          <w:lang w:val="en-US" w:eastAsia="zh-CN"/>
        </w:rPr>
        <w:t>98.7</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，政府性基金预算财政拨款收入</w:t>
      </w:r>
      <w:r>
        <w:rPr>
          <w:rFonts w:hint="eastAsia" w:ascii="仿宋_GB2312" w:hAnsi="仿宋_GB2312" w:eastAsia="仿宋_GB2312" w:cs="仿宋_GB2312"/>
          <w:color w:val="000000"/>
          <w:sz w:val="32"/>
          <w:szCs w:val="32"/>
          <w:lang w:val="en-US" w:eastAsia="zh-CN"/>
        </w:rPr>
        <w:t>241.59万元，占比1.3%</w:t>
      </w:r>
      <w:r>
        <w:rPr>
          <w:rFonts w:hint="eastAsia" w:ascii="仿宋_GB2312" w:hAnsi="仿宋_GB2312" w:eastAsia="仿宋_GB2312" w:cs="仿宋_GB2312"/>
          <w:color w:val="000000"/>
          <w:sz w:val="32"/>
          <w:szCs w:val="32"/>
        </w:rPr>
        <w:t>。</w:t>
      </w:r>
    </w:p>
    <w:p>
      <w:pPr>
        <w:numPr>
          <w:ilvl w:val="0"/>
          <w:numId w:val="1"/>
        </w:numPr>
        <w:spacing w:line="58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部门财政资金支出情况。</w:t>
      </w:r>
    </w:p>
    <w:p>
      <w:pPr>
        <w:pageBreakBefore w:val="0"/>
        <w:widowControl w:val="0"/>
        <w:kinsoku/>
        <w:wordWrap/>
        <w:overflowPunct/>
        <w:topLinePunct w:val="0"/>
        <w:autoSpaceDE/>
        <w:bidi w:val="0"/>
        <w:adjustRightInd/>
        <w:spacing w:beforeAutospacing="0" w:afterAutospacing="0" w:line="560" w:lineRule="exact"/>
        <w:ind w:left="0" w:firstLine="642"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基本支出</w:t>
      </w:r>
    </w:p>
    <w:p>
      <w:pPr>
        <w:pStyle w:val="7"/>
        <w:keepNext w:val="0"/>
        <w:keepLines w:val="0"/>
        <w:pageBreakBefore w:val="0"/>
        <w:widowControl w:val="0"/>
        <w:kinsoku/>
        <w:wordWrap/>
        <w:overflowPunct/>
        <w:topLinePunct w:val="0"/>
        <w:autoSpaceDE/>
        <w:bidi w:val="0"/>
        <w:adjustRightInd/>
        <w:snapToGrid/>
        <w:spacing w:beforeAutospacing="0" w:after="0" w:afterAutospacing="0" w:line="560" w:lineRule="exact"/>
        <w:ind w:left="0" w:leftChars="0" w:firstLine="646" w:firstLineChars="0"/>
        <w:textAlignment w:val="auto"/>
        <w:rPr>
          <w:rFonts w:hint="eastAsia" w:ascii="仿宋_GB2312" w:hAnsi="仿宋_GB2312" w:eastAsia="仿宋_GB2312" w:cs="仿宋_GB2312"/>
          <w:color w:val="010101"/>
          <w:sz w:val="32"/>
          <w:szCs w:val="32"/>
        </w:rPr>
      </w:pPr>
      <w:r>
        <w:rPr>
          <w:rFonts w:hint="eastAsia" w:ascii="仿宋_GB2312" w:hAnsi="仿宋_GB2312" w:eastAsia="仿宋_GB2312" w:cs="仿宋_GB2312"/>
          <w:color w:val="010101"/>
          <w:sz w:val="32"/>
          <w:szCs w:val="32"/>
        </w:rPr>
        <w:t>基本支出用于为保障机构正常运转、完成日常工作任务而发生的支出，包括人员经费和公用经费。</w:t>
      </w:r>
    </w:p>
    <w:p>
      <w:pPr>
        <w:keepNext w:val="0"/>
        <w:keepLines w:val="0"/>
        <w:pageBreakBefore w:val="0"/>
        <w:widowControl w:val="0"/>
        <w:kinsoku/>
        <w:wordWrap/>
        <w:overflowPunct/>
        <w:topLinePunct w:val="0"/>
        <w:autoSpaceDE/>
        <w:autoSpaceDN w:val="0"/>
        <w:bidi w:val="0"/>
        <w:adjustRightInd/>
        <w:snapToGrid/>
        <w:spacing w:beforeAutospacing="0" w:afterAutospacing="0" w:line="560" w:lineRule="exact"/>
        <w:ind w:left="0"/>
        <w:textAlignment w:val="auto"/>
        <w:rPr>
          <w:rFonts w:hint="default" w:ascii="仿宋_GB2312" w:hAnsi="仿宋_GB2312" w:eastAsia="仿宋_GB2312" w:cs="仿宋_GB2312"/>
          <w:color w:val="010101"/>
          <w:sz w:val="32"/>
          <w:szCs w:val="32"/>
          <w:lang w:val="en-US" w:eastAsia="zh-CN"/>
        </w:rPr>
      </w:pPr>
      <w:r>
        <w:rPr>
          <w:rFonts w:hint="eastAsia" w:ascii="仿宋_GB2312" w:hAnsi="仿宋_GB2312" w:eastAsia="仿宋_GB2312" w:cs="仿宋_GB2312"/>
          <w:color w:val="010101"/>
          <w:sz w:val="32"/>
          <w:szCs w:val="32"/>
        </w:rPr>
        <w:t>　　20</w:t>
      </w:r>
      <w:r>
        <w:rPr>
          <w:rFonts w:hint="eastAsia" w:ascii="仿宋_GB2312" w:hAnsi="仿宋_GB2312" w:eastAsia="仿宋_GB2312" w:cs="仿宋_GB2312"/>
          <w:color w:val="010101"/>
          <w:sz w:val="32"/>
          <w:szCs w:val="32"/>
          <w:lang w:val="en-US" w:eastAsia="zh-CN"/>
        </w:rPr>
        <w:t>25</w:t>
      </w:r>
      <w:r>
        <w:rPr>
          <w:rFonts w:hint="eastAsia" w:ascii="仿宋_GB2312" w:hAnsi="仿宋_GB2312" w:eastAsia="仿宋_GB2312" w:cs="仿宋_GB2312"/>
          <w:color w:val="010101"/>
          <w:sz w:val="32"/>
          <w:szCs w:val="32"/>
        </w:rPr>
        <w:t>年决算基本支出</w:t>
      </w:r>
      <w:r>
        <w:rPr>
          <w:rFonts w:hint="eastAsia" w:ascii="仿宋_GB2312" w:hAnsi="仿宋_GB2312" w:eastAsia="仿宋_GB2312" w:cs="仿宋_GB2312"/>
          <w:color w:val="010101"/>
          <w:sz w:val="32"/>
          <w:szCs w:val="32"/>
          <w:lang w:val="en-US" w:eastAsia="zh-CN"/>
        </w:rPr>
        <w:t>978.51</w:t>
      </w:r>
      <w:r>
        <w:rPr>
          <w:rFonts w:hint="eastAsia" w:ascii="仿宋_GB2312" w:hAnsi="仿宋_GB2312" w:eastAsia="仿宋_GB2312" w:cs="仿宋_GB2312"/>
          <w:color w:val="010101"/>
          <w:sz w:val="32"/>
          <w:szCs w:val="32"/>
        </w:rPr>
        <w:t>万元，其中：</w:t>
      </w:r>
      <w:r>
        <w:rPr>
          <w:rFonts w:hint="eastAsia" w:ascii="仿宋_GB2312" w:hAnsi="仿宋_GB2312" w:eastAsia="仿宋_GB2312" w:cs="仿宋_GB2312"/>
          <w:color w:val="010101"/>
          <w:sz w:val="32"/>
          <w:szCs w:val="32"/>
          <w:lang w:eastAsia="zh-CN"/>
        </w:rPr>
        <w:t>人员经费</w:t>
      </w:r>
      <w:r>
        <w:rPr>
          <w:rFonts w:hint="eastAsia" w:ascii="仿宋_GB2312" w:hAnsi="仿宋_GB2312" w:eastAsia="仿宋_GB2312" w:cs="仿宋_GB2312"/>
          <w:color w:val="010101"/>
          <w:sz w:val="32"/>
          <w:szCs w:val="32"/>
          <w:lang w:val="en-US" w:eastAsia="zh-CN"/>
        </w:rPr>
        <w:t>883.3万元，公用经费95.21万元。</w:t>
      </w:r>
    </w:p>
    <w:p>
      <w:pPr>
        <w:pageBreakBefore w:val="0"/>
        <w:widowControl w:val="0"/>
        <w:kinsoku/>
        <w:wordWrap/>
        <w:overflowPunct/>
        <w:topLinePunct w:val="0"/>
        <w:autoSpaceDE/>
        <w:bidi w:val="0"/>
        <w:adjustRightInd/>
        <w:snapToGrid w:val="0"/>
        <w:spacing w:beforeAutospacing="0" w:afterAutospacing="0" w:line="560" w:lineRule="exact"/>
        <w:ind w:left="0" w:firstLine="642"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项目支出</w:t>
      </w:r>
    </w:p>
    <w:p>
      <w:pPr>
        <w:keepNext w:val="0"/>
        <w:keepLines w:val="0"/>
        <w:pageBreakBefore w:val="0"/>
        <w:widowControl w:val="0"/>
        <w:kinsoku/>
        <w:wordWrap/>
        <w:overflowPunct/>
        <w:topLinePunct w:val="0"/>
        <w:autoSpaceDE/>
        <w:autoSpaceDN w:val="0"/>
        <w:bidi w:val="0"/>
        <w:adjustRightInd/>
        <w:snapToGrid/>
        <w:spacing w:beforeAutospacing="0" w:afterAutospacing="0" w:line="560" w:lineRule="exact"/>
        <w:ind w:left="0" w:firstLine="640" w:firstLineChars="200"/>
        <w:textAlignment w:val="auto"/>
        <w:rPr>
          <w:rFonts w:hint="eastAsia" w:ascii="仿宋_GB2312" w:hAnsi="仿宋_GB2312" w:eastAsia="仿宋_GB2312" w:cs="仿宋_GB2312"/>
          <w:color w:val="010101"/>
          <w:sz w:val="32"/>
          <w:szCs w:val="32"/>
        </w:rPr>
      </w:pPr>
      <w:r>
        <w:rPr>
          <w:rFonts w:hint="eastAsia" w:ascii="仿宋_GB2312" w:hAnsi="仿宋_GB2312" w:eastAsia="仿宋_GB2312" w:cs="仿宋_GB2312"/>
          <w:color w:val="010101"/>
          <w:sz w:val="32"/>
          <w:szCs w:val="32"/>
        </w:rPr>
        <w:t>项目支出是在基本支出之外为完成其特定的行政工作任务而发生的支出，主要用于一般行政管理事务、</w:t>
      </w:r>
      <w:r>
        <w:rPr>
          <w:rFonts w:hint="eastAsia" w:ascii="仿宋_GB2312" w:hAnsi="仿宋_GB2312" w:eastAsia="仿宋_GB2312" w:cs="仿宋_GB2312"/>
          <w:color w:val="010101"/>
          <w:sz w:val="32"/>
          <w:szCs w:val="32"/>
          <w:lang w:val="en-US" w:eastAsia="zh-CN"/>
        </w:rPr>
        <w:t>城乡社区支出</w:t>
      </w:r>
      <w:r>
        <w:rPr>
          <w:rFonts w:hint="eastAsia" w:ascii="仿宋_GB2312" w:hAnsi="仿宋_GB2312" w:eastAsia="仿宋_GB2312" w:cs="仿宋_GB2312"/>
          <w:color w:val="010101"/>
          <w:sz w:val="32"/>
          <w:szCs w:val="32"/>
        </w:rPr>
        <w:t>等其他行政管理事务支出。</w:t>
      </w:r>
    </w:p>
    <w:p>
      <w:pPr>
        <w:pStyle w:val="2"/>
        <w:keepNext w:val="0"/>
        <w:keepLines w:val="0"/>
        <w:pageBreakBefore w:val="0"/>
        <w:widowControl w:val="0"/>
        <w:kinsoku/>
        <w:wordWrap/>
        <w:overflowPunct/>
        <w:topLinePunct w:val="0"/>
        <w:autoSpaceDE/>
        <w:bidi w:val="0"/>
        <w:adjustRightInd/>
        <w:snapToGrid/>
        <w:spacing w:beforeAutospacing="0" w:after="0" w:afterAutospacing="0" w:line="560" w:lineRule="exact"/>
        <w:ind w:left="0" w:leftChars="0" w:firstLine="640" w:firstLineChars="200"/>
        <w:textAlignment w:val="auto"/>
        <w:rPr>
          <w:rFonts w:hint="eastAsia" w:ascii="仿宋_GB2312" w:hAnsi="仿宋_GB2312" w:eastAsia="仿宋_GB2312" w:cs="仿宋_GB2312"/>
          <w:color w:val="010101"/>
          <w:sz w:val="32"/>
          <w:szCs w:val="32"/>
        </w:rPr>
      </w:pPr>
      <w:r>
        <w:rPr>
          <w:rFonts w:hint="eastAsia" w:ascii="仿宋_GB2312" w:hAnsi="仿宋_GB2312" w:eastAsia="仿宋_GB2312" w:cs="仿宋_GB2312"/>
          <w:color w:val="010101"/>
          <w:sz w:val="32"/>
          <w:szCs w:val="32"/>
        </w:rPr>
        <w:t>202</w:t>
      </w:r>
      <w:r>
        <w:rPr>
          <w:rFonts w:hint="eastAsia" w:eastAsia="仿宋_GB2312" w:cs="仿宋_GB2312"/>
          <w:color w:val="010101"/>
          <w:sz w:val="32"/>
          <w:szCs w:val="32"/>
          <w:lang w:val="en-US" w:eastAsia="zh-CN"/>
        </w:rPr>
        <w:t>5</w:t>
      </w:r>
      <w:r>
        <w:rPr>
          <w:rFonts w:hint="eastAsia" w:ascii="仿宋_GB2312" w:hAnsi="仿宋_GB2312" w:eastAsia="仿宋_GB2312" w:cs="仿宋_GB2312"/>
          <w:color w:val="010101"/>
          <w:sz w:val="32"/>
          <w:szCs w:val="32"/>
        </w:rPr>
        <w:t>年</w:t>
      </w:r>
      <w:r>
        <w:rPr>
          <w:rFonts w:hint="eastAsia" w:ascii="仿宋_GB2312" w:hAnsi="仿宋_GB2312" w:eastAsia="仿宋_GB2312" w:cs="仿宋_GB2312"/>
          <w:color w:val="010101"/>
          <w:sz w:val="32"/>
          <w:szCs w:val="32"/>
          <w:lang w:eastAsia="zh-CN"/>
        </w:rPr>
        <w:t>决算项目</w:t>
      </w:r>
      <w:r>
        <w:rPr>
          <w:rFonts w:hint="eastAsia" w:ascii="仿宋_GB2312" w:hAnsi="仿宋_GB2312" w:eastAsia="仿宋_GB2312" w:cs="仿宋_GB2312"/>
          <w:color w:val="010101"/>
          <w:sz w:val="32"/>
          <w:szCs w:val="32"/>
        </w:rPr>
        <w:t>支出为</w:t>
      </w:r>
      <w:r>
        <w:rPr>
          <w:rFonts w:hint="eastAsia" w:eastAsia="仿宋_GB2312" w:cs="仿宋_GB2312"/>
          <w:color w:val="010101"/>
          <w:sz w:val="32"/>
          <w:szCs w:val="32"/>
          <w:lang w:val="en-US" w:eastAsia="zh-CN"/>
        </w:rPr>
        <w:t>17945.12</w:t>
      </w:r>
      <w:r>
        <w:rPr>
          <w:rFonts w:hint="eastAsia" w:ascii="仿宋_GB2312" w:hAnsi="仿宋_GB2312" w:eastAsia="仿宋_GB2312" w:cs="仿宋_GB2312"/>
          <w:color w:val="010101"/>
          <w:sz w:val="32"/>
          <w:szCs w:val="32"/>
        </w:rPr>
        <w:t>万元，其中：</w:t>
      </w:r>
      <w:r>
        <w:rPr>
          <w:rFonts w:hint="eastAsia" w:ascii="仿宋_GB2312" w:hAnsi="仿宋_GB2312" w:eastAsia="仿宋_GB2312" w:cs="仿宋_GB2312"/>
          <w:color w:val="010101"/>
          <w:sz w:val="32"/>
          <w:szCs w:val="32"/>
          <w:lang w:eastAsia="zh-CN"/>
        </w:rPr>
        <w:t>节能环保支出</w:t>
      </w:r>
      <w:r>
        <w:rPr>
          <w:rFonts w:hint="eastAsia" w:eastAsia="仿宋_GB2312" w:cs="仿宋_GB2312"/>
          <w:color w:val="010101"/>
          <w:sz w:val="32"/>
          <w:szCs w:val="32"/>
          <w:lang w:val="en-US" w:eastAsia="zh-CN"/>
        </w:rPr>
        <w:t>852.38</w:t>
      </w:r>
      <w:r>
        <w:rPr>
          <w:rFonts w:hint="eastAsia" w:ascii="仿宋_GB2312" w:hAnsi="仿宋_GB2312" w:eastAsia="仿宋_GB2312" w:cs="仿宋_GB2312"/>
          <w:color w:val="010101"/>
          <w:sz w:val="32"/>
          <w:szCs w:val="32"/>
        </w:rPr>
        <w:t>万元、</w:t>
      </w:r>
      <w:r>
        <w:rPr>
          <w:rFonts w:hint="eastAsia" w:ascii="仿宋_GB2312" w:hAnsi="仿宋_GB2312" w:eastAsia="仿宋_GB2312" w:cs="仿宋_GB2312"/>
          <w:color w:val="010101"/>
          <w:sz w:val="32"/>
          <w:szCs w:val="32"/>
          <w:lang w:eastAsia="zh-CN"/>
        </w:rPr>
        <w:t>城乡社区支出</w:t>
      </w:r>
      <w:r>
        <w:rPr>
          <w:rFonts w:hint="eastAsia" w:eastAsia="仿宋_GB2312" w:cs="仿宋_GB2312"/>
          <w:color w:val="010101"/>
          <w:sz w:val="32"/>
          <w:szCs w:val="32"/>
          <w:lang w:val="en-US" w:eastAsia="zh-CN"/>
        </w:rPr>
        <w:t>16315.41</w:t>
      </w:r>
      <w:r>
        <w:rPr>
          <w:rFonts w:hint="eastAsia" w:ascii="仿宋_GB2312" w:hAnsi="仿宋_GB2312" w:eastAsia="仿宋_GB2312" w:cs="仿宋_GB2312"/>
          <w:color w:val="010101"/>
          <w:sz w:val="32"/>
          <w:szCs w:val="32"/>
        </w:rPr>
        <w:t>万元</w:t>
      </w:r>
      <w:r>
        <w:rPr>
          <w:rFonts w:hint="eastAsia" w:ascii="仿宋_GB2312" w:hAnsi="仿宋_GB2312" w:eastAsia="仿宋_GB2312" w:cs="仿宋_GB2312"/>
          <w:color w:val="010101"/>
          <w:sz w:val="32"/>
          <w:szCs w:val="32"/>
          <w:lang w:eastAsia="zh-CN"/>
        </w:rPr>
        <w:t>、农林水支出</w:t>
      </w:r>
      <w:r>
        <w:rPr>
          <w:rFonts w:hint="eastAsia" w:eastAsia="仿宋_GB2312" w:cs="仿宋_GB2312"/>
          <w:color w:val="010101"/>
          <w:sz w:val="32"/>
          <w:szCs w:val="32"/>
          <w:lang w:val="en-US" w:eastAsia="zh-CN"/>
        </w:rPr>
        <w:t>500</w:t>
      </w:r>
      <w:r>
        <w:rPr>
          <w:rFonts w:hint="eastAsia" w:ascii="仿宋_GB2312" w:hAnsi="仿宋_GB2312" w:eastAsia="仿宋_GB2312" w:cs="仿宋_GB2312"/>
          <w:color w:val="010101"/>
          <w:sz w:val="32"/>
          <w:szCs w:val="32"/>
          <w:lang w:val="en-US" w:eastAsia="zh-CN"/>
        </w:rPr>
        <w:t>万元、住房保障支出</w:t>
      </w:r>
      <w:r>
        <w:rPr>
          <w:rFonts w:hint="eastAsia" w:eastAsia="仿宋_GB2312" w:cs="仿宋_GB2312"/>
          <w:color w:val="010101"/>
          <w:sz w:val="32"/>
          <w:szCs w:val="32"/>
          <w:lang w:val="en-US" w:eastAsia="zh-CN"/>
        </w:rPr>
        <w:t>110.34</w:t>
      </w:r>
      <w:r>
        <w:rPr>
          <w:rFonts w:hint="eastAsia" w:ascii="仿宋_GB2312" w:hAnsi="仿宋_GB2312" w:eastAsia="仿宋_GB2312" w:cs="仿宋_GB2312"/>
          <w:color w:val="010101"/>
          <w:sz w:val="32"/>
          <w:szCs w:val="32"/>
          <w:lang w:val="en-US" w:eastAsia="zh-CN"/>
        </w:rPr>
        <w:t>万元</w:t>
      </w:r>
      <w:r>
        <w:rPr>
          <w:rFonts w:hint="eastAsia" w:hAnsi="仿宋_GB2312" w:eastAsia="仿宋_GB2312" w:cs="仿宋_GB2312"/>
          <w:color w:val="010101"/>
          <w:sz w:val="32"/>
          <w:szCs w:val="32"/>
          <w:lang w:val="en-US" w:eastAsia="zh-CN"/>
        </w:rPr>
        <w:t>、灾害防治及应急管理支出25万元、其他支出141.99万元</w:t>
      </w:r>
      <w:r>
        <w:rPr>
          <w:rFonts w:hint="eastAsia" w:ascii="仿宋_GB2312" w:hAnsi="仿宋_GB2312" w:eastAsia="仿宋_GB2312" w:cs="仿宋_GB2312"/>
          <w:color w:val="010101"/>
          <w:sz w:val="32"/>
          <w:szCs w:val="32"/>
        </w:rPr>
        <w:t>。</w:t>
      </w:r>
    </w:p>
    <w:p>
      <w:pPr>
        <w:keepNext w:val="0"/>
        <w:keepLines w:val="0"/>
        <w:pageBreakBefore w:val="0"/>
        <w:widowControl w:val="0"/>
        <w:kinsoku/>
        <w:wordWrap/>
        <w:overflowPunct/>
        <w:topLinePunct w:val="0"/>
        <w:autoSpaceDE/>
        <w:autoSpaceDN w:val="0"/>
        <w:bidi w:val="0"/>
        <w:adjustRightInd/>
        <w:snapToGrid/>
        <w:spacing w:beforeAutospacing="0" w:afterAutospacing="0" w:line="560" w:lineRule="exact"/>
        <w:ind w:left="0" w:firstLine="642" w:firstLineChars="200"/>
        <w:textAlignment w:val="auto"/>
        <w:outlineLvl w:val="0"/>
        <w:rPr>
          <w:rFonts w:hint="eastAsia" w:ascii="仿宋_GB2312" w:hAnsi="仿宋_GB2312" w:eastAsia="仿宋_GB2312" w:cs="仿宋_GB2312"/>
          <w:b/>
          <w:bCs/>
          <w:color w:val="010101"/>
          <w:sz w:val="32"/>
          <w:szCs w:val="32"/>
        </w:rPr>
      </w:pPr>
      <w:r>
        <w:rPr>
          <w:rFonts w:hint="eastAsia" w:ascii="仿宋_GB2312" w:hAnsi="仿宋_GB2312" w:eastAsia="仿宋_GB2312" w:cs="仿宋_GB2312"/>
          <w:b/>
          <w:bCs/>
          <w:color w:val="010101"/>
          <w:sz w:val="32"/>
          <w:szCs w:val="32"/>
          <w:lang w:val="en-US" w:eastAsia="zh-CN"/>
        </w:rPr>
        <w:t>3.</w:t>
      </w:r>
      <w:r>
        <w:rPr>
          <w:rFonts w:hint="eastAsia" w:ascii="仿宋_GB2312" w:hAnsi="仿宋_GB2312" w:eastAsia="仿宋_GB2312" w:cs="仿宋_GB2312"/>
          <w:b/>
          <w:bCs/>
          <w:color w:val="010101"/>
          <w:sz w:val="32"/>
          <w:szCs w:val="32"/>
        </w:rPr>
        <w:t>“三公”经费情况</w:t>
      </w:r>
    </w:p>
    <w:p>
      <w:pPr>
        <w:spacing w:line="580" w:lineRule="exact"/>
        <w:ind w:firstLine="640" w:firstLineChars="200"/>
        <w:rPr>
          <w:rFonts w:hint="eastAsia"/>
        </w:rPr>
      </w:pPr>
      <w:r>
        <w:rPr>
          <w:rFonts w:hint="eastAsia" w:ascii="仿宋_GB2312" w:hAnsi="仿宋_GB2312" w:eastAsia="仿宋_GB2312" w:cs="仿宋_GB2312"/>
          <w:color w:val="010101"/>
          <w:sz w:val="32"/>
          <w:szCs w:val="32"/>
          <w:lang w:val="en-US" w:eastAsia="zh-CN"/>
        </w:rPr>
        <w:t>2025年</w:t>
      </w:r>
      <w:r>
        <w:rPr>
          <w:rFonts w:hint="eastAsia" w:ascii="仿宋_GB2312" w:hAnsi="仿宋_GB2312" w:eastAsia="仿宋_GB2312" w:cs="仿宋_GB2312"/>
          <w:color w:val="010101"/>
          <w:sz w:val="32"/>
          <w:szCs w:val="32"/>
        </w:rPr>
        <w:t>决算支出“三公”经费</w:t>
      </w:r>
      <w:r>
        <w:rPr>
          <w:rFonts w:hint="eastAsia" w:ascii="仿宋_GB2312" w:hAnsi="仿宋_GB2312" w:eastAsia="仿宋_GB2312" w:cs="仿宋_GB2312"/>
          <w:color w:val="010101"/>
          <w:sz w:val="32"/>
          <w:szCs w:val="32"/>
          <w:lang w:val="en-US" w:eastAsia="zh-CN"/>
        </w:rPr>
        <w:t>0</w:t>
      </w:r>
      <w:r>
        <w:rPr>
          <w:rFonts w:hint="eastAsia" w:ascii="仿宋_GB2312" w:hAnsi="仿宋_GB2312" w:eastAsia="仿宋_GB2312" w:cs="仿宋_GB2312"/>
          <w:color w:val="010101"/>
          <w:sz w:val="32"/>
          <w:szCs w:val="32"/>
        </w:rPr>
        <w:t>万元</w:t>
      </w:r>
      <w:r>
        <w:rPr>
          <w:rFonts w:hint="eastAsia" w:ascii="仿宋_GB2312" w:hAnsi="仿宋_GB2312" w:eastAsia="仿宋_GB2312" w:cs="仿宋_GB2312"/>
          <w:color w:val="010101"/>
          <w:sz w:val="32"/>
          <w:szCs w:val="32"/>
          <w:lang w:val="en-US" w:eastAsia="zh-CN"/>
        </w:rPr>
        <w:t>。</w:t>
      </w:r>
    </w:p>
    <w:p>
      <w:pPr>
        <w:numPr>
          <w:ilvl w:val="0"/>
          <w:numId w:val="2"/>
        </w:numPr>
        <w:spacing w:line="58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部门整体预算绩效管理情况</w:t>
      </w:r>
    </w:p>
    <w:p>
      <w:pPr>
        <w:numPr>
          <w:ilvl w:val="0"/>
          <w:numId w:val="0"/>
        </w:numPr>
        <w:spacing w:line="58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（一）部门预算管理。</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部门预算管理是整体预算绩效管理的基础，直接关系到全</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各项工作的有序推进。</w:t>
      </w:r>
      <w:r>
        <w:rPr>
          <w:rFonts w:hint="eastAsia" w:ascii="仿宋_GB2312" w:hAnsi="黑体" w:eastAsia="仿宋_GB2312" w:cs="黑体"/>
          <w:sz w:val="32"/>
          <w:szCs w:val="32"/>
          <w:lang w:val="en-US" w:eastAsia="zh-CN"/>
        </w:rPr>
        <w:t>2025年</w:t>
      </w:r>
      <w:r>
        <w:rPr>
          <w:rFonts w:hint="eastAsia" w:ascii="仿宋_GB2312" w:hAnsi="黑体" w:eastAsia="仿宋_GB2312" w:cs="黑体"/>
          <w:sz w:val="32"/>
          <w:szCs w:val="32"/>
        </w:rPr>
        <w:t>我</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从多个维度发力，不断提升部门预算管理水平，但也存在部分待改进之处。​</w:t>
      </w:r>
    </w:p>
    <w:p>
      <w:pPr>
        <w:spacing w:line="580" w:lineRule="exact"/>
        <w:ind w:firstLine="642" w:firstLineChars="200"/>
        <w:rPr>
          <w:rFonts w:hint="eastAsia" w:ascii="仿宋_GB2312" w:hAnsi="黑体" w:eastAsia="仿宋_GB2312" w:cs="黑体"/>
          <w:sz w:val="32"/>
          <w:szCs w:val="32"/>
        </w:rPr>
      </w:pPr>
      <w:r>
        <w:rPr>
          <w:rFonts w:hint="eastAsia" w:ascii="仿宋_GB2312" w:hAnsi="黑体" w:eastAsia="仿宋_GB2312" w:cs="黑体"/>
          <w:b/>
          <w:bCs/>
          <w:sz w:val="32"/>
          <w:szCs w:val="32"/>
        </w:rPr>
        <w:t>1.绩效目标制定</w:t>
      </w:r>
      <w:r>
        <w:rPr>
          <w:rFonts w:hint="eastAsia" w:ascii="仿宋_GB2312" w:hAnsi="黑体" w:eastAsia="仿宋_GB2312" w:cs="黑体"/>
          <w:sz w:val="32"/>
          <w:szCs w:val="32"/>
        </w:rPr>
        <w:t>​</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我</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严格按照 “贴合职能、科学合理、可衡量、可实现” 的原则制定绩效目标。结合住房和城乡建设领域重点工作，如</w:t>
      </w:r>
      <w:r>
        <w:rPr>
          <w:rFonts w:hint="eastAsia" w:ascii="仿宋_GB2312" w:hAnsi="黑体" w:eastAsia="仿宋_GB2312" w:cs="黑体"/>
          <w:sz w:val="32"/>
          <w:szCs w:val="32"/>
          <w:lang w:val="en-US" w:eastAsia="zh-CN"/>
        </w:rPr>
        <w:t>市政</w:t>
      </w:r>
      <w:r>
        <w:rPr>
          <w:rFonts w:hint="eastAsia" w:ascii="仿宋_GB2312" w:hAnsi="黑体" w:eastAsia="仿宋_GB2312" w:cs="黑体"/>
          <w:sz w:val="32"/>
          <w:szCs w:val="32"/>
        </w:rPr>
        <w:t>基础设施建设、保障性住房供给、老旧小区改造等，明确每个预算项目的具体目标。</w:t>
      </w:r>
    </w:p>
    <w:p>
      <w:pPr>
        <w:spacing w:line="580" w:lineRule="exact"/>
        <w:ind w:firstLine="642" w:firstLineChars="200"/>
        <w:rPr>
          <w:rFonts w:hint="eastAsia" w:ascii="仿宋_GB2312" w:hAnsi="黑体" w:eastAsia="仿宋_GB2312" w:cs="黑体"/>
          <w:sz w:val="32"/>
          <w:szCs w:val="32"/>
        </w:rPr>
      </w:pPr>
      <w:r>
        <w:rPr>
          <w:rFonts w:hint="eastAsia" w:ascii="仿宋_GB2312" w:hAnsi="黑体" w:eastAsia="仿宋_GB2312" w:cs="黑体"/>
          <w:b/>
          <w:bCs/>
          <w:sz w:val="32"/>
          <w:szCs w:val="32"/>
        </w:rPr>
        <w:t>2.目标完成</w:t>
      </w:r>
      <w:r>
        <w:rPr>
          <w:rFonts w:hint="eastAsia" w:ascii="仿宋_GB2312" w:hAnsi="黑体" w:eastAsia="仿宋_GB2312" w:cs="黑体"/>
          <w:sz w:val="32"/>
          <w:szCs w:val="32"/>
        </w:rPr>
        <w:t>​</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从整体来看，大部分绩效目标均按计划完成。</w:t>
      </w:r>
    </w:p>
    <w:p>
      <w:pPr>
        <w:spacing w:line="580" w:lineRule="exact"/>
        <w:ind w:firstLine="642" w:firstLineChars="200"/>
        <w:rPr>
          <w:rFonts w:hint="eastAsia" w:ascii="仿宋_GB2312" w:hAnsi="黑体" w:eastAsia="仿宋_GB2312" w:cs="黑体"/>
          <w:sz w:val="32"/>
          <w:szCs w:val="32"/>
        </w:rPr>
      </w:pPr>
      <w:r>
        <w:rPr>
          <w:rFonts w:hint="eastAsia" w:ascii="仿宋_GB2312" w:hAnsi="黑体" w:eastAsia="仿宋_GB2312" w:cs="黑体"/>
          <w:b/>
          <w:bCs/>
          <w:sz w:val="32"/>
          <w:szCs w:val="32"/>
        </w:rPr>
        <w:t>3.预算编制准确</w:t>
      </w:r>
      <w:r>
        <w:rPr>
          <w:rFonts w:hint="eastAsia" w:ascii="仿宋_GB2312" w:hAnsi="黑体" w:eastAsia="仿宋_GB2312" w:cs="黑体"/>
          <w:sz w:val="32"/>
          <w:szCs w:val="32"/>
        </w:rPr>
        <w:t>​</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为提高预算编制准确性，我局建立了“上下联动、多方论证”的编制机制。在编制前，组织业务科室、财务</w:t>
      </w:r>
      <w:r>
        <w:rPr>
          <w:rFonts w:hint="eastAsia" w:ascii="仿宋_GB2312" w:hAnsi="黑体" w:eastAsia="仿宋_GB2312" w:cs="黑体"/>
          <w:sz w:val="32"/>
          <w:szCs w:val="32"/>
          <w:lang w:val="en-US" w:eastAsia="zh-CN"/>
        </w:rPr>
        <w:t>室</w:t>
      </w:r>
      <w:r>
        <w:rPr>
          <w:rFonts w:hint="eastAsia" w:ascii="仿宋_GB2312" w:hAnsi="黑体" w:eastAsia="仿宋_GB2312" w:cs="黑体"/>
          <w:sz w:val="32"/>
          <w:szCs w:val="32"/>
        </w:rPr>
        <w:t>与项目实施单位开展充分调研，结合往年项目执行情况、物价变动趋势以及本年度工作任务，细化预算编制内容。</w:t>
      </w:r>
    </w:p>
    <w:p>
      <w:pPr>
        <w:spacing w:line="580" w:lineRule="exact"/>
        <w:ind w:firstLine="642" w:firstLineChars="200"/>
        <w:rPr>
          <w:rFonts w:hint="eastAsia" w:ascii="仿宋_GB2312" w:hAnsi="黑体" w:eastAsia="仿宋_GB2312" w:cs="黑体"/>
          <w:sz w:val="32"/>
          <w:szCs w:val="32"/>
        </w:rPr>
      </w:pPr>
      <w:r>
        <w:rPr>
          <w:rFonts w:hint="eastAsia" w:ascii="仿宋_GB2312" w:hAnsi="黑体" w:eastAsia="仿宋_GB2312" w:cs="黑体"/>
          <w:b/>
          <w:bCs/>
          <w:sz w:val="32"/>
          <w:szCs w:val="32"/>
        </w:rPr>
        <w:t>4.支出控制</w:t>
      </w:r>
      <w:r>
        <w:rPr>
          <w:rFonts w:hint="eastAsia" w:ascii="仿宋_GB2312" w:hAnsi="黑体" w:eastAsia="仿宋_GB2312" w:cs="黑体"/>
          <w:sz w:val="32"/>
          <w:szCs w:val="32"/>
        </w:rPr>
        <w:t>​</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我局严格执行预算支出控制制度，通过“事前审批、事中监控、事后审核” 三重管控措施，确保资金使用合规、高效。在支出审批环节，明确各层级审批权限，杜绝超预算、无预算支出；在事中监控方面，利用预算管理系统实时跟踪资金支出进度，对接近预算上限的项目及时预警；在事后审核中，对每一笔支出的票据、合同等资料进行严格核查，确保支出符合规定。</w:t>
      </w:r>
    </w:p>
    <w:p>
      <w:pPr>
        <w:spacing w:line="580" w:lineRule="exact"/>
        <w:ind w:firstLine="642" w:firstLineChars="200"/>
        <w:rPr>
          <w:rFonts w:hint="eastAsia" w:ascii="仿宋_GB2312" w:hAnsi="黑体" w:eastAsia="仿宋_GB2312" w:cs="黑体"/>
          <w:sz w:val="32"/>
          <w:szCs w:val="32"/>
        </w:rPr>
      </w:pPr>
      <w:r>
        <w:rPr>
          <w:rFonts w:hint="eastAsia" w:ascii="仿宋_GB2312" w:hAnsi="黑体" w:eastAsia="仿宋_GB2312" w:cs="黑体"/>
          <w:b/>
          <w:bCs/>
          <w:sz w:val="32"/>
          <w:szCs w:val="32"/>
          <w:lang w:val="en-US" w:eastAsia="zh-CN"/>
        </w:rPr>
        <w:t>5</w:t>
      </w:r>
      <w:r>
        <w:rPr>
          <w:rFonts w:hint="eastAsia" w:ascii="仿宋_GB2312" w:hAnsi="黑体" w:eastAsia="仿宋_GB2312" w:cs="黑体"/>
          <w:b/>
          <w:bCs/>
          <w:sz w:val="32"/>
          <w:szCs w:val="32"/>
        </w:rPr>
        <w:t>.执行进度</w:t>
      </w:r>
      <w:r>
        <w:rPr>
          <w:rFonts w:hint="eastAsia" w:ascii="仿宋_GB2312" w:hAnsi="黑体" w:eastAsia="仿宋_GB2312" w:cs="黑体"/>
          <w:sz w:val="32"/>
          <w:szCs w:val="32"/>
        </w:rPr>
        <w:t>​</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为加快预算执行进度，每月对各项目预算执行进度进行统计分析，对进度滞后的项目</w:t>
      </w:r>
      <w:r>
        <w:rPr>
          <w:rFonts w:hint="eastAsia" w:ascii="仿宋_GB2312" w:hAnsi="黑体" w:eastAsia="仿宋_GB2312" w:cs="黑体"/>
          <w:sz w:val="32"/>
          <w:szCs w:val="32"/>
          <w:lang w:val="en-US" w:eastAsia="zh-CN"/>
        </w:rPr>
        <w:t>深入</w:t>
      </w:r>
      <w:r>
        <w:rPr>
          <w:rFonts w:hint="eastAsia" w:ascii="仿宋_GB2312" w:hAnsi="黑体" w:eastAsia="仿宋_GB2312" w:cs="黑体"/>
          <w:sz w:val="32"/>
          <w:szCs w:val="32"/>
        </w:rPr>
        <w:t>现场了解情况，协调解决执行过程中存在的问题。截至期末，部门整体预算执行进度</w:t>
      </w:r>
      <w:r>
        <w:rPr>
          <w:rFonts w:hint="eastAsia" w:ascii="仿宋_GB2312" w:hAnsi="黑体" w:eastAsia="仿宋_GB2312" w:cs="黑体"/>
          <w:sz w:val="32"/>
          <w:szCs w:val="32"/>
          <w:lang w:val="en-US" w:eastAsia="zh-CN"/>
        </w:rPr>
        <w:t>达到了项目建设时序进度，</w:t>
      </w:r>
      <w:r>
        <w:rPr>
          <w:rFonts w:hint="eastAsia" w:ascii="仿宋_GB2312" w:hAnsi="黑体" w:eastAsia="仿宋_GB2312" w:cs="黑体"/>
          <w:sz w:val="32"/>
          <w:szCs w:val="32"/>
        </w:rPr>
        <w:t>有效保障</w:t>
      </w:r>
      <w:bookmarkStart w:id="0" w:name="_GoBack"/>
      <w:bookmarkEnd w:id="0"/>
      <w:r>
        <w:rPr>
          <w:rFonts w:hint="eastAsia" w:ascii="仿宋_GB2312" w:hAnsi="黑体" w:eastAsia="仿宋_GB2312" w:cs="黑体"/>
          <w:sz w:val="32"/>
          <w:szCs w:val="32"/>
        </w:rPr>
        <w:t>民生工作的及时落地。​</w:t>
      </w:r>
      <w:r>
        <w:rPr>
          <w:rFonts w:hint="eastAsia" w:ascii="仿宋_GB2312" w:hAnsi="黑体" w:eastAsia="仿宋_GB2312" w:cs="黑体"/>
          <w:sz w:val="32"/>
          <w:szCs w:val="32"/>
          <w:lang w:val="en-US" w:eastAsia="zh-CN"/>
        </w:rPr>
        <w:t xml:space="preserve">  </w:t>
      </w:r>
      <w:r>
        <w:rPr>
          <w:rFonts w:hint="eastAsia" w:ascii="仿宋_GB2312" w:hAnsi="黑体" w:eastAsia="仿宋_GB2312" w:cs="黑体"/>
          <w:b/>
          <w:bCs/>
          <w:sz w:val="32"/>
          <w:szCs w:val="32"/>
          <w:lang w:val="en-US" w:eastAsia="zh-CN"/>
        </w:rPr>
        <w:t>6</w:t>
      </w:r>
      <w:r>
        <w:rPr>
          <w:rFonts w:hint="eastAsia" w:ascii="仿宋_GB2312" w:hAnsi="黑体" w:eastAsia="仿宋_GB2312" w:cs="黑体"/>
          <w:b/>
          <w:bCs/>
          <w:sz w:val="32"/>
          <w:szCs w:val="32"/>
        </w:rPr>
        <w:t>.预算完成情况</w:t>
      </w:r>
      <w:r>
        <w:rPr>
          <w:rFonts w:hint="eastAsia" w:ascii="仿宋_GB2312" w:hAnsi="黑体" w:eastAsia="仿宋_GB2312" w:cs="黑体"/>
          <w:sz w:val="32"/>
          <w:szCs w:val="32"/>
        </w:rPr>
        <w:t>​</w:t>
      </w:r>
    </w:p>
    <w:p>
      <w:pPr>
        <w:spacing w:line="580" w:lineRule="exact"/>
        <w:ind w:firstLine="640" w:firstLineChars="200"/>
        <w:rPr>
          <w:rFonts w:hint="default" w:ascii="仿宋_GB2312" w:hAnsi="黑体" w:eastAsia="仿宋_GB2312" w:cs="黑体"/>
          <w:sz w:val="32"/>
          <w:szCs w:val="32"/>
          <w:lang w:val="en-US" w:eastAsia="zh-CN"/>
        </w:rPr>
      </w:pPr>
      <w:r>
        <w:rPr>
          <w:rFonts w:hint="eastAsia" w:ascii="仿宋_GB2312" w:hAnsi="黑体" w:eastAsia="仿宋_GB2312" w:cs="黑体"/>
          <w:sz w:val="32"/>
          <w:szCs w:val="32"/>
        </w:rPr>
        <w:t>本年度部门预算总收入</w:t>
      </w:r>
      <w:r>
        <w:rPr>
          <w:rFonts w:hint="eastAsia" w:ascii="仿宋_GB2312" w:hAnsi="黑体" w:eastAsia="仿宋_GB2312" w:cs="黑体"/>
          <w:sz w:val="32"/>
          <w:szCs w:val="32"/>
          <w:lang w:val="en-US" w:eastAsia="zh-CN"/>
        </w:rPr>
        <w:t>18923.63</w:t>
      </w:r>
      <w:r>
        <w:rPr>
          <w:rFonts w:hint="eastAsia" w:ascii="仿宋_GB2312" w:hAnsi="黑体" w:eastAsia="仿宋_GB2312" w:cs="黑体"/>
          <w:sz w:val="32"/>
          <w:szCs w:val="32"/>
        </w:rPr>
        <w:t>万元，总支出</w:t>
      </w:r>
      <w:r>
        <w:rPr>
          <w:rFonts w:hint="eastAsia" w:ascii="仿宋_GB2312" w:hAnsi="黑体" w:eastAsia="仿宋_GB2312" w:cs="黑体"/>
          <w:sz w:val="32"/>
          <w:szCs w:val="32"/>
          <w:lang w:val="en-US" w:eastAsia="zh-CN"/>
        </w:rPr>
        <w:t>18923.63</w:t>
      </w:r>
      <w:r>
        <w:rPr>
          <w:rFonts w:hint="eastAsia" w:ascii="仿宋_GB2312" w:hAnsi="黑体" w:eastAsia="仿宋_GB2312" w:cs="黑体"/>
          <w:sz w:val="32"/>
          <w:szCs w:val="32"/>
        </w:rPr>
        <w:t>万元，预算完成率为</w:t>
      </w:r>
      <w:r>
        <w:rPr>
          <w:rFonts w:hint="eastAsia" w:ascii="仿宋_GB2312" w:hAnsi="黑体" w:eastAsia="仿宋_GB2312" w:cs="黑体"/>
          <w:sz w:val="32"/>
          <w:szCs w:val="32"/>
          <w:lang w:val="en-US" w:eastAsia="zh-CN"/>
        </w:rPr>
        <w:t>100</w:t>
      </w:r>
      <w:r>
        <w:rPr>
          <w:rFonts w:hint="eastAsia" w:ascii="仿宋_GB2312" w:hAnsi="黑体" w:eastAsia="仿宋_GB2312" w:cs="黑体"/>
          <w:sz w:val="32"/>
          <w:szCs w:val="32"/>
        </w:rPr>
        <w:t>%。其中，基本支出完成</w:t>
      </w:r>
      <w:r>
        <w:rPr>
          <w:rFonts w:hint="eastAsia" w:ascii="仿宋_GB2312" w:hAnsi="黑体" w:eastAsia="仿宋_GB2312" w:cs="黑体"/>
          <w:sz w:val="32"/>
          <w:szCs w:val="32"/>
          <w:lang w:val="en-US" w:eastAsia="zh-CN"/>
        </w:rPr>
        <w:t>978.51</w:t>
      </w:r>
      <w:r>
        <w:rPr>
          <w:rFonts w:hint="eastAsia" w:ascii="仿宋_GB2312" w:hAnsi="黑体" w:eastAsia="仿宋_GB2312" w:cs="黑体"/>
          <w:sz w:val="32"/>
          <w:szCs w:val="32"/>
        </w:rPr>
        <w:t>万元，完成</w:t>
      </w:r>
      <w:r>
        <w:rPr>
          <w:rFonts w:hint="eastAsia" w:ascii="仿宋_GB2312" w:hAnsi="黑体" w:eastAsia="仿宋_GB2312" w:cs="黑体"/>
          <w:sz w:val="32"/>
          <w:szCs w:val="32"/>
          <w:lang w:eastAsia="zh-CN"/>
        </w:rPr>
        <w:t>总支出</w:t>
      </w:r>
      <w:r>
        <w:rPr>
          <w:rFonts w:hint="eastAsia" w:ascii="仿宋_GB2312" w:hAnsi="黑体" w:eastAsia="仿宋_GB2312" w:cs="黑体"/>
          <w:sz w:val="32"/>
          <w:szCs w:val="32"/>
        </w:rPr>
        <w:t>的</w:t>
      </w:r>
      <w:r>
        <w:rPr>
          <w:rFonts w:hint="eastAsia" w:ascii="仿宋_GB2312" w:hAnsi="黑体" w:eastAsia="仿宋_GB2312" w:cs="黑体"/>
          <w:sz w:val="32"/>
          <w:szCs w:val="32"/>
          <w:lang w:val="en-US" w:eastAsia="zh-CN"/>
        </w:rPr>
        <w:t>5.17</w:t>
      </w:r>
      <w:r>
        <w:rPr>
          <w:rFonts w:hint="eastAsia" w:ascii="仿宋_GB2312" w:hAnsi="黑体" w:eastAsia="仿宋_GB2312" w:cs="黑体"/>
          <w:sz w:val="32"/>
          <w:szCs w:val="32"/>
        </w:rPr>
        <w:t>%，主要用于人员工资、办公经费等日常开支，保障了部门正常运转</w:t>
      </w:r>
      <w:r>
        <w:rPr>
          <w:rFonts w:hint="eastAsia" w:ascii="仿宋_GB2312" w:hAnsi="黑体" w:eastAsia="仿宋_GB2312" w:cs="黑体"/>
          <w:sz w:val="32"/>
          <w:szCs w:val="32"/>
          <w:lang w:eastAsia="zh-CN"/>
        </w:rPr>
        <w:t>，项目支出</w:t>
      </w:r>
      <w:r>
        <w:rPr>
          <w:rFonts w:hint="eastAsia" w:ascii="仿宋_GB2312" w:hAnsi="黑体" w:eastAsia="仿宋_GB2312" w:cs="黑体"/>
          <w:sz w:val="32"/>
          <w:szCs w:val="32"/>
          <w:lang w:val="en-US" w:eastAsia="zh-CN"/>
        </w:rPr>
        <w:t>17945.12万元，完成总支出的94.83%。</w:t>
      </w:r>
    </w:p>
    <w:p>
      <w:pPr>
        <w:spacing w:line="580" w:lineRule="exact"/>
        <w:ind w:firstLine="642" w:firstLineChars="200"/>
        <w:rPr>
          <w:rFonts w:hint="eastAsia" w:ascii="仿宋_GB2312" w:hAnsi="黑体" w:eastAsia="仿宋_GB2312" w:cs="黑体"/>
          <w:sz w:val="32"/>
          <w:szCs w:val="32"/>
        </w:rPr>
      </w:pPr>
      <w:r>
        <w:rPr>
          <w:rFonts w:hint="eastAsia" w:ascii="仿宋_GB2312" w:hAnsi="黑体" w:eastAsia="仿宋_GB2312" w:cs="黑体"/>
          <w:b/>
          <w:bCs/>
          <w:sz w:val="32"/>
          <w:szCs w:val="32"/>
          <w:lang w:val="en-US" w:eastAsia="zh-CN"/>
        </w:rPr>
        <w:t>7.</w:t>
      </w:r>
      <w:r>
        <w:rPr>
          <w:rFonts w:hint="eastAsia" w:ascii="仿宋_GB2312" w:hAnsi="黑体" w:eastAsia="仿宋_GB2312" w:cs="黑体"/>
          <w:b/>
          <w:bCs/>
          <w:sz w:val="32"/>
          <w:szCs w:val="32"/>
        </w:rPr>
        <w:t>违规记录</w:t>
      </w:r>
      <w:r>
        <w:rPr>
          <w:rFonts w:hint="eastAsia" w:ascii="仿宋_GB2312" w:hAnsi="黑体" w:eastAsia="仿宋_GB2312" w:cs="黑体"/>
          <w:sz w:val="32"/>
          <w:szCs w:val="32"/>
        </w:rPr>
        <w:t>​</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在预算管理过程中，我</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始终坚持依法依规办事，严格遵守财经纪律。通过加强制度建设、开展廉政教育、强化监督检查等措施，有效防范了违规行为的发生。本年度未出现任何预算管理方面的违规记录。​</w:t>
      </w:r>
    </w:p>
    <w:p>
      <w:pPr>
        <w:spacing w:line="58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（二）专项预算管理。</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专项预算是保障</w:t>
      </w:r>
      <w:r>
        <w:rPr>
          <w:rFonts w:hint="eastAsia" w:ascii="仿宋_GB2312" w:hAnsi="仿宋_GB2312" w:eastAsia="仿宋_GB2312" w:cs="仿宋_GB2312"/>
          <w:b w:val="0"/>
          <w:bCs w:val="0"/>
          <w:sz w:val="32"/>
          <w:szCs w:val="32"/>
          <w:lang w:eastAsia="zh-CN"/>
        </w:rPr>
        <w:t>性</w:t>
      </w:r>
      <w:r>
        <w:rPr>
          <w:rFonts w:hint="eastAsia" w:ascii="仿宋_GB2312" w:hAnsi="仿宋_GB2312" w:eastAsia="仿宋_GB2312" w:cs="仿宋_GB2312"/>
          <w:b w:val="0"/>
          <w:bCs w:val="0"/>
          <w:sz w:val="32"/>
          <w:szCs w:val="32"/>
        </w:rPr>
        <w:t>住房和城乡建设领域重点工作、重大项目实施的重要资金来源。我局高度重视专项预算管理，从项目程序、规划、结果、分配、绩效等多个方面入手，确保专项预算资金发挥最大效益。​</w:t>
      </w:r>
    </w:p>
    <w:p>
      <w:pPr>
        <w:spacing w:line="580" w:lineRule="exact"/>
        <w:ind w:firstLine="642"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1.专项预算项目程序严密</w:t>
      </w:r>
      <w:r>
        <w:rPr>
          <w:rFonts w:hint="eastAsia" w:ascii="仿宋_GB2312" w:hAnsi="仿宋_GB2312" w:eastAsia="仿宋_GB2312" w:cs="仿宋_GB2312"/>
          <w:b w:val="0"/>
          <w:bCs w:val="0"/>
          <w:sz w:val="32"/>
          <w:szCs w:val="32"/>
        </w:rPr>
        <w:t>​</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我局建立了严格的专项预算项目申报、评审、立项、实施、验收流程。在项目申报阶段，明确申报条件和要求，对申报项目的可行性、必要性、预算合理性进行全面评审；立项阶段，根据评审结果，结合年度工作重点，确定立项项目并公示；实施过程中，加强对项目进度、质量和资金使用的监督；项目完成后，组织专业人员进行验收，验收合格后方可办理资金结算。通过严密的程序，有效避免了 “人情项目”“关系项目” 的出现，确保专项预算项目立项科学、实施规范。从专项预算项目实施结果来看，大部分项目均达到了预期效果，结果与规划目标高度一致。例如，老旧小区改造专项项目，按照规划目标完成了</w:t>
      </w:r>
      <w:r>
        <w:rPr>
          <w:rFonts w:hint="eastAsia" w:ascii="仿宋_GB2312" w:hAnsi="仿宋_GB2312" w:eastAsia="仿宋_GB2312" w:cs="仿宋_GB2312"/>
          <w:b w:val="0"/>
          <w:bCs w:val="0"/>
          <w:sz w:val="32"/>
          <w:szCs w:val="32"/>
          <w:lang w:val="en-US" w:eastAsia="zh-CN"/>
        </w:rPr>
        <w:t>4</w:t>
      </w:r>
      <w:r>
        <w:rPr>
          <w:rFonts w:hint="eastAsia" w:ascii="仿宋_GB2312" w:hAnsi="仿宋_GB2312" w:eastAsia="仿宋_GB2312" w:cs="仿宋_GB2312"/>
          <w:b w:val="0"/>
          <w:bCs w:val="0"/>
          <w:sz w:val="32"/>
          <w:szCs w:val="32"/>
        </w:rPr>
        <w:t xml:space="preserve">个老旧小区的改造，改造内容包括道路修缮、管网更新、绿化提升、停车位增设等，改造后小区环境明显改善，居民满意度达到 </w:t>
      </w:r>
      <w:r>
        <w:rPr>
          <w:rFonts w:hint="eastAsia" w:ascii="仿宋_GB2312" w:hAnsi="仿宋_GB2312" w:eastAsia="仿宋_GB2312" w:cs="仿宋_GB2312"/>
          <w:b w:val="0"/>
          <w:bCs w:val="0"/>
          <w:sz w:val="32"/>
          <w:szCs w:val="32"/>
          <w:lang w:val="en-US" w:eastAsia="zh-CN"/>
        </w:rPr>
        <w:t>98</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符合 “改善民生、提升城市形象” 的规划目标。</w:t>
      </w:r>
    </w:p>
    <w:p>
      <w:pPr>
        <w:spacing w:line="580" w:lineRule="exact"/>
        <w:ind w:firstLine="642" w:firstLineChars="200"/>
        <w:rPr>
          <w:rFonts w:hint="eastAsia" w:ascii="仿宋_GB2312" w:hAnsi="仿宋_GB2312" w:eastAsia="仿宋_GB2312" w:cs="仿宋_GB2312"/>
          <w:b w:val="0"/>
          <w:bCs w:val="0"/>
          <w:sz w:val="32"/>
          <w:szCs w:val="32"/>
        </w:rPr>
      </w:pPr>
      <w:r>
        <w:rPr>
          <w:rFonts w:hint="eastAsia" w:ascii="楷体_GB2312" w:hAnsi="楷体_GB2312" w:eastAsia="楷体_GB2312" w:cs="楷体_GB2312"/>
          <w:b/>
          <w:bCs/>
          <w:sz w:val="32"/>
          <w:szCs w:val="32"/>
          <w:lang w:val="en-US" w:eastAsia="zh-CN"/>
        </w:rPr>
        <w:t>2.</w:t>
      </w:r>
      <w:r>
        <w:rPr>
          <w:rFonts w:hint="eastAsia" w:ascii="楷体_GB2312" w:hAnsi="楷体_GB2312" w:eastAsia="楷体_GB2312" w:cs="楷体_GB2312"/>
          <w:b/>
          <w:bCs/>
          <w:sz w:val="32"/>
          <w:szCs w:val="32"/>
        </w:rPr>
        <w:t>分配科学</w:t>
      </w:r>
      <w:r>
        <w:rPr>
          <w:rFonts w:hint="eastAsia" w:ascii="仿宋_GB2312" w:hAnsi="仿宋_GB2312" w:eastAsia="仿宋_GB2312" w:cs="仿宋_GB2312"/>
          <w:b w:val="0"/>
          <w:bCs w:val="0"/>
          <w:sz w:val="32"/>
          <w:szCs w:val="32"/>
        </w:rPr>
        <w:t>​</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为确保专项预算资金分配科学合理，我局建立了 “因素法 + 项目法” 相结合的分配机制。在资金分配过程中，综合考虑区域经济发展水平、项目需求迫切程度、前期工作准备情况、绩效评价结果等因素。例如，在农村危房改造专项资金分配中，重点向危房数量较多的地区倾斜，同时参考上一年度该地区危房改造项目的绩效评价结果，绩效评价优秀的地区适当增加资金分配额度；在城市基础设施建设专项资金分配中，根据项目的重要性、紧迫性和可行性，采用项目法进行分配，确保资金向重点项目、急需项目倾斜。本年度专项预算资金分配过程中，未出现 “平均分配”“盲目分配” 的情况，资金分配的科学性和公平性得到了各相关单位的认可。​</w:t>
      </w:r>
    </w:p>
    <w:p>
      <w:pPr>
        <w:spacing w:line="580" w:lineRule="exact"/>
        <w:ind w:firstLine="642" w:firstLineChars="200"/>
        <w:rPr>
          <w:rFonts w:hint="eastAsia" w:ascii="仿宋_GB2312" w:hAnsi="仿宋_GB2312" w:eastAsia="仿宋_GB2312" w:cs="仿宋_GB2312"/>
          <w:b w:val="0"/>
          <w:bCs w:val="0"/>
          <w:sz w:val="32"/>
          <w:szCs w:val="32"/>
        </w:rPr>
      </w:pPr>
      <w:r>
        <w:rPr>
          <w:rFonts w:hint="eastAsia" w:ascii="楷体_GB2312" w:hAnsi="楷体_GB2312" w:eastAsia="楷体_GB2312" w:cs="楷体_GB2312"/>
          <w:b/>
          <w:bCs/>
          <w:sz w:val="32"/>
          <w:szCs w:val="32"/>
          <w:lang w:val="en-US" w:eastAsia="zh-CN"/>
        </w:rPr>
        <w:t>3.</w:t>
      </w:r>
      <w:r>
        <w:rPr>
          <w:rFonts w:hint="eastAsia" w:ascii="楷体_GB2312" w:hAnsi="楷体_GB2312" w:eastAsia="楷体_GB2312" w:cs="楷体_GB2312"/>
          <w:b/>
          <w:bCs/>
          <w:sz w:val="32"/>
          <w:szCs w:val="32"/>
        </w:rPr>
        <w:t>专项预算绩效目标完成</w:t>
      </w:r>
      <w:r>
        <w:rPr>
          <w:rFonts w:hint="eastAsia" w:ascii="仿宋_GB2312" w:hAnsi="仿宋_GB2312" w:eastAsia="仿宋_GB2312" w:cs="仿宋_GB2312"/>
          <w:b w:val="0"/>
          <w:bCs w:val="0"/>
          <w:sz w:val="32"/>
          <w:szCs w:val="32"/>
        </w:rPr>
        <w:t>​</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专项预算绩效目标完成情况总体良好。截至期末，</w:t>
      </w:r>
      <w:r>
        <w:rPr>
          <w:rFonts w:hint="eastAsia" w:ascii="仿宋_GB2312" w:hAnsi="仿宋_GB2312" w:eastAsia="仿宋_GB2312" w:cs="仿宋_GB2312"/>
          <w:b w:val="0"/>
          <w:bCs w:val="0"/>
          <w:sz w:val="32"/>
          <w:szCs w:val="32"/>
          <w:lang w:val="en-US" w:eastAsia="zh-CN"/>
        </w:rPr>
        <w:t>18</w:t>
      </w:r>
      <w:r>
        <w:rPr>
          <w:rFonts w:hint="eastAsia" w:ascii="仿宋_GB2312" w:hAnsi="仿宋_GB2312" w:eastAsia="仿宋_GB2312" w:cs="仿宋_GB2312"/>
          <w:b w:val="0"/>
          <w:bCs w:val="0"/>
          <w:sz w:val="32"/>
          <w:szCs w:val="32"/>
        </w:rPr>
        <w:t>个专项预算项目中，有</w:t>
      </w:r>
      <w:r>
        <w:rPr>
          <w:rFonts w:hint="eastAsia" w:ascii="仿宋_GB2312" w:hAnsi="仿宋_GB2312" w:eastAsia="仿宋_GB2312" w:cs="仿宋_GB2312"/>
          <w:b w:val="0"/>
          <w:bCs w:val="0"/>
          <w:sz w:val="32"/>
          <w:szCs w:val="32"/>
          <w:lang w:val="en-US" w:eastAsia="zh-CN"/>
        </w:rPr>
        <w:t>18个</w:t>
      </w:r>
      <w:r>
        <w:rPr>
          <w:rFonts w:hint="eastAsia" w:ascii="仿宋_GB2312" w:hAnsi="仿宋_GB2312" w:eastAsia="仿宋_GB2312" w:cs="仿宋_GB2312"/>
          <w:b w:val="0"/>
          <w:bCs w:val="0"/>
          <w:sz w:val="32"/>
          <w:szCs w:val="32"/>
        </w:rPr>
        <w:t xml:space="preserve">项目完成了绩效目标，完成率达到 </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pPr>
        <w:spacing w:line="58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val="en-US" w:eastAsia="zh-CN"/>
        </w:rPr>
        <w:t>4</w:t>
      </w:r>
      <w:r>
        <w:rPr>
          <w:rFonts w:hint="eastAsia" w:ascii="楷体_GB2312" w:hAnsi="楷体_GB2312" w:eastAsia="楷体_GB2312" w:cs="楷体_GB2312"/>
          <w:b/>
          <w:bCs/>
          <w:sz w:val="32"/>
          <w:szCs w:val="32"/>
        </w:rPr>
        <w:t>.实施绩效​</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专项预算项目实施绩效显著，在推动住房和城乡建设事业发展、改善民生、促进经济增长等方面发挥了重要作用。在民生改善方面，通过老旧小区改造等专项项目，改善了居民的居住条件；在城市功能提升方面，城市道路、桥梁、污水处理厂等基础设施专项项目的实施，提高了城市承载能力和运行效率。​</w:t>
      </w:r>
    </w:p>
    <w:p>
      <w:pPr>
        <w:spacing w:line="580" w:lineRule="exact"/>
        <w:ind w:firstLine="642" w:firstLineChars="200"/>
        <w:rPr>
          <w:rFonts w:hint="eastAsia" w:ascii="仿宋_GB2312" w:hAnsi="仿宋_GB2312" w:eastAsia="仿宋_GB2312" w:cs="仿宋_GB2312"/>
          <w:b w:val="0"/>
          <w:bCs w:val="0"/>
          <w:sz w:val="32"/>
          <w:szCs w:val="32"/>
        </w:rPr>
      </w:pPr>
      <w:r>
        <w:rPr>
          <w:rFonts w:hint="eastAsia" w:ascii="楷体_GB2312" w:hAnsi="楷体_GB2312" w:eastAsia="楷体_GB2312" w:cs="楷体_GB2312"/>
          <w:b/>
          <w:bCs/>
          <w:sz w:val="32"/>
          <w:szCs w:val="32"/>
          <w:lang w:val="en-US" w:eastAsia="zh-CN"/>
        </w:rPr>
        <w:t>5</w:t>
      </w:r>
      <w:r>
        <w:rPr>
          <w:rFonts w:hint="eastAsia" w:ascii="楷体_GB2312" w:hAnsi="楷体_GB2312" w:eastAsia="楷体_GB2312" w:cs="楷体_GB2312"/>
          <w:b/>
          <w:bCs/>
          <w:sz w:val="32"/>
          <w:szCs w:val="32"/>
        </w:rPr>
        <w:t>.违规记录</w:t>
      </w:r>
      <w:r>
        <w:rPr>
          <w:rFonts w:hint="eastAsia" w:ascii="仿宋_GB2312" w:hAnsi="仿宋_GB2312" w:eastAsia="仿宋_GB2312" w:cs="仿宋_GB2312"/>
          <w:b w:val="0"/>
          <w:bCs w:val="0"/>
          <w:sz w:val="32"/>
          <w:szCs w:val="32"/>
        </w:rPr>
        <w:t>​</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为加强专项预算资金管理，防范违规行为，我局建立了全方位的监督检查机制。定期组织专项预算资金使用情况检查，联合财政、审计等部门开展专项督查，对发现的问题及时督促整改。同时，加强对项目实施单位的廉政教育，提高工作人员的合规意识。本年度未发现专项预算管理方面的违规行为，如虚报冒领、截留挪用专项资金等情况，专项预算资金使用规范、安全。</w:t>
      </w:r>
    </w:p>
    <w:p>
      <w:pPr>
        <w:spacing w:line="58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（三）结果应用情况。</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预算绩效管理结果应用是预算绩效管理的 “最后一公里”，直接关系到预算绩效管理的成效。我局高度重视结果应用工作，将评价结果与预算编制、项目管理、整改提升等相结合，充分发挥评价结果的导向作用。​</w:t>
      </w:r>
    </w:p>
    <w:p>
      <w:pPr>
        <w:spacing w:line="580" w:lineRule="exact"/>
        <w:ind w:firstLine="642" w:firstLineChars="200"/>
        <w:rPr>
          <w:rFonts w:hint="eastAsia" w:ascii="仿宋_GB2312" w:hAnsi="黑体" w:eastAsia="仿宋_GB2312" w:cs="黑体"/>
          <w:sz w:val="32"/>
          <w:szCs w:val="32"/>
        </w:rPr>
      </w:pPr>
      <w:r>
        <w:rPr>
          <w:rFonts w:hint="eastAsia" w:ascii="仿宋_GB2312" w:hAnsi="黑体" w:eastAsia="仿宋_GB2312" w:cs="黑体"/>
          <w:b/>
          <w:bCs/>
          <w:sz w:val="32"/>
          <w:szCs w:val="32"/>
        </w:rPr>
        <w:t>1.部门自评质量</w:t>
      </w:r>
      <w:r>
        <w:rPr>
          <w:rFonts w:hint="eastAsia" w:ascii="仿宋_GB2312" w:hAnsi="黑体" w:eastAsia="仿宋_GB2312" w:cs="黑体"/>
          <w:sz w:val="32"/>
          <w:szCs w:val="32"/>
        </w:rPr>
        <w:t>​</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我</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 xml:space="preserve">建立了规范的部门自评工作机制，明确自评主体、自评内容、自评方法和自评时限。在自评过程中，要求各科室、各项目实施单位严格按照绩效评价指标体系，对预算项目的实施过程、绩效目标完成情况、资金使用效率等进行全面、客观、真实的评价。同时，引入第三方机构对部门自评工作进行指导和审核，提高自评质量。本年度部门自评报告合格率达到 </w:t>
      </w:r>
      <w:r>
        <w:rPr>
          <w:rFonts w:hint="eastAsia" w:ascii="仿宋_GB2312" w:hAnsi="黑体" w:eastAsia="仿宋_GB2312" w:cs="黑体"/>
          <w:sz w:val="32"/>
          <w:szCs w:val="32"/>
          <w:lang w:val="en-US" w:eastAsia="zh-CN"/>
        </w:rPr>
        <w:t>100</w:t>
      </w:r>
      <w:r>
        <w:rPr>
          <w:rFonts w:hint="eastAsia" w:ascii="仿宋_GB2312" w:hAnsi="黑体" w:eastAsia="仿宋_GB2312" w:cs="黑体"/>
          <w:sz w:val="32"/>
          <w:szCs w:val="32"/>
        </w:rPr>
        <w:t>%</w:t>
      </w:r>
      <w:r>
        <w:rPr>
          <w:rFonts w:hint="eastAsia" w:ascii="仿宋_GB2312" w:hAnsi="黑体" w:eastAsia="仿宋_GB2312" w:cs="黑体"/>
          <w:sz w:val="32"/>
          <w:szCs w:val="32"/>
          <w:lang w:eastAsia="zh-CN"/>
        </w:rPr>
        <w:t>，自评得分</w:t>
      </w:r>
      <w:r>
        <w:rPr>
          <w:rFonts w:hint="eastAsia" w:ascii="仿宋_GB2312" w:hAnsi="黑体" w:eastAsia="仿宋_GB2312" w:cs="黑体"/>
          <w:sz w:val="32"/>
          <w:szCs w:val="32"/>
          <w:lang w:val="en-US" w:eastAsia="zh-CN"/>
        </w:rPr>
        <w:t>90.42分。</w:t>
      </w:r>
      <w:r>
        <w:rPr>
          <w:rFonts w:hint="eastAsia" w:ascii="仿宋_GB2312" w:hAnsi="黑体" w:eastAsia="仿宋_GB2312" w:cs="黑体"/>
          <w:sz w:val="32"/>
          <w:szCs w:val="32"/>
        </w:rPr>
        <w:t>自评结果真实反映了预算项目的实际情况，为后续结果应用奠定了坚实基础。</w:t>
      </w:r>
    </w:p>
    <w:p>
      <w:pPr>
        <w:spacing w:line="580" w:lineRule="exact"/>
        <w:ind w:firstLine="642" w:firstLineChars="200"/>
        <w:rPr>
          <w:rFonts w:hint="eastAsia" w:ascii="仿宋_GB2312" w:hAnsi="黑体" w:eastAsia="仿宋_GB2312" w:cs="黑体"/>
          <w:b/>
          <w:bCs/>
          <w:sz w:val="32"/>
          <w:szCs w:val="32"/>
        </w:rPr>
      </w:pPr>
      <w:r>
        <w:rPr>
          <w:rFonts w:hint="eastAsia" w:ascii="仿宋_GB2312" w:hAnsi="黑体" w:eastAsia="仿宋_GB2312" w:cs="黑体"/>
          <w:b/>
          <w:bCs/>
          <w:sz w:val="32"/>
          <w:szCs w:val="32"/>
        </w:rPr>
        <w:t>2.绩效目标公开和自评公开​</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为增强预算绩效管理的透明度，我</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按照相关规定，及时公开绩效目标和自评结果。在预算编制阶段，将部门整体绩效目标和各项目绩效目标在政府门户网站进行公开，接受社会监督；在预算执行结束后，将部门自评报告和重点项目绩效评价报告在规定时间内公开，公开内容包括项目基本情况、绩效目标完成情况、存在的问题及整改措施等。通过公开，广泛接受社会各界监督，提高了部门预算绩效管理的公信力。​</w:t>
      </w:r>
    </w:p>
    <w:p>
      <w:pPr>
        <w:spacing w:line="580" w:lineRule="exact"/>
        <w:ind w:firstLine="642" w:firstLineChars="200"/>
        <w:rPr>
          <w:rFonts w:hint="eastAsia" w:ascii="仿宋_GB2312" w:hAnsi="黑体" w:eastAsia="仿宋_GB2312" w:cs="黑体"/>
          <w:b/>
          <w:bCs/>
          <w:sz w:val="32"/>
          <w:szCs w:val="32"/>
        </w:rPr>
      </w:pPr>
      <w:r>
        <w:rPr>
          <w:rFonts w:hint="eastAsia" w:ascii="仿宋_GB2312" w:hAnsi="黑体" w:eastAsia="仿宋_GB2312" w:cs="黑体"/>
          <w:b/>
          <w:bCs/>
          <w:sz w:val="32"/>
          <w:szCs w:val="32"/>
        </w:rPr>
        <w:t>3.评价结果整改​</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对于绩效评价中发现的问题，我</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建立了 “问题清单 + 整改台账 + 销号管理” 的整改机制。针对评价报告中指出的问题，及时组织相关科室和项目实施单位制定整改方案，明确整改责任人、整改措施和整改时限；建立整改台账，对整改情况进行跟踪记录，确保问题整改到位。​</w:t>
      </w:r>
    </w:p>
    <w:p>
      <w:pPr>
        <w:spacing w:line="580" w:lineRule="exact"/>
        <w:ind w:firstLine="642" w:firstLineChars="200"/>
        <w:rPr>
          <w:rFonts w:hint="eastAsia" w:ascii="仿宋_GB2312" w:hAnsi="黑体" w:eastAsia="仿宋_GB2312" w:cs="黑体"/>
          <w:sz w:val="32"/>
          <w:szCs w:val="32"/>
        </w:rPr>
      </w:pPr>
      <w:r>
        <w:rPr>
          <w:rFonts w:hint="eastAsia" w:ascii="仿宋_GB2312" w:hAnsi="黑体" w:eastAsia="仿宋_GB2312" w:cs="黑体"/>
          <w:b/>
          <w:bCs/>
          <w:sz w:val="32"/>
          <w:szCs w:val="32"/>
        </w:rPr>
        <w:t>4.应用结果反馈</w:t>
      </w:r>
      <w:r>
        <w:rPr>
          <w:rFonts w:hint="eastAsia" w:ascii="仿宋_GB2312" w:hAnsi="黑体" w:eastAsia="仿宋_GB2312" w:cs="黑体"/>
          <w:sz w:val="32"/>
          <w:szCs w:val="32"/>
        </w:rPr>
        <w:t>​</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我</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建立了完善的应用结果反馈机制，将绩效评价结果及时反馈给相关科室、项目实施单位以及上级主管部门。反馈内容包括评价结果、存在的问题、整改要求以及改进建议等。同时，将绩效评价结果作为预算编制、项目立项的重要依据。在预算编制方面，对绩效评价优秀的项目，在后续预算安排中优先给予支持；对绩效评价较差的项目，减少预算额度。通过结果反馈和应用，有效提升了部门预算管理水平和工作效率。</w:t>
      </w:r>
    </w:p>
    <w:p>
      <w:pPr>
        <w:spacing w:line="58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四、评价结论及建议</w:t>
      </w:r>
    </w:p>
    <w:p>
      <w:pPr>
        <w:spacing w:line="58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（一）评价结论</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w:t>
      </w:r>
      <w:r>
        <w:rPr>
          <w:rFonts w:hint="eastAsia" w:ascii="仿宋_GB2312" w:hAnsi="仿宋_GB2312" w:eastAsia="仿宋_GB2312" w:cs="仿宋_GB2312"/>
          <w:sz w:val="32"/>
          <w:szCs w:val="32"/>
          <w:lang w:eastAsia="zh-CN"/>
        </w:rPr>
        <w:t>过对黑水县建筑工程质量安全监督站</w:t>
      </w:r>
      <w:r>
        <w:rPr>
          <w:rFonts w:hint="eastAsia" w:ascii="仿宋_GB2312" w:hAnsi="仿宋_GB2312" w:eastAsia="仿宋_GB2312" w:cs="仿宋_GB2312"/>
          <w:sz w:val="32"/>
          <w:szCs w:val="32"/>
        </w:rPr>
        <w:t>部门整体预算绩效的全面评估，本</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在预算执行规范性、项目实施成效及社会效益提升方面取得了显著成果。202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 xml:space="preserve">年度预算资金执行率达到 </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%，同时，预算管理制度不断完善，绩效监控机制逐步健全，为财政资金的高效使用提供了有力保障。但在预算编制精准度、跨部门协同效率及部分项目后期运维管理等方面仍存在优化空间。</w:t>
      </w:r>
    </w:p>
    <w:p>
      <w:pPr>
        <w:spacing w:line="58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（二）改进建议</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强化预算编制科学性：建立数据共享机制，结合历史执行数据与行业发展趋势，细化项目支出标准，提高预算编制的精准度和前瞻性。</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优化项目管理流程：推行全周期绩效管理，在项目立项、实施、验收各环节设置量化考核指标，引入第三方评估机构开展动态监督，确保项目执行质量。</w:t>
      </w:r>
    </w:p>
    <w:p>
      <w:pPr>
        <w:spacing w:line="580" w:lineRule="exact"/>
        <w:ind w:firstLine="640" w:firstLineChars="200"/>
        <w:rPr>
          <w:rFonts w:ascii="仿宋_GB2312" w:hAnsi="仿宋_GB2312" w:eastAsia="仿宋_GB2312" w:cs="仿宋_GB2312"/>
          <w:sz w:val="32"/>
          <w:szCs w:val="32"/>
        </w:rPr>
      </w:pPr>
    </w:p>
    <w:p>
      <w:pPr>
        <w:widowControl/>
        <w:jc w:val="left"/>
        <w:rPr>
          <w:rFonts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文泉驿微米黑">
    <w:panose1 w:val="020B0606030804020204"/>
    <w:charset w:val="86"/>
    <w:family w:val="auto"/>
    <w:pitch w:val="default"/>
    <w:sig w:usb0="E10002EF" w:usb1="6BDFFCFB" w:usb2="00800036" w:usb3="00000000" w:csb0="603E019F" w:csb1="DFD7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AAAAA3"/>
    <w:multiLevelType w:val="singleLevel"/>
    <w:tmpl w:val="98AAAAA3"/>
    <w:lvl w:ilvl="0" w:tentative="0">
      <w:start w:val="2"/>
      <w:numFmt w:val="chineseCounting"/>
      <w:suff w:val="nothing"/>
      <w:lvlText w:val="（%1）"/>
      <w:lvlJc w:val="left"/>
      <w:rPr>
        <w:rFonts w:hint="eastAsia"/>
      </w:rPr>
    </w:lvl>
  </w:abstractNum>
  <w:abstractNum w:abstractNumId="1">
    <w:nsid w:val="EA4D58C6"/>
    <w:multiLevelType w:val="singleLevel"/>
    <w:tmpl w:val="EA4D58C6"/>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4YmFkMmRiOTVkZDYxZmUzNDY5YTNjNWEzNDk5ZDQifQ=="/>
  </w:docVars>
  <w:rsids>
    <w:rsidRoot w:val="00491B22"/>
    <w:rsid w:val="00291808"/>
    <w:rsid w:val="00491B22"/>
    <w:rsid w:val="0052390C"/>
    <w:rsid w:val="00FA64D8"/>
    <w:rsid w:val="2FED1D84"/>
    <w:rsid w:val="34EB1F43"/>
    <w:rsid w:val="36435EC2"/>
    <w:rsid w:val="43EB7E23"/>
    <w:rsid w:val="4DD97D2F"/>
    <w:rsid w:val="4EA82603"/>
    <w:rsid w:val="59E78F9D"/>
    <w:rsid w:val="60D032A5"/>
    <w:rsid w:val="68823E8A"/>
    <w:rsid w:val="6DBE6220"/>
    <w:rsid w:val="97FEC219"/>
    <w:rsid w:val="AFFE03DC"/>
    <w:rsid w:val="B4FA61F1"/>
    <w:rsid w:val="D6F787AA"/>
    <w:rsid w:val="E54F1717"/>
    <w:rsid w:val="F4CFB464"/>
    <w:rsid w:val="FFFBEF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2"/>
    <w:qFormat/>
    <w:uiPriority w:val="0"/>
    <w:pPr>
      <w:spacing w:after="120"/>
      <w:ind w:leftChars="200"/>
    </w:pPr>
    <w:rPr>
      <w:rFonts w:ascii="仿宋_GB2312"/>
      <w:szCs w:val="32"/>
    </w:rPr>
  </w:style>
  <w:style w:type="paragraph" w:styleId="4">
    <w:name w:val="Body Text"/>
    <w:basedOn w:val="1"/>
    <w:qFormat/>
    <w:uiPriority w:val="0"/>
    <w:pPr>
      <w:spacing w:after="120"/>
    </w:pPr>
  </w:style>
  <w:style w:type="paragraph" w:styleId="5">
    <w:name w:val="footer"/>
    <w:basedOn w:val="1"/>
    <w:link w:val="11"/>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0"/>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Body Text First Indent"/>
    <w:basedOn w:val="4"/>
    <w:qFormat/>
    <w:uiPriority w:val="0"/>
    <w:pPr>
      <w:ind w:firstLine="664"/>
    </w:pPr>
    <w:rPr>
      <w:rFonts w:ascii="Calibri" w:hAnsi="Calibri" w:eastAsia="宋体" w:cs="Times New Roman"/>
    </w:rPr>
  </w:style>
  <w:style w:type="character" w:customStyle="1" w:styleId="10">
    <w:name w:val="页眉 Char"/>
    <w:basedOn w:val="9"/>
    <w:link w:val="6"/>
    <w:semiHidden/>
    <w:qFormat/>
    <w:uiPriority w:val="99"/>
    <w:rPr>
      <w:sz w:val="18"/>
      <w:szCs w:val="18"/>
    </w:rPr>
  </w:style>
  <w:style w:type="character" w:customStyle="1" w:styleId="11">
    <w:name w:val="页脚 Char"/>
    <w:basedOn w:val="9"/>
    <w:link w:val="5"/>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8</Pages>
  <Words>3805</Words>
  <Characters>3970</Characters>
  <Lines>2</Lines>
  <Paragraphs>1</Paragraphs>
  <TotalTime>7</TotalTime>
  <ScaleCrop>false</ScaleCrop>
  <LinksUpToDate>false</LinksUpToDate>
  <CharactersWithSpaces>4003</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2019-08-20T09:06:00Z</dcterms:created>
  <dc:creator>Sky123.Org</dc:creator>
  <cp:lastModifiedBy>user</cp:lastModifiedBy>
  <dcterms:modified xsi:type="dcterms:W3CDTF">2026-08-27T10:10:32Z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3115989309D741DA945EE44A488D69E1</vt:lpwstr>
  </property>
  <property fmtid="{D5CDD505-2E9C-101B-9397-08002B2CF9AE}" pid="4" name="KSOTemplateDocerSaveRecord">
    <vt:lpwstr>eyJoZGlkIjoiYmE0NGJhNTNkY2M3NjQzYjllOGRmZTQ1Mjc0ZjllODAiLCJ1c2VySWQiOiI1NjcwNTYxOTMifQ==</vt:lpwstr>
  </property>
</Properties>
</file>