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outlineLvl w:val="0"/>
        <w:rPr>
          <w:rFonts w:hint="eastAsia" w:ascii="宋体" w:hAnsi="宋体" w:eastAsia="宋体" w:cs="宋体"/>
          <w:b/>
          <w:bCs w:val="0"/>
          <w:sz w:val="44"/>
          <w:szCs w:val="44"/>
          <w:lang w:eastAsia="zh-CN"/>
        </w:rPr>
      </w:pPr>
      <w:bookmarkStart w:id="0" w:name="_Toc15396616"/>
      <w:r>
        <w:rPr>
          <w:rFonts w:hint="eastAsia" w:ascii="宋体" w:hAnsi="宋体" w:eastAsia="宋体" w:cs="宋体"/>
          <w:b/>
          <w:bCs w:val="0"/>
          <w:sz w:val="44"/>
          <w:szCs w:val="44"/>
          <w:lang w:eastAsia="zh-CN"/>
        </w:rPr>
        <w:t>黑水县住房和城乡建设局（本级）</w:t>
      </w:r>
    </w:p>
    <w:p>
      <w:pPr>
        <w:spacing w:line="600" w:lineRule="exact"/>
        <w:jc w:val="center"/>
        <w:outlineLvl w:val="0"/>
        <w:rPr>
          <w:rFonts w:hint="eastAsia" w:ascii="宋体" w:hAnsi="宋体" w:eastAsia="宋体" w:cs="宋体"/>
          <w:b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</w:rPr>
        <w:t>20</w:t>
      </w: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>2</w:t>
      </w:r>
      <w:r>
        <w:rPr>
          <w:rFonts w:hint="eastAsia" w:ascii="宋体" w:hAnsi="宋体" w:cs="宋体"/>
          <w:b/>
          <w:bCs w:val="0"/>
          <w:sz w:val="44"/>
          <w:szCs w:val="44"/>
          <w:lang w:val="en-US" w:eastAsia="zh-CN"/>
        </w:rPr>
        <w:t>5年部</w:t>
      </w:r>
      <w:r>
        <w:rPr>
          <w:rFonts w:hint="eastAsia" w:ascii="宋体" w:hAnsi="宋体" w:eastAsia="宋体" w:cs="宋体"/>
          <w:b/>
          <w:bCs w:val="0"/>
          <w:sz w:val="44"/>
          <w:szCs w:val="44"/>
        </w:rPr>
        <w:t>门整体支出绩效评价报告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一、部门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单位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机构组成。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本部门独立编制机构1个，内设办公室、住房保障和房地产管理股、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建筑管理股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城市建设股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村镇建设股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市政公用设施管理股、</w:t>
      </w:r>
      <w:r>
        <w:rPr>
          <w:rFonts w:hint="eastAsia" w:ascii="仿宋_GB2312" w:hAnsi="仿宋_GB2312" w:eastAsia="仿宋_GB2312" w:cs="仿宋_GB2312"/>
          <w:sz w:val="32"/>
          <w:szCs w:val="32"/>
        </w:rPr>
        <w:t>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工程质量安全监督站、城乡环境综合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治理服务中心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个股室。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本单位下属二级预算单位0个，其中行政单位0个，参照公务员管理事业单位0个，其他事业单位0个。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机构职能。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黑水县住房和城乡建设局</w:t>
      </w:r>
      <w:r>
        <w:rPr>
          <w:rFonts w:hint="eastAsia" w:ascii="仿宋" w:hAnsi="仿宋" w:eastAsia="仿宋" w:cs="仿宋"/>
          <w:sz w:val="32"/>
          <w:szCs w:val="32"/>
        </w:rPr>
        <w:t>主要是负责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本系统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本部门依法行政工作、推进住房制度改革、保障全县城镇低收入家庭住房、全县工程建设标准体系责任、规范全县房地产市场秩序、监督管理全县建筑市场、指导全县城镇建设管理、</w:t>
      </w:r>
      <w:r>
        <w:rPr>
          <w:rFonts w:hint="eastAsia" w:ascii="仿宋" w:hAnsi="仿宋" w:eastAsia="仿宋" w:cs="仿宋"/>
          <w:sz w:val="32"/>
          <w:szCs w:val="32"/>
        </w:rPr>
        <w:t>建筑工程质量安全监督、城乡环境综合治理等工作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（三）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人员概况。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单位编制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32"/>
          <w:szCs w:val="32"/>
        </w:rPr>
        <w:t>名，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其中：</w:t>
      </w:r>
      <w:r>
        <w:rPr>
          <w:rFonts w:hint="eastAsia" w:ascii="仿宋_GB2312" w:hAnsi="仿宋_GB2312" w:eastAsia="仿宋_GB2312" w:cs="仿宋_GB2312"/>
          <w:sz w:val="32"/>
          <w:szCs w:val="32"/>
        </w:rPr>
        <w:t>行政编制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人，行政工勤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，参公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12人</w:t>
      </w:r>
      <w:r>
        <w:rPr>
          <w:rFonts w:hint="eastAsia" w:ascii="仿宋_GB2312" w:hAnsi="仿宋_GB2312" w:eastAsia="仿宋_GB2312" w:cs="仿宋_GB2312"/>
          <w:sz w:val="32"/>
          <w:szCs w:val="32"/>
        </w:rPr>
        <w:t>。本单位本年年末人数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人，其中：行政编制人员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行政工勤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5人，参公10人。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二、部门财政资金收支情况</w:t>
      </w:r>
    </w:p>
    <w:p>
      <w:pPr>
        <w:spacing w:line="580" w:lineRule="exact"/>
        <w:ind w:firstLine="642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（一）部门财政资金收入情况。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年本年收入合计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585.54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万元，其中：一般公共预算财政拨款收入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585.54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万元，占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部门财政资金支出情况。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/>
        <w:spacing w:beforeAutospacing="0" w:afterAutospacing="0" w:line="560" w:lineRule="exact"/>
        <w:ind w:left="0"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基本支出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/>
        <w:snapToGrid/>
        <w:spacing w:beforeAutospacing="0" w:after="0" w:afterAutospacing="0" w:line="560" w:lineRule="exact"/>
        <w:ind w:left="0" w:leftChars="0" w:firstLine="646" w:firstLineChars="0"/>
        <w:textAlignment w:val="auto"/>
        <w:rPr>
          <w:rFonts w:hint="eastAsia" w:ascii="仿宋_GB2312" w:hAnsi="仿宋_GB2312" w:eastAsia="仿宋_GB2312" w:cs="仿宋_GB2312"/>
          <w:color w:val="01010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基本支出用于为保障机构正常运转、完成日常工作任务而发生的支出，包括人员经费和公用经费。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Autospacing="0" w:afterAutospacing="0" w:line="560" w:lineRule="exact"/>
        <w:ind w:left="0"/>
        <w:textAlignment w:val="auto"/>
        <w:rPr>
          <w:rFonts w:hint="default" w:ascii="仿宋_GB2312" w:hAnsi="仿宋_GB2312" w:eastAsia="仿宋_GB2312" w:cs="仿宋_GB2312"/>
          <w:color w:val="01010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　　202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年决算基本支出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585.54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万元，其中：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eastAsia="zh-CN"/>
        </w:rPr>
        <w:t>人员经费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373.77万元，公用经费57.76万元。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adjustRightInd/>
        <w:snapToGrid w:val="0"/>
        <w:spacing w:beforeAutospacing="0" w:afterAutospacing="0" w:line="560" w:lineRule="exact"/>
        <w:ind w:left="0"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项目支出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outlineLvl w:val="0"/>
        <w:rPr>
          <w:rFonts w:hint="default" w:ascii="仿宋_GB2312" w:hAnsi="仿宋_GB2312" w:eastAsia="仿宋_GB2312" w:cs="仿宋_GB2312"/>
          <w:color w:val="01010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2025年度本部门无项目支出。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Autospacing="0" w:afterAutospacing="0" w:line="560" w:lineRule="exact"/>
        <w:ind w:left="0" w:firstLine="642" w:firstLineChars="200"/>
        <w:textAlignment w:val="auto"/>
        <w:outlineLvl w:val="0"/>
        <w:rPr>
          <w:rFonts w:ascii="仿宋" w:hAnsi="仿宋" w:eastAsia="仿宋"/>
          <w:b/>
          <w:bCs/>
          <w:color w:val="010101"/>
          <w:sz w:val="32"/>
          <w:szCs w:val="32"/>
        </w:rPr>
      </w:pPr>
      <w:r>
        <w:rPr>
          <w:rFonts w:hint="eastAsia" w:ascii="仿宋" w:hAnsi="仿宋" w:eastAsia="仿宋"/>
          <w:b/>
          <w:bCs/>
          <w:color w:val="010101"/>
          <w:sz w:val="32"/>
          <w:szCs w:val="32"/>
          <w:lang w:val="en-US" w:eastAsia="zh-CN"/>
        </w:rPr>
        <w:t>3.</w:t>
      </w:r>
      <w:r>
        <w:rPr>
          <w:rFonts w:ascii="仿宋" w:hAnsi="仿宋" w:eastAsia="仿宋"/>
          <w:b/>
          <w:bCs/>
          <w:color w:val="010101"/>
          <w:sz w:val="32"/>
          <w:szCs w:val="32"/>
        </w:rPr>
        <w:t>“三公”经费情况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700" w:firstLineChars="219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202</w:t>
      </w:r>
      <w:r>
        <w:rPr>
          <w:rFonts w:hint="eastAsia" w:eastAsia="仿宋_GB2312" w:cs="仿宋_GB2312"/>
          <w:color w:val="010101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决算支出“三公”经费</w:t>
      </w:r>
      <w:r>
        <w:rPr>
          <w:rFonts w:hint="eastAsia" w:eastAsia="仿宋_GB2312" w:cs="仿宋_GB2312"/>
          <w:color w:val="010101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010101"/>
          <w:sz w:val="32"/>
          <w:szCs w:val="32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三、部门整体预算绩效管理情况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（一）部门预算管理​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部门预算管理是整体预算绩效管理的基础，直接关系到全局各项工作的有序推进。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2025年</w:t>
      </w:r>
      <w:r>
        <w:rPr>
          <w:rFonts w:hint="eastAsia" w:ascii="仿宋_GB2312" w:hAnsi="黑体" w:eastAsia="仿宋_GB2312" w:cs="黑体"/>
          <w:sz w:val="32"/>
          <w:szCs w:val="32"/>
        </w:rPr>
        <w:t>我局从多个维度发力，不断提升部门预算管理水平，但也存在部分待改进之处。​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1.绩效目标制定​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我局严格按照 “贴合职能、科学合理、可衡量、可实现” 的原则制定绩效目标。结合住房和城乡建设领域重点工作，如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市政</w:t>
      </w:r>
      <w:r>
        <w:rPr>
          <w:rFonts w:hint="eastAsia" w:ascii="仿宋_GB2312" w:hAnsi="黑体" w:eastAsia="仿宋_GB2312" w:cs="黑体"/>
          <w:sz w:val="32"/>
          <w:szCs w:val="32"/>
        </w:rPr>
        <w:t>基础设施建设、保障性住房供给、老旧小区改造等，明确每个预算项目的具体目标。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2.目标完成​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从整体来看，大部分绩效目标均按计划完成。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3.预算编制准确​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为提高预算编制准确性，我局建立了“上下联动、多方论证”的编制机制。在编制前，组织业务科室、财务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室</w:t>
      </w:r>
      <w:r>
        <w:rPr>
          <w:rFonts w:hint="eastAsia" w:ascii="仿宋_GB2312" w:hAnsi="黑体" w:eastAsia="仿宋_GB2312" w:cs="黑体"/>
          <w:sz w:val="32"/>
          <w:szCs w:val="32"/>
        </w:rPr>
        <w:t>与项目实施单位开展充分调研，结合往年项目执行情况、物价变动趋势以及本年度工作任务，细化预算编制内容。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4.支出控制​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我局严格执行预算支出控制制度，通过“事前审批、事中监控、事后审核” 三重管控措施，确保资金使用合规、高效。在支出审批环节，明确各层级审批权限，杜绝超预算、无预算支出；在事中监控方面，利用预算管理系统实时跟踪资金支出进度，对接近预算上限的项目及时预警；在事后审核中，对每一笔支出的票据、合同等资料进行严格核查，确保支出符合规定。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>.执行进度​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为加快预算执行进度，每月对各项目预算执行进度进行统计分析，对进度滞后的项目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深入</w:t>
      </w:r>
      <w:r>
        <w:rPr>
          <w:rFonts w:hint="eastAsia" w:ascii="仿宋_GB2312" w:hAnsi="黑体" w:eastAsia="仿宋_GB2312" w:cs="黑体"/>
          <w:sz w:val="32"/>
          <w:szCs w:val="32"/>
        </w:rPr>
        <w:t>现场了解情况，协调解决执行过程中存在的问题。截至期末，部门整体预算执行进度达到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了项目建设时序进度，</w:t>
      </w:r>
      <w:r>
        <w:rPr>
          <w:rFonts w:hint="eastAsia" w:ascii="仿宋_GB2312" w:hAnsi="黑体" w:eastAsia="仿宋_GB2312" w:cs="黑体"/>
          <w:sz w:val="32"/>
          <w:szCs w:val="32"/>
        </w:rPr>
        <w:t>有效保障</w:t>
      </w:r>
      <w:bookmarkStart w:id="1" w:name="_GoBack"/>
      <w:bookmarkEnd w:id="1"/>
      <w:r>
        <w:rPr>
          <w:rFonts w:hint="eastAsia" w:ascii="仿宋_GB2312" w:hAnsi="黑体" w:eastAsia="仿宋_GB2312" w:cs="黑体"/>
          <w:sz w:val="32"/>
          <w:szCs w:val="32"/>
        </w:rPr>
        <w:t>民生工作的及时落地。​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.预算完成情况​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本年度部门预算总收入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585.54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万元，总支出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585.54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万元，预算完成率为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100</w:t>
      </w:r>
      <w:r>
        <w:rPr>
          <w:rFonts w:hint="eastAsia" w:ascii="仿宋_GB2312" w:hAnsi="黑体" w:eastAsia="仿宋_GB2312" w:cs="黑体"/>
          <w:sz w:val="32"/>
          <w:szCs w:val="32"/>
        </w:rPr>
        <w:t>%。其中，基本支出完成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585.54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万元，完成预算的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100</w:t>
      </w:r>
      <w:r>
        <w:rPr>
          <w:rFonts w:hint="eastAsia" w:ascii="仿宋_GB2312" w:hAnsi="黑体" w:eastAsia="仿宋_GB2312" w:cs="黑体"/>
          <w:sz w:val="32"/>
          <w:szCs w:val="32"/>
        </w:rPr>
        <w:t>%，主要用于人员工资、办公经费等日常开支，保障了部门正常运转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7.</w:t>
      </w:r>
      <w:r>
        <w:rPr>
          <w:rFonts w:hint="eastAsia" w:ascii="仿宋_GB2312" w:hAnsi="黑体" w:eastAsia="仿宋_GB2312" w:cs="黑体"/>
          <w:sz w:val="32"/>
          <w:szCs w:val="32"/>
        </w:rPr>
        <w:t>违规记录​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在预算管理过程中，我局始终坚持依法依规办事，严格遵守财经纪律。通过加强制度建设、开展廉政教育、强化监督检查等措施，有效防范了违规行为的发生。本年度未出现任何预算管理方面的违规记录。​</w:t>
      </w:r>
    </w:p>
    <w:p>
      <w:pPr>
        <w:spacing w:line="580" w:lineRule="exact"/>
        <w:ind w:firstLine="642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（二）专项预算管理​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本年无专项预算项目。</w:t>
      </w:r>
      <w:r>
        <w:rPr>
          <w:rFonts w:hint="eastAsia" w:ascii="仿宋_GB2312" w:hAnsi="黑体" w:eastAsia="仿宋_GB2312" w:cs="黑体"/>
          <w:sz w:val="32"/>
          <w:szCs w:val="32"/>
        </w:rPr>
        <w:t>​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b/>
          <w:bCs/>
          <w:sz w:val="32"/>
          <w:szCs w:val="32"/>
        </w:rPr>
      </w:pPr>
      <w:r>
        <w:rPr>
          <w:rFonts w:hint="eastAsia" w:ascii="仿宋_GB2312" w:hAnsi="黑体" w:eastAsia="仿宋_GB2312" w:cs="黑体"/>
          <w:b/>
          <w:bCs/>
          <w:sz w:val="32"/>
          <w:szCs w:val="32"/>
        </w:rPr>
        <w:t>（三）结果应用情况​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预算绩效管理结果应用是预算绩效管理的 “最后一公里”，直接关系到预算绩效管理的成效。我局高度重视结果应用工作，将评价结果与预算编制、项目管理、整改提升等相结合，充分发挥评价结果的导向作用。​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b/>
          <w:bCs/>
          <w:sz w:val="32"/>
          <w:szCs w:val="32"/>
        </w:rPr>
        <w:t>1.部门自评质量</w:t>
      </w:r>
      <w:r>
        <w:rPr>
          <w:rFonts w:hint="eastAsia" w:ascii="仿宋_GB2312" w:hAnsi="黑体" w:eastAsia="仿宋_GB2312" w:cs="黑体"/>
          <w:sz w:val="32"/>
          <w:szCs w:val="32"/>
        </w:rPr>
        <w:t>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 xml:space="preserve">我局建立了规范的部门自评工作机制，明确自评主体、自评内容、自评方法和自评时限。在自评过程中，要求各科室、各项目实施单位严格按照绩效评价指标体系，对预算项目的实施过程、绩效目标完成情况、资金使用效率等进行全面、客观、真实的评价。同时，引入第三方机构对部门自评工作进行指导和审核，提高自评质量。本年度部门自评报告合格率达到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100</w:t>
      </w:r>
      <w:r>
        <w:rPr>
          <w:rFonts w:hint="eastAsia" w:ascii="仿宋_GB2312" w:hAnsi="黑体" w:eastAsia="仿宋_GB2312" w:cs="黑体"/>
          <w:sz w:val="32"/>
          <w:szCs w:val="32"/>
        </w:rPr>
        <w:t>%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，</w:t>
      </w:r>
      <w:r>
        <w:rPr>
          <w:rFonts w:hint="eastAsia" w:ascii="仿宋_GB2312" w:hAnsi="黑体" w:eastAsia="仿宋_GB2312" w:cs="黑体"/>
          <w:sz w:val="32"/>
          <w:szCs w:val="32"/>
        </w:rPr>
        <w:t>自评结果真实反映了预算项目的实际情况，为后续结果应用奠定了坚实基础。​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b/>
          <w:bCs/>
          <w:sz w:val="32"/>
          <w:szCs w:val="32"/>
        </w:rPr>
      </w:pPr>
      <w:r>
        <w:rPr>
          <w:rFonts w:hint="eastAsia" w:ascii="仿宋_GB2312" w:hAnsi="黑体" w:eastAsia="仿宋_GB2312" w:cs="黑体"/>
          <w:b/>
          <w:bCs/>
          <w:sz w:val="32"/>
          <w:szCs w:val="32"/>
        </w:rPr>
        <w:t>2.绩效目标公开和自评公开​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 xml:space="preserve">为增强预算绩效管理的透明度，我局按照相关规定，及时公开绩效目标和自评结果。在预算编制阶段，将部门整体绩效目标和各项目绩效目标在政府门户网站进行公开，接受社会监督；在预算执行结束后，将部门自评报告和重点项目绩效评价报告在规定时间内公开，公开内容包括项目基本情况、绩效目标完成情况、存在的问题及整改措施等。本年度共公开绩效目标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项，自评报告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份，公开率达到 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100</w:t>
      </w:r>
      <w:r>
        <w:rPr>
          <w:rFonts w:hint="eastAsia" w:ascii="仿宋_GB2312" w:hAnsi="黑体" w:eastAsia="仿宋_GB2312" w:cs="黑体"/>
          <w:sz w:val="32"/>
          <w:szCs w:val="32"/>
        </w:rPr>
        <w:t>%，通过公开，广泛接受社会各界监督，提高了部门预算绩效管理的公信力。​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b/>
          <w:bCs/>
          <w:sz w:val="32"/>
          <w:szCs w:val="32"/>
        </w:rPr>
      </w:pPr>
      <w:r>
        <w:rPr>
          <w:rFonts w:hint="eastAsia" w:ascii="仿宋_GB2312" w:hAnsi="黑体" w:eastAsia="仿宋_GB2312" w:cs="黑体"/>
          <w:b/>
          <w:bCs/>
          <w:sz w:val="32"/>
          <w:szCs w:val="32"/>
        </w:rPr>
        <w:t>3.评价结果整改​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对于绩效评价中发现的问题，我局建立了 “问题清单 + 整改台账 + 销号管理” 的整改机制。针对评价报告中指出的问题，及时组织相关科室和项目实施单位制定整改方案，明确整改责任人、整改措施和整改时限；建立整改台账，对整改情况进行跟踪记录，确保问题整改到位。​</w:t>
      </w:r>
    </w:p>
    <w:p>
      <w:pPr>
        <w:spacing w:line="580" w:lineRule="exact"/>
        <w:ind w:firstLine="642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b/>
          <w:bCs/>
          <w:sz w:val="32"/>
          <w:szCs w:val="32"/>
        </w:rPr>
        <w:t>4.应用结果反馈</w:t>
      </w:r>
      <w:r>
        <w:rPr>
          <w:rFonts w:hint="eastAsia" w:ascii="仿宋_GB2312" w:hAnsi="黑体" w:eastAsia="仿宋_GB2312" w:cs="黑体"/>
          <w:sz w:val="32"/>
          <w:szCs w:val="32"/>
        </w:rPr>
        <w:t>​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我局建立了完善的应用结果反馈机制，将绩效评价结果及时反馈给相关科室、项目实施单位以及上级主管部门。反馈内容包括评价结果、存在的问题、整改要求以及改进建议等。同时，将绩效评价结果作为预算编制、项目立项的重要依据。在预算编制方面，对绩效评价优秀的项目，在后续预算安排中优先给予支持；对绩效评价较差的项目，减少预算额度。通过结果反馈和应用，有效提升了部门预算管理水平和工作效率。</w:t>
      </w:r>
    </w:p>
    <w:p>
      <w:pPr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四、评价结论及建议</w:t>
      </w:r>
    </w:p>
    <w:p>
      <w:pPr>
        <w:spacing w:line="580" w:lineRule="exact"/>
        <w:ind w:firstLine="642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（一）评价结论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通过对住房和城乡建设局部门整体预算绩效的全面评估，本部门在预算执行规范性、项目实施成效及社会效益提升方面取得了显著成果。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年度预算资金执行率达到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sz w:val="32"/>
          <w:szCs w:val="32"/>
        </w:rPr>
        <w:t>%，同时，预算管理制度不断完善，绩效监控机制逐步健全，为财政资金的高效使用提供了有力保障。但在预算编制精准度、跨部门协同效率及部分项目后期运维管理等方面仍存在优化空间。</w:t>
      </w:r>
    </w:p>
    <w:p>
      <w:pPr>
        <w:spacing w:line="580" w:lineRule="exact"/>
        <w:ind w:firstLine="642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（二）改进建议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强化预算编制科学性：建立数据共享机制，结合历史执行数据与行业发展趋势，细化项目支出标准，提高预算编制的精准度和前瞻性。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优化项目管理流程：推行全周期绩效管理，在项目立项、实施、验收各环节设置量化考核指标，引入第三方评估机构开展动态监督，确保项目执行质量。</w:t>
      </w:r>
    </w:p>
    <w:p>
      <w:pPr>
        <w:widowControl/>
        <w:jc w:val="left"/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4YmFkMmRiOTVkZDYxZmUzNDY5YTNjNWEzNDk5ZDQifQ=="/>
  </w:docVars>
  <w:rsids>
    <w:rsidRoot w:val="00491B22"/>
    <w:rsid w:val="00291808"/>
    <w:rsid w:val="00491B22"/>
    <w:rsid w:val="0052390C"/>
    <w:rsid w:val="22A55721"/>
    <w:rsid w:val="34EB1F43"/>
    <w:rsid w:val="35366BF3"/>
    <w:rsid w:val="36435EC2"/>
    <w:rsid w:val="43EB7E23"/>
    <w:rsid w:val="4DD97D2F"/>
    <w:rsid w:val="5ED6B756"/>
    <w:rsid w:val="60D032A5"/>
    <w:rsid w:val="62E539B6"/>
    <w:rsid w:val="ABAFA045"/>
    <w:rsid w:val="BEBBD083"/>
    <w:rsid w:val="DF6E7632"/>
    <w:rsid w:val="FFED8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left="0" w:firstLine="40"/>
    </w:pPr>
    <w:rPr>
      <w:rFonts w:ascii="仿宋_GB2312" w:hAnsi="仿宋_GB2312" w:eastAsia="仿宋" w:cs="仿宋_GB2312"/>
      <w:sz w:val="32"/>
      <w:szCs w:val="32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/>
    </w:pPr>
  </w:style>
  <w:style w:type="paragraph" w:styleId="5">
    <w:name w:val="Body Text"/>
    <w:basedOn w:val="1"/>
    <w:qFormat/>
    <w:uiPriority w:val="0"/>
    <w:pPr>
      <w:spacing w:after="120"/>
    </w:p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Body Text First Indent"/>
    <w:basedOn w:val="5"/>
    <w:qFormat/>
    <w:uiPriority w:val="0"/>
    <w:pPr>
      <w:ind w:firstLine="664"/>
    </w:pPr>
    <w:rPr>
      <w:rFonts w:ascii="Calibri" w:hAnsi="Calibri" w:eastAsia="宋体" w:cs="Times New Roman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6</Pages>
  <Words>818</Words>
  <Characters>871</Characters>
  <Lines>2</Lines>
  <Paragraphs>1</Paragraphs>
  <TotalTime>157</TotalTime>
  <ScaleCrop>false</ScaleCrop>
  <LinksUpToDate>false</LinksUpToDate>
  <CharactersWithSpaces>883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user</cp:lastModifiedBy>
  <dcterms:modified xsi:type="dcterms:W3CDTF">2026-08-27T10:12:13Z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3115989309D741DA945EE44A488D69E1</vt:lpwstr>
  </property>
  <property fmtid="{D5CDD505-2E9C-101B-9397-08002B2CF9AE}" pid="4" name="KSOTemplateDocerSaveRecord">
    <vt:lpwstr>eyJoZGlkIjoiNDZlMWZlYjYwYmJmMGExNDM1NjY1NjU5N2JlNTYxNjcifQ==</vt:lpwstr>
  </property>
</Properties>
</file>