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outlineLvl w:val="0"/>
        <w:rPr>
          <w:rFonts w:hint="eastAsia" w:ascii="仿宋_GB2312" w:hAnsi="黑体" w:eastAsia="仿宋_GB2312" w:cs="方正小标宋简体"/>
          <w:b/>
          <w:sz w:val="32"/>
          <w:szCs w:val="32"/>
        </w:rPr>
      </w:pPr>
      <w:bookmarkStart w:id="0" w:name="_Toc15396616"/>
      <w:r>
        <w:rPr>
          <w:rFonts w:hint="eastAsia" w:ascii="仿宋_GB2312" w:hAnsi="黑体" w:eastAsia="仿宋_GB2312" w:cs="方正小标宋简体"/>
          <w:b/>
          <w:sz w:val="32"/>
          <w:szCs w:val="32"/>
          <w:lang w:eastAsia="zh-CN"/>
        </w:rPr>
        <w:t>黑水县科学技术和农业畜牧水务局2022</w:t>
      </w:r>
      <w:r>
        <w:rPr>
          <w:rFonts w:hint="eastAsia" w:ascii="仿宋_GB2312" w:hAnsi="黑体" w:eastAsia="仿宋_GB2312" w:cs="方正小标宋简体"/>
          <w:b/>
          <w:sz w:val="32"/>
          <w:szCs w:val="32"/>
        </w:rPr>
        <w:t>年部门</w:t>
      </w:r>
    </w:p>
    <w:p>
      <w:pPr>
        <w:spacing w:line="600" w:lineRule="exact"/>
        <w:jc w:val="center"/>
        <w:outlineLvl w:val="0"/>
        <w:rPr>
          <w:rFonts w:ascii="仿宋_GB2312" w:hAnsi="黑体" w:eastAsia="仿宋_GB2312" w:cs="方正小标宋简体"/>
          <w:b/>
          <w:sz w:val="32"/>
          <w:szCs w:val="32"/>
        </w:rPr>
      </w:pPr>
      <w:r>
        <w:rPr>
          <w:rFonts w:hint="eastAsia" w:ascii="仿宋_GB2312" w:hAnsi="黑体" w:eastAsia="仿宋_GB2312" w:cs="方正小标宋简体"/>
          <w:b/>
          <w:sz w:val="32"/>
          <w:szCs w:val="32"/>
        </w:rPr>
        <w:t>整体支出绩效评价报告</w:t>
      </w:r>
      <w:bookmarkEnd w:id="0"/>
    </w:p>
    <w:p>
      <w:pPr>
        <w:spacing w:line="580" w:lineRule="exact"/>
        <w:ind w:firstLine="642" w:firstLineChars="200"/>
        <w:rPr>
          <w:rFonts w:ascii="仿宋_GB2312" w:hAnsi="黑体" w:eastAsia="仿宋_GB2312" w:cs="黑体"/>
          <w:b/>
          <w:sz w:val="32"/>
          <w:szCs w:val="32"/>
        </w:rPr>
      </w:pPr>
    </w:p>
    <w:p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一、部门（单位）概况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（一）机构组成。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黑水县科学技术和农业畜牧水务局</w:t>
      </w:r>
      <w:r>
        <w:rPr>
          <w:rFonts w:hint="eastAsia" w:ascii="仿宋_GB2312" w:hAnsi="仿宋" w:eastAsia="仿宋_GB2312" w:cs="仿宋_GB2312"/>
          <w:sz w:val="32"/>
          <w:szCs w:val="32"/>
        </w:rPr>
        <w:t>为一级预算单位，内设独立核算机构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 w:cs="仿宋_GB2312"/>
          <w:sz w:val="32"/>
          <w:szCs w:val="32"/>
        </w:rPr>
        <w:t>个，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分别为</w:t>
      </w:r>
      <w:r>
        <w:rPr>
          <w:rFonts w:hint="eastAsia" w:ascii="仿宋_GB2312" w:hAnsi="仿宋" w:eastAsia="仿宋_GB2312" w:cs="仿宋_GB2312"/>
          <w:sz w:val="32"/>
          <w:szCs w:val="32"/>
        </w:rPr>
        <w:t>畜牧兽医服务中心和农业水务局本级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</w:rPr>
        <w:t>。下设办公室、财务股等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</w:rPr>
        <w:t>个行政股室。下设农经站、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  <w:lang w:val="en-US" w:eastAsia="zh-CN"/>
        </w:rPr>
        <w:t>畜牧中心、农业执法中队、农村能源服务中心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</w:rPr>
        <w:t>等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  <w:lang w:val="en-US" w:eastAsia="zh-CN"/>
        </w:rPr>
        <w:t>4个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</w:rPr>
        <w:t>参公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  <w:lang w:val="en-US" w:eastAsia="zh-CN"/>
        </w:rPr>
        <w:t>场站。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</w:rPr>
        <w:t>事业股室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  <w:lang w:val="en-US" w:eastAsia="zh-CN"/>
        </w:rPr>
        <w:t>13</w:t>
      </w:r>
      <w:r>
        <w:rPr>
          <w:rFonts w:hint="eastAsia" w:ascii="仿宋_GB2312" w:hAnsi="仿宋" w:eastAsia="仿宋_GB2312" w:cs="仿宋_GB2312"/>
          <w:sz w:val="32"/>
          <w:szCs w:val="32"/>
          <w:highlight w:val="none"/>
        </w:rPr>
        <w:t>个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如，土肥站、农技站等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" w:eastAsia="仿宋_GB2312" w:cs="仿宋_GB2312"/>
          <w:sz w:val="32"/>
          <w:szCs w:val="32"/>
        </w:rPr>
        <w:t>。</w:t>
      </w:r>
    </w:p>
    <w:p>
      <w:pPr>
        <w:numPr>
          <w:ilvl w:val="0"/>
          <w:numId w:val="1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机构职能。</w:t>
      </w:r>
    </w:p>
    <w:p>
      <w:pPr>
        <w:numPr>
          <w:ilvl w:val="0"/>
          <w:numId w:val="0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黑水县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eastAsia="zh-CN"/>
        </w:rPr>
        <w:t>科学技术和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农业畜牧水务局负责贯彻执行国家有关种植业、畜牧业、农业机械化、农垦、水务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eastAsia="zh-CN"/>
        </w:rPr>
        <w:t>、科技、农工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等农业领域（以下简称农业）工作方针、政策和法律、法规，拟定全县农牧、水务和农村经济发展规划组织实施,推进农牧业依法行政；参与制定全县农业中、长期发展规划和年度计划，引导农业产业结构合理调整，农业资源合理配置和农产品品质改善；负责农业（含种植业、畜牧业、水利）科学技术的普及推广、先进适用技术的示范和推广、监督管理和行政执法等工作。负责实施农业（含种植业、畜牧业、水利）相关项目的实施工作。</w:t>
      </w:r>
    </w:p>
    <w:p>
      <w:pPr>
        <w:numPr>
          <w:ilvl w:val="0"/>
          <w:numId w:val="1"/>
        </w:numPr>
        <w:spacing w:line="580" w:lineRule="exact"/>
        <w:ind w:left="0" w:leftChars="0"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人员概况。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560" w:lineRule="exact"/>
        <w:ind w:left="0" w:firstLine="640" w:firstLineChars="200"/>
        <w:jc w:val="left"/>
        <w:textAlignment w:val="auto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本单位本年度年末实有人数为157人，比上年增加3人；年末实有离退休人数为85人，比上年增加3人；变动情况及原因为人员变动。年末实有其他人数为0人，比上年增加0人。</w:t>
      </w:r>
    </w:p>
    <w:p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二、部门财政资金收支情况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（一）部门财政资金收入情况。</w:t>
      </w:r>
    </w:p>
    <w:p>
      <w:pPr>
        <w:spacing w:line="580" w:lineRule="exact"/>
        <w:ind w:firstLine="640" w:firstLineChars="200"/>
        <w:rPr>
          <w:rFonts w:hint="eastAsia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20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仿宋_GB2312" w:hAnsi="仿宋" w:eastAsia="仿宋_GB2312" w:cs="仿宋_GB2312"/>
          <w:sz w:val="32"/>
          <w:szCs w:val="32"/>
        </w:rPr>
        <w:t>年度</w:t>
      </w:r>
      <w:r>
        <w:rPr>
          <w:rFonts w:hint="eastAsia" w:ascii="仿宋_GB2312" w:hAnsi="仿宋" w:eastAsia="仿宋_GB2312" w:cs="仿宋_GB2312"/>
          <w:sz w:val="32"/>
          <w:szCs w:val="32"/>
          <w:lang w:val="zh-CN"/>
        </w:rPr>
        <w:t>部门财政资金总收入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12783.07</w:t>
      </w:r>
      <w:r>
        <w:rPr>
          <w:rFonts w:hint="eastAsia" w:ascii="仿宋_GB2312" w:hAnsi="仿宋" w:eastAsia="仿宋_GB2312" w:cs="仿宋_GB2312"/>
          <w:sz w:val="32"/>
          <w:szCs w:val="32"/>
          <w:lang w:val="zh-CN"/>
        </w:rPr>
        <w:t>万元。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其中基本收入为3479.75万元。</w:t>
      </w:r>
      <w:r>
        <w:rPr>
          <w:rFonts w:hint="eastAsia" w:ascii="仿宋_GB2312" w:hAnsi="仿宋" w:eastAsia="仿宋_GB2312" w:cs="仿宋_GB2312"/>
          <w:sz w:val="32"/>
          <w:szCs w:val="32"/>
        </w:rPr>
        <w:t>具体为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住房公积金：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  <w:t>219.76</w:t>
      </w: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行政运行：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  <w:t>964.19</w:t>
      </w: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事业运行：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  <w:t>1725.03</w:t>
      </w: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行政单位医疗：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  <w:t>41.64</w:t>
      </w: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事业单位医疗：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  <w:t>77.67</w:t>
      </w: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公务员医疗补助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  <w:t>43.09万元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职业年金：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  <w:t>131.12</w:t>
      </w: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color w:val="auto"/>
        </w:rPr>
      </w:pP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养老保险缴费：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  <w:t>277.24</w:t>
      </w: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万元</w:t>
      </w:r>
    </w:p>
    <w:p>
      <w:pPr>
        <w:numPr>
          <w:ilvl w:val="0"/>
          <w:numId w:val="2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部门财政资金支出情况。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20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仿宋_GB2312" w:hAnsi="仿宋" w:eastAsia="仿宋_GB2312" w:cs="仿宋_GB2312"/>
          <w:sz w:val="32"/>
          <w:szCs w:val="32"/>
        </w:rPr>
        <w:t>年度</w:t>
      </w:r>
      <w:r>
        <w:rPr>
          <w:rFonts w:hint="eastAsia" w:ascii="仿宋_GB2312" w:hAnsi="仿宋" w:eastAsia="仿宋_GB2312" w:cs="仿宋_GB2312"/>
          <w:sz w:val="32"/>
          <w:szCs w:val="32"/>
          <w:lang w:val="zh-CN"/>
        </w:rPr>
        <w:t>部门财政资金总支出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13725.73</w:t>
      </w:r>
      <w:r>
        <w:rPr>
          <w:rFonts w:hint="eastAsia" w:ascii="仿宋_GB2312" w:hAnsi="仿宋" w:eastAsia="仿宋_GB2312" w:cs="仿宋_GB2312"/>
          <w:sz w:val="32"/>
          <w:szCs w:val="32"/>
          <w:lang w:val="zh-CN"/>
        </w:rPr>
        <w:t>万元。其中基本支出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35.9.12</w:t>
      </w:r>
      <w:r>
        <w:rPr>
          <w:rFonts w:hint="eastAsia" w:ascii="仿宋_GB2312" w:hAnsi="仿宋" w:eastAsia="仿宋_GB2312" w:cs="仿宋_GB2312"/>
          <w:sz w:val="32"/>
          <w:szCs w:val="32"/>
        </w:rPr>
        <w:t>万元。具体为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住房公积金：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219.76</w:t>
      </w:r>
      <w:r>
        <w:rPr>
          <w:rFonts w:hint="eastAsia" w:ascii="仿宋_GB2312" w:hAnsi="仿宋" w:eastAsia="仿宋_GB2312" w:cs="仿宋_GB2312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行政运行：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995.21</w:t>
      </w:r>
      <w:r>
        <w:rPr>
          <w:rFonts w:hint="eastAsia" w:ascii="仿宋_GB2312" w:hAnsi="仿宋" w:eastAsia="仿宋_GB2312" w:cs="仿宋_GB2312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事业运行：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1753.39</w:t>
      </w:r>
      <w:r>
        <w:rPr>
          <w:rFonts w:hint="eastAsia" w:ascii="仿宋_GB2312" w:hAnsi="仿宋" w:eastAsia="仿宋_GB2312" w:cs="仿宋_GB2312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行政单位医疗：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41.64</w:t>
      </w:r>
      <w:r>
        <w:rPr>
          <w:rFonts w:hint="eastAsia" w:ascii="仿宋_GB2312" w:hAnsi="仿宋" w:eastAsia="仿宋_GB2312" w:cs="仿宋_GB2312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事业单位医疗：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77.67</w:t>
      </w:r>
      <w:r>
        <w:rPr>
          <w:rFonts w:hint="eastAsia" w:ascii="仿宋_GB2312" w:hAnsi="仿宋" w:eastAsia="仿宋_GB2312" w:cs="仿宋_GB2312"/>
          <w:sz w:val="32"/>
          <w:szCs w:val="32"/>
        </w:rPr>
        <w:t>万元</w:t>
      </w:r>
    </w:p>
    <w:p>
      <w:pPr>
        <w:spacing w:line="580" w:lineRule="exact"/>
        <w:ind w:firstLine="640" w:firstLineChars="200"/>
      </w:pPr>
      <w:r>
        <w:rPr>
          <w:rFonts w:hint="eastAsia" w:ascii="仿宋_GB2312" w:hAnsi="仿宋" w:eastAsia="仿宋_GB2312" w:cs="仿宋_GB2312"/>
          <w:sz w:val="32"/>
          <w:szCs w:val="32"/>
        </w:rPr>
        <w:t>公务员医疗补助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43.09万元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职业年金：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131.12</w:t>
      </w:r>
      <w:r>
        <w:rPr>
          <w:rFonts w:hint="eastAsia" w:ascii="仿宋_GB2312" w:hAnsi="仿宋" w:eastAsia="仿宋_GB2312" w:cs="仿宋_GB2312"/>
          <w:sz w:val="32"/>
          <w:szCs w:val="32"/>
        </w:rPr>
        <w:t>万元</w:t>
      </w:r>
    </w:p>
    <w:p>
      <w:pPr>
        <w:spacing w:line="580" w:lineRule="exact"/>
        <w:ind w:firstLine="640" w:firstLineChars="200"/>
      </w:pPr>
      <w:r>
        <w:rPr>
          <w:rFonts w:hint="eastAsia" w:ascii="仿宋_GB2312" w:hAnsi="仿宋" w:eastAsia="仿宋_GB2312" w:cs="仿宋_GB2312"/>
          <w:sz w:val="32"/>
          <w:szCs w:val="32"/>
        </w:rPr>
        <w:t>养老保险缴费：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277.24</w:t>
      </w:r>
      <w:r>
        <w:rPr>
          <w:rFonts w:hint="eastAsia" w:ascii="仿宋_GB2312" w:hAnsi="仿宋" w:eastAsia="仿宋_GB2312" w:cs="仿宋_GB2312"/>
          <w:sz w:val="32"/>
          <w:szCs w:val="32"/>
        </w:rPr>
        <w:t>万元</w:t>
      </w:r>
    </w:p>
    <w:p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三、部门整体预算绩效管理情况（根据适用指标体系进行调整）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（一）部门预算管理。</w:t>
      </w:r>
    </w:p>
    <w:p>
      <w:pPr>
        <w:ind w:firstLine="6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我单位严格按照县级部门预算编制通知和有关要求，按时完成基础信息、项目资料立项及预算编制等工作，并按时提交部门预算草案，不存在预算编制错误情况。县财政局根据预算编制草案，进行审核，我局20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仿宋_GB2312" w:hAnsi="仿宋" w:eastAsia="仿宋_GB2312" w:cs="仿宋_GB2312"/>
          <w:sz w:val="32"/>
          <w:szCs w:val="32"/>
        </w:rPr>
        <w:t>年预算收入为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2500.07</w:t>
      </w:r>
      <w:r>
        <w:rPr>
          <w:rFonts w:hint="eastAsia" w:ascii="仿宋_GB2312" w:hAnsi="仿宋" w:eastAsia="仿宋_GB2312" w:cs="仿宋_GB2312"/>
          <w:sz w:val="32"/>
          <w:szCs w:val="32"/>
        </w:rPr>
        <w:t>万元。</w:t>
      </w:r>
    </w:p>
    <w:p>
      <w:pPr>
        <w:ind w:firstLine="600"/>
        <w:rPr>
          <w:rFonts w:hint="eastAsia" w:eastAsia="仿宋_GB231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一是规章制度建立健全，制度执行严格合规，会计核算符合相关规定。二是严格按照有关规定，加强对财政各项资金的监督管理，确保资金及时、足额到位，专款专用，资金支付依据和开支标准合法合规，未出现截留和挤占挪作他用现象。三是按规定对财政拨付的专项资金进行自检自查，做好资金的项目和资金使用效益管理工作，充分发挥各项资金的使用效益，财政各项专项工作按时高质量完成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。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（二）专项预算管理。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资金使用严格执行《阿坝州州级财政专项资金绩效分配管理暂行办法》。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专项性办公经费和培训经费等做到专款专用，使之发挥最大的经济效益和社会效益。</w:t>
      </w:r>
    </w:p>
    <w:p>
      <w:pPr>
        <w:spacing w:line="560" w:lineRule="exact"/>
        <w:ind w:firstLine="640" w:firstLineChars="200"/>
      </w:pPr>
      <w:r>
        <w:rPr>
          <w:rFonts w:hint="eastAsia" w:ascii="仿宋_GB2312" w:hAnsi="仿宋" w:eastAsia="仿宋_GB2312" w:cs="仿宋_GB2312"/>
          <w:sz w:val="32"/>
          <w:szCs w:val="32"/>
        </w:rPr>
        <w:t>专项办公经费能够保证相关工作的更好推进，已达到最好的经济效益和社会效益。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（三）结果应用情况。</w:t>
      </w:r>
    </w:p>
    <w:p>
      <w:pPr>
        <w:spacing w:line="560" w:lineRule="exact"/>
        <w:ind w:firstLine="640" w:firstLineChars="200"/>
      </w:pPr>
      <w:r>
        <w:rPr>
          <w:rFonts w:hint="eastAsia" w:ascii="仿宋_GB2312" w:hAnsi="仿宋" w:eastAsia="仿宋_GB2312" w:cs="仿宋_GB2312"/>
          <w:sz w:val="32"/>
          <w:szCs w:val="32"/>
          <w:lang w:val="zh-CN"/>
        </w:rPr>
        <w:t>结合项目自身特点，评价重点及管理办法等要求，根据项目决策、项目管理、项目绩效三个方面对项目进行总体评价得分：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82</w:t>
      </w:r>
      <w:r>
        <w:rPr>
          <w:rFonts w:hint="eastAsia" w:ascii="仿宋_GB2312" w:hAnsi="仿宋" w:eastAsia="仿宋_GB2312" w:cs="仿宋_GB2312"/>
          <w:sz w:val="32"/>
          <w:szCs w:val="32"/>
        </w:rPr>
        <w:t>分，综合评价结果为良。</w:t>
      </w:r>
    </w:p>
    <w:p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四、评价结论及建议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059" w:leftChars="352" w:hanging="320" w:hangingChars="100"/>
        <w:jc w:val="left"/>
        <w:textAlignment w:val="auto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经自评，我单位财政资金支出绩效评价得分为8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 w:cs="仿宋_GB2312"/>
          <w:sz w:val="32"/>
          <w:szCs w:val="32"/>
        </w:rPr>
        <w:t>分。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2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我局经财政资金的足额拨付，使得各项工作顺利进行，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" w:eastAsia="仿宋_GB2312" w:cs="仿宋_GB2312"/>
          <w:sz w:val="32"/>
          <w:szCs w:val="32"/>
        </w:rPr>
        <w:t>体现在：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今年以来，在县委、县政府的正确领导下，我局认真贯彻落实中央一号文件精神，贯彻落实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中央、省、州和县委县政府“三农”工作安排部署，巩固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拓展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脱贫攻坚成果</w:t>
      </w:r>
      <w:r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</w:rPr>
        <w:t>同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乡村振兴有效衔接，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统筹农村地区疫情防控和经济发展，为我县农业增产、农民增收、农村稳定打好基础。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27" w:firstLineChars="196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截至目前，全县完成</w:t>
      </w:r>
      <w:r>
        <w:rPr>
          <w:rFonts w:hint="eastAsia" w:ascii="仿宋_GB2312" w:eastAsia="仿宋_GB2312"/>
          <w:color w:val="000000"/>
          <w:sz w:val="32"/>
          <w:szCs w:val="32"/>
        </w:rPr>
        <w:t>粮食作物播种面积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9.2万亩，粮食产量1.81万吨。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存栏猪74157头、牛51767头、羊13926只、鸡42637羽，兔20953只，累计出栏猪37120头，牛5751头，羊2347只，鸡56824只，兔19571只。中蜂2.7万群。</w:t>
      </w:r>
      <w:r>
        <w:rPr>
          <w:rFonts w:hint="eastAsia" w:ascii="仿宋_GB2312" w:hAnsi="仿宋_GB2312" w:eastAsia="仿宋_GB2312" w:cs="仿宋_GB2312"/>
          <w:sz w:val="32"/>
          <w:szCs w:val="32"/>
        </w:rPr>
        <w:t>实现农村居民人均可支配收入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129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66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比</w:t>
      </w:r>
      <w:r>
        <w:rPr>
          <w:rFonts w:hint="eastAsia" w:ascii="仿宋_GB2312" w:hAnsi="仿宋_GB2312" w:eastAsia="仿宋_GB2312" w:cs="仿宋_GB2312"/>
          <w:sz w:val="32"/>
          <w:szCs w:val="32"/>
        </w:rPr>
        <w:t>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长</w:t>
      </w:r>
      <w:r>
        <w:rPr>
          <w:rFonts w:hint="eastAsia" w:ascii="仿宋_GB2312" w:hAnsi="仿宋_GB2312" w:eastAsia="仿宋_GB2312" w:cs="仿宋_GB2312"/>
          <w:sz w:val="32"/>
          <w:szCs w:val="32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，实现第一产业增加值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30100万元，同比增长6.7%。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27" w:firstLineChars="196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预计全年实现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出栏猪54286头、牛8853头、羊5221只、禽122524只。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u w:val="none"/>
          <w:shd w:val="clear" w:color="auto" w:fill="auto"/>
          <w:lang w:eastAsia="zh-CN"/>
        </w:rPr>
        <w:t>农村居民人均可支配收入可达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eastAsia="zh-CN"/>
        </w:rPr>
        <w:t>到18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550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eastAsia="zh-CN"/>
        </w:rPr>
        <w:t>元，增速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10.9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eastAsia="zh-CN"/>
        </w:rPr>
        <w:t>%，实现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u w:val="none"/>
        </w:rPr>
        <w:t>第一产业增加值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u w:val="none"/>
          <w:lang w:val="en-US" w:eastAsia="zh-CN"/>
        </w:rPr>
        <w:t>53077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u w:val="none"/>
        </w:rPr>
        <w:t>万元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eastAsia="zh-CN"/>
        </w:rPr>
        <w:t>增幅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eastAsia="zh-CN"/>
        </w:rPr>
        <w:t>%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以上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eastAsia="zh-CN"/>
        </w:rPr>
        <w:t>。</w:t>
      </w:r>
    </w:p>
    <w:p>
      <w:pPr>
        <w:numPr>
          <w:ilvl w:val="0"/>
          <w:numId w:val="2"/>
        </w:numPr>
        <w:spacing w:line="580" w:lineRule="exact"/>
        <w:ind w:left="0" w:leftChars="0"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存在问题。</w:t>
      </w:r>
    </w:p>
    <w:p>
      <w:pPr>
        <w:pStyle w:val="2"/>
        <w:numPr>
          <w:ilvl w:val="0"/>
          <w:numId w:val="0"/>
        </w:numPr>
        <w:ind w:leftChars="200" w:firstLine="642" w:firstLineChars="200"/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shd w:val="clear" w:color="auto" w:fill="auto"/>
          <w:lang w:val="en-US" w:eastAsia="zh-CN" w:bidi="ar-SA"/>
        </w:rPr>
        <w:t>一是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shd w:val="clear" w:color="auto" w:fill="auto"/>
          <w:lang w:val="en-US" w:eastAsia="zh-CN" w:bidi="ar-SA"/>
        </w:rPr>
        <w:t>受疫情影响，农产品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运输和销售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不便，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shd w:val="clear" w:color="auto" w:fill="auto"/>
          <w:lang w:val="en-US" w:eastAsia="zh-CN" w:bidi="ar-SA"/>
        </w:rPr>
        <w:t>部分农产品价格低迷，生猪生产不确定因素较多，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企业和养殖户的积极性不高。</w:t>
      </w:r>
      <w:r>
        <w:rPr>
          <w:rFonts w:hint="eastAsia" w:ascii="仿宋_GB2312" w:hAnsi="仿宋_GB2312" w:eastAsia="仿宋_GB2312" w:cs="仿宋_GB2312"/>
          <w:b/>
          <w:bCs w:val="0"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农产品产业链条不长。我县现有规模以上农业企业主导产业多为资源型传统产业，高新技术领域企业不多，初加工产品多，缺乏附加值高的精深加工产品。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shd w:val="clear" w:color="auto" w:fill="auto"/>
          <w:lang w:val="en-US" w:eastAsia="zh-CN" w:bidi="ar-SA"/>
        </w:rPr>
        <w:t>三是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shd w:val="clear" w:color="auto" w:fill="auto"/>
          <w:lang w:val="en-US" w:eastAsia="zh-CN" w:bidi="ar-SA"/>
        </w:rPr>
        <w:t>农业抗风险能力较弱，农业设施多以避雨、抗风为主，抵御寒潮、大雪等自然灾害能力不足，年底补种、补栏困难。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四是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农村灌溉、生产道路等基础设施建设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跟不上产业发展的需求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，制约了农业产业发展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numPr>
          <w:ilvl w:val="0"/>
          <w:numId w:val="2"/>
        </w:numPr>
        <w:spacing w:line="580" w:lineRule="exact"/>
        <w:ind w:left="0" w:leftChars="0"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改进建议。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lang w:eastAsia="zh-CN" w:bidi="ar-SA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</w:rPr>
        <w:t>积极实施品牌战略，提升已有品牌的知名度和影响力，创立企业品牌、产品品牌，塑造园区品牌，培育优质品牌农产品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二是健全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农产品质量体系建。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计划建立1个县级、15个乡级、30个村级三级农产品质量安全检测服务点，加强县、乡、村三级监管、检测、执法人员培训。建设质量安全追溯体系，制定标准化生产技术规程。申报“三品一标”有机2个，绿色2个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完善营销体系建设，加强包装设计生产，在成都、重庆的双城经济圈及一线城市，建立4处黑水县特色“三品一标”专柜。</w:t>
      </w:r>
    </w:p>
    <w:p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widowControl/>
        <w:jc w:val="left"/>
        <w:rPr>
          <w:rFonts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方正小标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AR PL UKai CN">
    <w:panose1 w:val="02000503000000000000"/>
    <w:charset w:val="86"/>
    <w:family w:val="auto"/>
    <w:pitch w:val="default"/>
    <w:sig w:usb0="A00002FF" w:usb1="3ACFFDFF" w:usb2="00000036" w:usb3="00000000" w:csb0="2016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0EFFB9"/>
    <w:multiLevelType w:val="singleLevel"/>
    <w:tmpl w:val="870EFFB9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7C3A0C0"/>
    <w:multiLevelType w:val="singleLevel"/>
    <w:tmpl w:val="67C3A0C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1B22"/>
    <w:rsid w:val="00291808"/>
    <w:rsid w:val="00491B22"/>
    <w:rsid w:val="0052390C"/>
    <w:rsid w:val="0C0805BC"/>
    <w:rsid w:val="2AC028FE"/>
    <w:rsid w:val="34EB1F43"/>
    <w:rsid w:val="36435EC2"/>
    <w:rsid w:val="452D3E97"/>
    <w:rsid w:val="4B936091"/>
    <w:rsid w:val="4D9C1569"/>
    <w:rsid w:val="5D915E48"/>
    <w:rsid w:val="60D032A5"/>
    <w:rsid w:val="62530C62"/>
    <w:rsid w:val="6B2E0F9E"/>
    <w:rsid w:val="76473838"/>
    <w:rsid w:val="7D413BF9"/>
    <w:rsid w:val="B75A8717"/>
    <w:rsid w:val="FBF9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unhideWhenUsed/>
    <w:qFormat/>
    <w:uiPriority w:val="0"/>
    <w:pPr>
      <w:ind w:leftChars="200" w:hanging="200" w:hangingChars="200"/>
    </w:p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paragraph" w:customStyle="1" w:styleId="9">
    <w:name w:val="普通(网站) Char Char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53</Words>
  <Characters>307</Characters>
  <Lines>2</Lines>
  <Paragraphs>1</Paragraphs>
  <TotalTime>9</TotalTime>
  <ScaleCrop>false</ScaleCrop>
  <LinksUpToDate>false</LinksUpToDate>
  <CharactersWithSpaces>359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2019-08-19T17:06:00Z</dcterms:created>
  <dc:creator>Sky123.Org</dc:creator>
  <cp:lastModifiedBy>user</cp:lastModifiedBy>
  <dcterms:modified xsi:type="dcterms:W3CDTF">2026-11-04T16:20:53Z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  <property fmtid="{D5CDD505-2E9C-101B-9397-08002B2CF9AE}" pid="3" name="ICV">
    <vt:lpwstr>95904B18A838722E887FFD646BBB56BB</vt:lpwstr>
  </property>
</Properties>
</file>