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outlineLvl w:val="0"/>
        <w:rPr>
          <w:rFonts w:hint="eastAsia" w:ascii="仿宋_GB2312" w:hAnsi="黑体" w:eastAsia="仿宋_GB2312" w:cs="方正小标宋简体"/>
          <w:b/>
          <w:sz w:val="32"/>
          <w:szCs w:val="32"/>
        </w:rPr>
      </w:pPr>
      <w:bookmarkStart w:id="0" w:name="_Toc15396616"/>
      <w:r>
        <w:rPr>
          <w:rFonts w:hint="eastAsia" w:ascii="仿宋_GB2312" w:hAnsi="黑体" w:eastAsia="仿宋_GB2312" w:cs="方正小标宋简体"/>
          <w:b/>
          <w:sz w:val="32"/>
          <w:szCs w:val="32"/>
          <w:lang w:eastAsia="zh-CN"/>
        </w:rPr>
        <w:t>黑水县应急管理局（本级）</w:t>
      </w:r>
      <w:r>
        <w:rPr>
          <w:rFonts w:hint="eastAsia" w:ascii="仿宋_GB2312" w:hAnsi="黑体" w:eastAsia="仿宋_GB2312" w:cs="方正小标宋简体"/>
          <w:b/>
          <w:sz w:val="32"/>
          <w:szCs w:val="32"/>
        </w:rPr>
        <w:t>20</w:t>
      </w:r>
      <w:r>
        <w:rPr>
          <w:rFonts w:hint="eastAsia" w:ascii="仿宋_GB2312" w:hAnsi="黑体" w:eastAsia="仿宋_GB2312" w:cs="方正小标宋简体"/>
          <w:b/>
          <w:sz w:val="32"/>
          <w:szCs w:val="32"/>
          <w:lang w:val="en-US" w:eastAsia="zh-CN"/>
        </w:rPr>
        <w:t>22</w:t>
      </w:r>
      <w:r>
        <w:rPr>
          <w:rFonts w:hint="eastAsia" w:ascii="仿宋_GB2312" w:hAnsi="黑体" w:eastAsia="仿宋_GB2312" w:cs="方正小标宋简体"/>
          <w:b/>
          <w:sz w:val="32"/>
          <w:szCs w:val="32"/>
        </w:rPr>
        <w:t>年部门</w:t>
      </w:r>
    </w:p>
    <w:p>
      <w:pPr>
        <w:spacing w:line="600" w:lineRule="exact"/>
        <w:jc w:val="center"/>
        <w:outlineLvl w:val="0"/>
        <w:rPr>
          <w:rFonts w:ascii="仿宋_GB2312" w:hAnsi="黑体" w:eastAsia="仿宋_GB2312" w:cs="方正小标宋简体"/>
          <w:b/>
          <w:sz w:val="32"/>
          <w:szCs w:val="32"/>
        </w:rPr>
      </w:pPr>
      <w:r>
        <w:rPr>
          <w:rFonts w:hint="eastAsia" w:ascii="仿宋_GB2312" w:hAnsi="黑体" w:eastAsia="仿宋_GB2312" w:cs="方正小标宋简体"/>
          <w:b/>
          <w:sz w:val="32"/>
          <w:szCs w:val="32"/>
        </w:rPr>
        <w:t>整体支出绩效评价报告</w:t>
      </w:r>
      <w:bookmarkEnd w:id="0"/>
    </w:p>
    <w:p>
      <w:pPr>
        <w:spacing w:line="580" w:lineRule="exact"/>
        <w:ind w:firstLine="642" w:firstLineChars="200"/>
        <w:rPr>
          <w:rFonts w:ascii="仿宋_GB2312" w:hAnsi="黑体" w:eastAsia="仿宋_GB2312" w:cs="黑体"/>
          <w:b/>
          <w:sz w:val="32"/>
          <w:szCs w:val="32"/>
        </w:rPr>
      </w:pPr>
    </w:p>
    <w:p>
      <w:pPr>
        <w:spacing w:line="580" w:lineRule="exact"/>
        <w:ind w:firstLine="640" w:firstLineChars="200"/>
        <w:rPr>
          <w:rFonts w:ascii="仿宋_GB2312" w:hAnsi="黑体" w:eastAsia="仿宋_GB2312" w:cs="黑体"/>
          <w:sz w:val="32"/>
          <w:szCs w:val="32"/>
        </w:rPr>
      </w:pPr>
      <w:r>
        <w:rPr>
          <w:rFonts w:hint="eastAsia" w:ascii="仿宋_GB2312" w:hAnsi="黑体" w:eastAsia="仿宋_GB2312" w:cs="黑体"/>
          <w:sz w:val="32"/>
          <w:szCs w:val="32"/>
        </w:rPr>
        <w:t>一、部门（单位）概况</w:t>
      </w:r>
    </w:p>
    <w:p>
      <w:p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（一）机构组成。</w:t>
      </w:r>
    </w:p>
    <w:p>
      <w:p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黑水县应急管理局是全县一级预算单位。黑水县应急管理局设4个内设机构,分别是：办公室、综合业务股、安全生产监察执法支队、应急指挥中心。</w:t>
      </w:r>
    </w:p>
    <w:p>
      <w:pPr>
        <w:numPr>
          <w:ilvl w:val="0"/>
          <w:numId w:val="1"/>
        </w:num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机构职能。</w:t>
      </w:r>
    </w:p>
    <w:p>
      <w:pPr>
        <w:numPr>
          <w:ilvl w:val="0"/>
          <w:numId w:val="0"/>
        </w:num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根据《黑水县机构改革方案》（黑委办发〔2019〕1号）和《关于〈黑水县机构改革方案〉的实施意见》（黑机改〔2019〕4号）文件规定，主要职责是：1、负责应急管理工作，组织和指导各乡镇、县级各部门(单位)应对安全生产类、自然灾害类等突发事件和综合防灾减灾救灾工作。负责安全生产综合监督管理和工矿商贸行业安全生产监督管理工作。</w:t>
      </w:r>
    </w:p>
    <w:p>
      <w:pPr>
        <w:numPr>
          <w:ilvl w:val="0"/>
          <w:numId w:val="0"/>
        </w:num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2、拟订应急管理、安全生产等规范性文件，组织编制应急体系建设、安全生产和综合防灾减灾规划。</w:t>
      </w:r>
    </w:p>
    <w:p>
      <w:pPr>
        <w:numPr>
          <w:ilvl w:val="0"/>
          <w:numId w:val="0"/>
        </w:num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3、负责组织、指导应急预案体系建设，建立完善事故灾难和自然灾害分级应对制度，牵头组织编制综合应急防灾减灾预案和安全生产类、自然灾害类专项预案，负责应急预案衔接工作，组织开展预案演练并落实，推动应急避难设施建设。</w:t>
      </w:r>
    </w:p>
    <w:p>
      <w:pPr>
        <w:numPr>
          <w:ilvl w:val="0"/>
          <w:numId w:val="0"/>
        </w:num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4、牵头建立统一的应急管理信息系统，负责信息传输渠道的规划和布局，建立监测预警和灾情报告制度，健全自然灾害信息资源获取和共享机制，依法统一发布灾情。</w:t>
      </w:r>
    </w:p>
    <w:p>
      <w:pPr>
        <w:numPr>
          <w:ilvl w:val="0"/>
          <w:numId w:val="0"/>
        </w:num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5、负责组织、指导、协调安全生产类、自然灾害类等突发事件应急救援，承担全县应对一般及以上灾害指挥部工作，综合研判突发事件发展态势并提出应对建议，负责组织一般及以上灾害应急处置工作。</w:t>
      </w:r>
    </w:p>
    <w:p>
      <w:pPr>
        <w:numPr>
          <w:ilvl w:val="0"/>
          <w:numId w:val="0"/>
        </w:num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6、统一协调指挥各类应急专业队伍，建立应急协调联动机制，推进指挥平台对接。提请衔接解放军和武警部队参与应急救援工作。</w:t>
      </w:r>
    </w:p>
    <w:p>
      <w:pPr>
        <w:numPr>
          <w:ilvl w:val="0"/>
          <w:numId w:val="0"/>
        </w:num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7、按照国家、省、州相关政策和规定负责消防、森林和草原火灾扑救、抗洪抢险、地震和地质灾害救援、生产安全事故救援等专业应急救援力量建设，依法依规统筹指导各乡镇及社会应急救援力量和应急保障能力建设。</w:t>
      </w:r>
    </w:p>
    <w:p>
      <w:pPr>
        <w:numPr>
          <w:ilvl w:val="0"/>
          <w:numId w:val="0"/>
        </w:num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8、按照国家、省、州相关政策和县委、县政府相关规定负责消防工作，组织和指导消防监督、火灾预防、火灾扑救等工作。</w:t>
      </w:r>
    </w:p>
    <w:p>
      <w:pPr>
        <w:numPr>
          <w:ilvl w:val="0"/>
          <w:numId w:val="0"/>
        </w:num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9、负责自然灾害综合监测预警工作，承担自然灾害综合风险评估工作，指导协调森林和草原火灾、水旱灾害、地震和地质灾害等防治工作。</w:t>
      </w:r>
    </w:p>
    <w:p>
      <w:pPr>
        <w:numPr>
          <w:ilvl w:val="0"/>
          <w:numId w:val="0"/>
        </w:num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10、负责组织、协调灾害救助工作，组织和指导灾情核查、损失评估、救灾捐赠工作，管理、分配中央、省、州下拨及县级救灾款物并监督使用。</w:t>
      </w:r>
    </w:p>
    <w:p>
      <w:pPr>
        <w:numPr>
          <w:ilvl w:val="0"/>
          <w:numId w:val="0"/>
        </w:num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11、依法承担县政府安全生产综合监督管理责任，指导协调、监督检查县直有关部门和各乡镇安全生产工作，组织开展安全生产巡查、督查、考核工作。</w:t>
      </w:r>
    </w:p>
    <w:p>
      <w:pPr>
        <w:numPr>
          <w:ilvl w:val="0"/>
          <w:numId w:val="0"/>
        </w:num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12、按照分级、属地原则，依法监督检查工矿商贸生产经营单位贯彻执行安全生产法律法规情况及其安全生产条件和有关设备(特种设备除外)、材料、劳动防护用品的安全生产管理工作。协助做好国家、省、州在县工矿商贸企业安全生产监督管理工作。负责危险化学品综合安全监督管理工作和烟花爆竹安全生产监督管理工作。</w:t>
      </w:r>
    </w:p>
    <w:p>
      <w:pPr>
        <w:numPr>
          <w:ilvl w:val="0"/>
          <w:numId w:val="0"/>
        </w:num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13、承担非煤矿山、危险化学品、非药品类易制毒化学品和烟花爆竹等生产经营单位安全生产准入管理责任。</w:t>
      </w:r>
    </w:p>
    <w:p>
      <w:pPr>
        <w:numPr>
          <w:ilvl w:val="0"/>
          <w:numId w:val="0"/>
        </w:num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14、依法组织、指导生产安全事故调查处理，监督事故查处和责任追究落实情况。组织开展自然灾害类突发事件的调查评估工作。</w:t>
      </w:r>
    </w:p>
    <w:p>
      <w:pPr>
        <w:numPr>
          <w:ilvl w:val="0"/>
          <w:numId w:val="0"/>
        </w:num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15、开展应急管理和安全生产方面的交流与合作，组织参与安全生产类、自然灾害类等突发事件的跨区域救援工作。</w:t>
      </w:r>
    </w:p>
    <w:p>
      <w:pPr>
        <w:numPr>
          <w:ilvl w:val="0"/>
          <w:numId w:val="0"/>
        </w:num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16、制定应急物资储备和应急救援装备规划并组织实施，会同县发改局等部门建立健全应急物资信息平台和调拨制度，在救灾时统一调度。</w:t>
      </w:r>
    </w:p>
    <w:p>
      <w:pPr>
        <w:numPr>
          <w:ilvl w:val="0"/>
          <w:numId w:val="0"/>
        </w:num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17、负责应急管理、安全生产宣传教育和培训工作，组织和指导应急管理、安全生产的科学技术推广应用和信息化建设工作。</w:t>
      </w:r>
    </w:p>
    <w:p>
      <w:pPr>
        <w:numPr>
          <w:ilvl w:val="0"/>
          <w:numId w:val="0"/>
        </w:num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18、负责职责范围内的职业健康、生态环境保护、公共机构节能减排、审批服务便民化工作。</w:t>
      </w:r>
    </w:p>
    <w:p>
      <w:pPr>
        <w:numPr>
          <w:ilvl w:val="0"/>
          <w:numId w:val="0"/>
        </w:num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19、完成县委、县政府交办的其他任务。</w:t>
      </w:r>
    </w:p>
    <w:p>
      <w:pPr>
        <w:numPr>
          <w:ilvl w:val="0"/>
          <w:numId w:val="0"/>
        </w:num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20、职能转变。加强、优化、统筹应急能力建设，构建统一领导、权责一致、权威高效的应急能力体系，推动形成统一指挥、专常兼备、反应灵敏、上下联动、平战结合、特色鲜明的应急管理体制。一是坚持以防为主、防抗救结合，坚持常态减灾和非常态救灾相统一，努力实现从注重灾后救助向注重灾前预防转变，从应对单一灾种向综合减灾转变，从减少灾害损失向减轻灾害风险转变，提高全县应急管理水平和防灾减灾救灾能力，防范化解重特大安全风险。二是坚持以人为本，把确保人民群众生命财产安全放在首位，确保受灾群众基本生活，加强应急预案演练，增强全民防灾减灾意识，提升公众知识普及和自救互救技能，切实减少人员伤亡和财产损失。三是树立安全发展理念，坚持生命至上、安全第一，完善安全生产责任制，努力杜绝重特大事故、遏制较大事故、减少一般事故。</w:t>
      </w:r>
    </w:p>
    <w:p>
      <w:p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（三）人员概况。</w:t>
      </w:r>
    </w:p>
    <w:p>
      <w:pPr>
        <w:spacing w:line="580" w:lineRule="exact"/>
        <w:ind w:firstLine="640" w:firstLineChars="200"/>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lang w:eastAsia="zh-CN"/>
        </w:rPr>
        <w:t>应急管理局编制13名，其中：行政编制7名，参照公务员管理事业编制4名，行政工勤编制2名。实有在职职工13名，其中，公务员7名，参公人员4名，机关工勤2名。</w:t>
      </w:r>
    </w:p>
    <w:p>
      <w:pPr>
        <w:spacing w:line="580" w:lineRule="exact"/>
        <w:ind w:firstLine="640" w:firstLineChars="200"/>
        <w:rPr>
          <w:rFonts w:ascii="仿宋_GB2312" w:hAnsi="黑体" w:eastAsia="仿宋_GB2312" w:cs="黑体"/>
          <w:sz w:val="32"/>
          <w:szCs w:val="32"/>
        </w:rPr>
      </w:pPr>
      <w:r>
        <w:rPr>
          <w:rFonts w:hint="eastAsia" w:ascii="仿宋_GB2312" w:hAnsi="黑体" w:eastAsia="仿宋_GB2312" w:cs="黑体"/>
          <w:sz w:val="32"/>
          <w:szCs w:val="32"/>
        </w:rPr>
        <w:t>二、部门财政资金收支情况</w:t>
      </w:r>
    </w:p>
    <w:p>
      <w:p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（一）部门财政资金收入情况。</w:t>
      </w:r>
    </w:p>
    <w:p>
      <w:p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lang w:val="en-US" w:eastAsia="zh-CN"/>
        </w:rPr>
        <w:t>1.</w:t>
      </w:r>
      <w:r>
        <w:rPr>
          <w:rFonts w:hint="eastAsia" w:ascii="仿宋_GB2312" w:hAnsi="仿宋" w:eastAsia="仿宋_GB2312" w:cs="仿宋_GB2312"/>
          <w:sz w:val="32"/>
          <w:szCs w:val="32"/>
        </w:rPr>
        <w:t>收入与预算对比分析：本单位2022年年初预算安排收入</w:t>
      </w:r>
      <w:r>
        <w:rPr>
          <w:rFonts w:hint="eastAsia" w:ascii="仿宋_GB2312" w:hAnsi="仿宋" w:eastAsia="仿宋_GB2312" w:cs="仿宋_GB2312"/>
          <w:sz w:val="32"/>
          <w:szCs w:val="32"/>
          <w:lang w:val="en-US" w:eastAsia="zh-CN"/>
        </w:rPr>
        <w:t>528.09</w:t>
      </w:r>
      <w:r>
        <w:rPr>
          <w:rFonts w:hint="eastAsia" w:ascii="仿宋_GB2312" w:hAnsi="仿宋" w:eastAsia="仿宋_GB2312" w:cs="仿宋_GB2312"/>
          <w:sz w:val="32"/>
          <w:szCs w:val="32"/>
        </w:rPr>
        <w:t>万元，本年实际收入</w:t>
      </w:r>
      <w:r>
        <w:rPr>
          <w:rFonts w:hint="eastAsia" w:ascii="仿宋_GB2312" w:hAnsi="仿宋" w:eastAsia="仿宋_GB2312" w:cs="仿宋_GB2312"/>
          <w:sz w:val="32"/>
          <w:szCs w:val="32"/>
          <w:lang w:val="en-US" w:eastAsia="zh-CN"/>
        </w:rPr>
        <w:t>995.39</w:t>
      </w:r>
      <w:r>
        <w:rPr>
          <w:rFonts w:hint="eastAsia" w:ascii="仿宋_GB2312" w:hAnsi="仿宋" w:eastAsia="仿宋_GB2312" w:cs="仿宋_GB2312"/>
          <w:sz w:val="32"/>
          <w:szCs w:val="32"/>
        </w:rPr>
        <w:t>万元，本年实际收入与年初预算增加</w:t>
      </w:r>
      <w:r>
        <w:rPr>
          <w:rFonts w:hint="eastAsia" w:ascii="仿宋_GB2312" w:hAnsi="仿宋" w:eastAsia="仿宋_GB2312" w:cs="仿宋_GB2312"/>
          <w:sz w:val="32"/>
          <w:szCs w:val="32"/>
          <w:lang w:val="en-US" w:eastAsia="zh-CN"/>
        </w:rPr>
        <w:t>467.3</w:t>
      </w:r>
      <w:r>
        <w:rPr>
          <w:rFonts w:hint="eastAsia" w:ascii="仿宋_GB2312" w:hAnsi="仿宋" w:eastAsia="仿宋_GB2312" w:cs="仿宋_GB2312"/>
          <w:sz w:val="32"/>
          <w:szCs w:val="32"/>
        </w:rPr>
        <w:t>万元，差异率</w:t>
      </w:r>
      <w:r>
        <w:rPr>
          <w:rFonts w:hint="eastAsia" w:ascii="仿宋_GB2312" w:hAnsi="仿宋" w:eastAsia="仿宋_GB2312" w:cs="仿宋_GB2312"/>
          <w:sz w:val="32"/>
          <w:szCs w:val="32"/>
          <w:lang w:val="en-US" w:eastAsia="zh-CN"/>
        </w:rPr>
        <w:t>88.49</w:t>
      </w:r>
      <w:r>
        <w:rPr>
          <w:rFonts w:hint="eastAsia" w:ascii="仿宋_GB2312" w:hAnsi="仿宋" w:eastAsia="仿宋_GB2312" w:cs="仿宋_GB2312"/>
          <w:sz w:val="32"/>
          <w:szCs w:val="32"/>
        </w:rPr>
        <w:t>%。差异主要原因：一是：2022年行政新增1名驾驶员，工资支出、社会保障和就业支出、卫生健康支出、住房保障支出均相应增加；二是：年中州上下达项目资金，收入增加。</w:t>
      </w:r>
    </w:p>
    <w:p>
      <w:p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lang w:val="en-US" w:eastAsia="zh-CN"/>
        </w:rPr>
        <w:t>2.</w:t>
      </w:r>
      <w:r>
        <w:rPr>
          <w:rFonts w:hint="eastAsia" w:ascii="仿宋_GB2312" w:hAnsi="仿宋" w:eastAsia="仿宋_GB2312" w:cs="仿宋_GB2312"/>
          <w:sz w:val="32"/>
          <w:szCs w:val="32"/>
        </w:rPr>
        <w:t>本年收入与上年收入的对比分析</w:t>
      </w:r>
    </w:p>
    <w:p>
      <w:p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本年度实际收入</w:t>
      </w:r>
      <w:r>
        <w:rPr>
          <w:rFonts w:hint="eastAsia" w:ascii="仿宋_GB2312" w:hAnsi="仿宋" w:eastAsia="仿宋_GB2312" w:cs="仿宋_GB2312"/>
          <w:sz w:val="32"/>
          <w:szCs w:val="32"/>
          <w:lang w:val="en-US" w:eastAsia="zh-CN"/>
        </w:rPr>
        <w:t>995.39</w:t>
      </w:r>
      <w:r>
        <w:rPr>
          <w:rFonts w:hint="eastAsia" w:ascii="仿宋_GB2312" w:hAnsi="仿宋" w:eastAsia="仿宋_GB2312" w:cs="仿宋_GB2312"/>
          <w:sz w:val="32"/>
          <w:szCs w:val="32"/>
        </w:rPr>
        <w:t>万元，比上年度收入</w:t>
      </w:r>
      <w:r>
        <w:rPr>
          <w:rFonts w:hint="eastAsia" w:ascii="仿宋_GB2312" w:hAnsi="仿宋" w:eastAsia="仿宋_GB2312" w:cs="仿宋_GB2312"/>
          <w:sz w:val="32"/>
          <w:szCs w:val="32"/>
          <w:lang w:val="en-US" w:eastAsia="zh-CN"/>
        </w:rPr>
        <w:t>792.28</w:t>
      </w:r>
      <w:r>
        <w:rPr>
          <w:rFonts w:hint="eastAsia" w:ascii="仿宋_GB2312" w:hAnsi="仿宋" w:eastAsia="仿宋_GB2312" w:cs="仿宋_GB2312"/>
          <w:sz w:val="32"/>
          <w:szCs w:val="32"/>
        </w:rPr>
        <w:t>万元增加</w:t>
      </w:r>
      <w:r>
        <w:rPr>
          <w:rFonts w:hint="eastAsia" w:ascii="仿宋_GB2312" w:hAnsi="仿宋" w:eastAsia="仿宋_GB2312" w:cs="仿宋_GB2312"/>
          <w:sz w:val="32"/>
          <w:szCs w:val="32"/>
          <w:lang w:val="en-US" w:eastAsia="zh-CN"/>
        </w:rPr>
        <w:t>203.11</w:t>
      </w:r>
      <w:r>
        <w:rPr>
          <w:rFonts w:hint="eastAsia" w:ascii="仿宋_GB2312" w:hAnsi="仿宋" w:eastAsia="仿宋_GB2312" w:cs="仿宋_GB2312"/>
          <w:sz w:val="32"/>
          <w:szCs w:val="32"/>
        </w:rPr>
        <w:t>万元，增幅</w:t>
      </w:r>
      <w:r>
        <w:rPr>
          <w:rFonts w:hint="eastAsia" w:ascii="仿宋_GB2312" w:hAnsi="仿宋" w:eastAsia="仿宋_GB2312" w:cs="仿宋_GB2312"/>
          <w:sz w:val="32"/>
          <w:szCs w:val="32"/>
          <w:lang w:val="en-US" w:eastAsia="zh-CN"/>
        </w:rPr>
        <w:t>25.64</w:t>
      </w:r>
      <w:r>
        <w:rPr>
          <w:rFonts w:hint="eastAsia" w:ascii="仿宋_GB2312" w:hAnsi="仿宋" w:eastAsia="仿宋_GB2312" w:cs="仿宋_GB2312"/>
          <w:sz w:val="32"/>
          <w:szCs w:val="32"/>
        </w:rPr>
        <w:t>%。</w:t>
      </w:r>
    </w:p>
    <w:p>
      <w:p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lang w:val="en-US" w:eastAsia="zh-CN"/>
        </w:rPr>
        <w:t>3.</w:t>
      </w:r>
      <w:r>
        <w:rPr>
          <w:rFonts w:hint="eastAsia" w:ascii="仿宋_GB2312" w:hAnsi="仿宋" w:eastAsia="仿宋_GB2312" w:cs="仿宋_GB2312"/>
          <w:sz w:val="32"/>
          <w:szCs w:val="32"/>
        </w:rPr>
        <w:t>本年收入结构分析：本年收入</w:t>
      </w:r>
      <w:r>
        <w:rPr>
          <w:rFonts w:hint="eastAsia" w:ascii="仿宋_GB2312" w:hAnsi="仿宋" w:eastAsia="仿宋_GB2312" w:cs="仿宋_GB2312"/>
          <w:sz w:val="32"/>
          <w:szCs w:val="32"/>
          <w:lang w:val="en-US" w:eastAsia="zh-CN"/>
        </w:rPr>
        <w:t>1238.01</w:t>
      </w:r>
      <w:r>
        <w:rPr>
          <w:rFonts w:hint="eastAsia" w:ascii="仿宋_GB2312" w:hAnsi="仿宋" w:eastAsia="仿宋_GB2312" w:cs="仿宋_GB2312"/>
          <w:sz w:val="32"/>
          <w:szCs w:val="32"/>
        </w:rPr>
        <w:t>万元，按资金来源分析：其中财政拨款收入</w:t>
      </w:r>
      <w:r>
        <w:rPr>
          <w:rFonts w:hint="eastAsia" w:ascii="仿宋_GB2312" w:hAnsi="仿宋" w:eastAsia="仿宋_GB2312" w:cs="仿宋_GB2312"/>
          <w:sz w:val="32"/>
          <w:szCs w:val="32"/>
          <w:lang w:val="en-US" w:eastAsia="zh-CN"/>
        </w:rPr>
        <w:t>1238.01</w:t>
      </w:r>
      <w:r>
        <w:rPr>
          <w:rFonts w:hint="eastAsia" w:ascii="仿宋_GB2312" w:hAnsi="仿宋" w:eastAsia="仿宋_GB2312" w:cs="仿宋_GB2312"/>
          <w:sz w:val="32"/>
          <w:szCs w:val="32"/>
        </w:rPr>
        <w:t>万元，占本年收入的100%。</w:t>
      </w:r>
    </w:p>
    <w:p>
      <w:pPr>
        <w:numPr>
          <w:ilvl w:val="0"/>
          <w:numId w:val="0"/>
        </w:num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lang w:eastAsia="zh-CN"/>
        </w:rPr>
        <w:t>（二）</w:t>
      </w:r>
      <w:r>
        <w:rPr>
          <w:rFonts w:hint="eastAsia" w:ascii="仿宋_GB2312" w:hAnsi="仿宋" w:eastAsia="仿宋_GB2312" w:cs="仿宋_GB2312"/>
          <w:sz w:val="32"/>
          <w:szCs w:val="32"/>
        </w:rPr>
        <w:t>部门财政资金支出情况。</w:t>
      </w:r>
    </w:p>
    <w:p>
      <w:p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1．支出与预算对比分析：本年预算支出</w:t>
      </w:r>
      <w:r>
        <w:rPr>
          <w:rFonts w:hint="eastAsia" w:ascii="仿宋_GB2312" w:hAnsi="仿宋" w:eastAsia="仿宋_GB2312" w:cs="仿宋_GB2312"/>
          <w:sz w:val="32"/>
          <w:szCs w:val="32"/>
          <w:lang w:val="en-US" w:eastAsia="zh-CN"/>
        </w:rPr>
        <w:t>528.09</w:t>
      </w:r>
      <w:r>
        <w:rPr>
          <w:rFonts w:hint="eastAsia" w:ascii="仿宋_GB2312" w:hAnsi="仿宋" w:eastAsia="仿宋_GB2312" w:cs="仿宋_GB2312"/>
          <w:sz w:val="32"/>
          <w:szCs w:val="32"/>
        </w:rPr>
        <w:t>万元，本年决算数支出</w:t>
      </w:r>
      <w:r>
        <w:rPr>
          <w:rFonts w:hint="eastAsia" w:ascii="仿宋_GB2312" w:hAnsi="仿宋" w:eastAsia="仿宋_GB2312" w:cs="仿宋_GB2312"/>
          <w:sz w:val="32"/>
          <w:szCs w:val="32"/>
          <w:lang w:val="en-US" w:eastAsia="zh-CN"/>
        </w:rPr>
        <w:t>1238.01</w:t>
      </w:r>
      <w:r>
        <w:rPr>
          <w:rFonts w:hint="eastAsia" w:ascii="仿宋_GB2312" w:hAnsi="仿宋" w:eastAsia="仿宋_GB2312" w:cs="仿宋_GB2312"/>
          <w:sz w:val="32"/>
          <w:szCs w:val="32"/>
        </w:rPr>
        <w:t>万元，本年实际支出比预算支出增加</w:t>
      </w:r>
      <w:r>
        <w:rPr>
          <w:rFonts w:hint="eastAsia" w:ascii="仿宋_GB2312" w:hAnsi="仿宋" w:eastAsia="仿宋_GB2312" w:cs="仿宋_GB2312"/>
          <w:sz w:val="32"/>
          <w:szCs w:val="32"/>
          <w:lang w:val="en-US" w:eastAsia="zh-CN"/>
        </w:rPr>
        <w:t>709.92</w:t>
      </w:r>
      <w:r>
        <w:rPr>
          <w:rFonts w:hint="eastAsia" w:ascii="仿宋_GB2312" w:hAnsi="仿宋" w:eastAsia="仿宋_GB2312" w:cs="仿宋_GB2312"/>
          <w:sz w:val="32"/>
          <w:szCs w:val="32"/>
        </w:rPr>
        <w:t>万元，差异率13</w:t>
      </w:r>
      <w:r>
        <w:rPr>
          <w:rFonts w:hint="eastAsia" w:ascii="仿宋_GB2312" w:hAnsi="仿宋" w:eastAsia="仿宋_GB2312" w:cs="仿宋_GB2312"/>
          <w:sz w:val="32"/>
          <w:szCs w:val="32"/>
          <w:lang w:val="en-US" w:eastAsia="zh-CN"/>
        </w:rPr>
        <w:t>4.43</w:t>
      </w:r>
      <w:r>
        <w:rPr>
          <w:rFonts w:hint="eastAsia" w:ascii="仿宋_GB2312" w:hAnsi="仿宋" w:eastAsia="仿宋_GB2312" w:cs="仿宋_GB2312"/>
          <w:sz w:val="32"/>
          <w:szCs w:val="32"/>
        </w:rPr>
        <w:t>%。差异主要原因：一是：2022年行政新增1名驾驶员，工资支出、社会保障和就业支出、卫生健康支出、住房保障支出均相应增加；二是：年中州上下达项目资金，收入增加。</w:t>
      </w:r>
    </w:p>
    <w:p>
      <w:p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2．本年支出与上年支出的对比分析: 本年度实际支出</w:t>
      </w:r>
      <w:r>
        <w:rPr>
          <w:rFonts w:hint="eastAsia" w:ascii="仿宋_GB2312" w:hAnsi="仿宋" w:eastAsia="仿宋_GB2312" w:cs="仿宋_GB2312"/>
          <w:sz w:val="32"/>
          <w:szCs w:val="32"/>
          <w:lang w:val="en-US" w:eastAsia="zh-CN"/>
        </w:rPr>
        <w:t>1238.01</w:t>
      </w:r>
      <w:r>
        <w:rPr>
          <w:rFonts w:hint="eastAsia" w:ascii="仿宋_GB2312" w:hAnsi="仿宋" w:eastAsia="仿宋_GB2312" w:cs="仿宋_GB2312"/>
          <w:sz w:val="32"/>
          <w:szCs w:val="32"/>
        </w:rPr>
        <w:t>万元，较上年度</w:t>
      </w:r>
      <w:r>
        <w:rPr>
          <w:rFonts w:hint="eastAsia" w:ascii="仿宋_GB2312" w:hAnsi="仿宋" w:eastAsia="仿宋_GB2312" w:cs="仿宋_GB2312"/>
          <w:sz w:val="32"/>
          <w:szCs w:val="32"/>
          <w:lang w:val="en-US" w:eastAsia="zh-CN"/>
        </w:rPr>
        <w:t>1166.29</w:t>
      </w:r>
      <w:r>
        <w:rPr>
          <w:rFonts w:hint="eastAsia" w:ascii="仿宋_GB2312" w:hAnsi="仿宋" w:eastAsia="仿宋_GB2312" w:cs="仿宋_GB2312"/>
          <w:sz w:val="32"/>
          <w:szCs w:val="32"/>
        </w:rPr>
        <w:t>万元，增加</w:t>
      </w:r>
      <w:r>
        <w:rPr>
          <w:rFonts w:hint="eastAsia" w:ascii="仿宋_GB2312" w:hAnsi="仿宋" w:eastAsia="仿宋_GB2312" w:cs="仿宋_GB2312"/>
          <w:sz w:val="32"/>
          <w:szCs w:val="32"/>
          <w:lang w:val="en-US" w:eastAsia="zh-CN"/>
        </w:rPr>
        <w:t>71.72</w:t>
      </w:r>
      <w:r>
        <w:rPr>
          <w:rFonts w:hint="eastAsia" w:ascii="仿宋_GB2312" w:hAnsi="仿宋" w:eastAsia="仿宋_GB2312" w:cs="仿宋_GB2312"/>
          <w:sz w:val="32"/>
          <w:szCs w:val="32"/>
        </w:rPr>
        <w:t>万元，增幅</w:t>
      </w:r>
      <w:r>
        <w:rPr>
          <w:rFonts w:hint="eastAsia" w:ascii="仿宋_GB2312" w:hAnsi="仿宋" w:eastAsia="仿宋_GB2312" w:cs="仿宋_GB2312"/>
          <w:sz w:val="32"/>
          <w:szCs w:val="32"/>
          <w:lang w:val="en-US" w:eastAsia="zh-CN"/>
        </w:rPr>
        <w:t>6.15</w:t>
      </w:r>
      <w:r>
        <w:rPr>
          <w:rFonts w:hint="eastAsia" w:ascii="仿宋_GB2312" w:hAnsi="仿宋" w:eastAsia="仿宋_GB2312" w:cs="仿宋_GB2312"/>
          <w:sz w:val="32"/>
          <w:szCs w:val="32"/>
        </w:rPr>
        <w:t xml:space="preserve">%,差异原因：一是：2022年行政新增1名驾驶员，工资支出、社会保障和就业支出、卫生健康支出、住房保障支出均相应增加；二是：年中州上下达项目资金，收入增加，支出增加。   </w:t>
      </w:r>
    </w:p>
    <w:p>
      <w:p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3.本年支出结构分析: 本年支出</w:t>
      </w:r>
      <w:r>
        <w:rPr>
          <w:rFonts w:hint="eastAsia" w:ascii="仿宋_GB2312" w:hAnsi="仿宋" w:eastAsia="仿宋_GB2312" w:cs="仿宋_GB2312"/>
          <w:sz w:val="32"/>
          <w:szCs w:val="32"/>
          <w:lang w:val="en-US" w:eastAsia="zh-CN"/>
        </w:rPr>
        <w:t>1238.01</w:t>
      </w:r>
      <w:r>
        <w:rPr>
          <w:rFonts w:hint="eastAsia" w:ascii="仿宋_GB2312" w:hAnsi="仿宋" w:eastAsia="仿宋_GB2312" w:cs="仿宋_GB2312"/>
          <w:sz w:val="32"/>
          <w:szCs w:val="32"/>
        </w:rPr>
        <w:t>万元，按资金来源分析：其中财政拨款支出</w:t>
      </w:r>
      <w:r>
        <w:rPr>
          <w:rFonts w:hint="eastAsia" w:ascii="仿宋_GB2312" w:hAnsi="仿宋" w:eastAsia="仿宋_GB2312" w:cs="仿宋_GB2312"/>
          <w:sz w:val="32"/>
          <w:szCs w:val="32"/>
          <w:lang w:val="en-US" w:eastAsia="zh-CN"/>
        </w:rPr>
        <w:t>1238.01</w:t>
      </w:r>
      <w:r>
        <w:rPr>
          <w:rFonts w:hint="eastAsia" w:ascii="仿宋_GB2312" w:hAnsi="仿宋" w:eastAsia="仿宋_GB2312" w:cs="仿宋_GB2312"/>
          <w:sz w:val="32"/>
          <w:szCs w:val="32"/>
        </w:rPr>
        <w:t>万元，占本年总支出的100%；按支出性质分析：基本支出</w:t>
      </w:r>
      <w:r>
        <w:rPr>
          <w:rFonts w:hint="eastAsia" w:ascii="仿宋_GB2312" w:hAnsi="仿宋" w:eastAsia="仿宋_GB2312" w:cs="仿宋_GB2312"/>
          <w:sz w:val="32"/>
          <w:szCs w:val="32"/>
          <w:lang w:val="en-US" w:eastAsia="zh-CN"/>
        </w:rPr>
        <w:t>323.49</w:t>
      </w:r>
      <w:r>
        <w:rPr>
          <w:rFonts w:hint="eastAsia" w:ascii="仿宋_GB2312" w:hAnsi="仿宋" w:eastAsia="仿宋_GB2312" w:cs="仿宋_GB2312"/>
          <w:sz w:val="32"/>
          <w:szCs w:val="32"/>
        </w:rPr>
        <w:t>万元，占本年总支出的</w:t>
      </w:r>
      <w:r>
        <w:rPr>
          <w:rFonts w:hint="eastAsia" w:ascii="仿宋_GB2312" w:hAnsi="仿宋" w:eastAsia="仿宋_GB2312" w:cs="仿宋_GB2312"/>
          <w:sz w:val="32"/>
          <w:szCs w:val="32"/>
          <w:lang w:val="en-US" w:eastAsia="zh-CN"/>
        </w:rPr>
        <w:t>26.13</w:t>
      </w:r>
      <w:r>
        <w:rPr>
          <w:rFonts w:hint="eastAsia" w:ascii="仿宋_GB2312" w:hAnsi="仿宋" w:eastAsia="仿宋_GB2312" w:cs="仿宋_GB2312"/>
          <w:sz w:val="32"/>
          <w:szCs w:val="32"/>
        </w:rPr>
        <w:t>%，项目支出9</w:t>
      </w:r>
      <w:r>
        <w:rPr>
          <w:rFonts w:hint="eastAsia" w:ascii="仿宋_GB2312" w:hAnsi="仿宋" w:eastAsia="仿宋_GB2312" w:cs="仿宋_GB2312"/>
          <w:sz w:val="32"/>
          <w:szCs w:val="32"/>
          <w:lang w:val="en-US" w:eastAsia="zh-CN"/>
        </w:rPr>
        <w:t>14.52</w:t>
      </w:r>
      <w:r>
        <w:rPr>
          <w:rFonts w:hint="eastAsia" w:ascii="仿宋_GB2312" w:hAnsi="仿宋" w:eastAsia="仿宋_GB2312" w:cs="仿宋_GB2312"/>
          <w:sz w:val="32"/>
          <w:szCs w:val="32"/>
        </w:rPr>
        <w:t>万元，占本年总支出的</w:t>
      </w:r>
      <w:r>
        <w:rPr>
          <w:rFonts w:hint="eastAsia" w:ascii="仿宋_GB2312" w:hAnsi="仿宋" w:eastAsia="仿宋_GB2312" w:cs="仿宋_GB2312"/>
          <w:sz w:val="32"/>
          <w:szCs w:val="32"/>
          <w:lang w:val="en-US" w:eastAsia="zh-CN"/>
        </w:rPr>
        <w:t>73.87</w:t>
      </w:r>
      <w:r>
        <w:rPr>
          <w:rFonts w:hint="eastAsia" w:ascii="仿宋_GB2312" w:hAnsi="仿宋" w:eastAsia="仿宋_GB2312" w:cs="仿宋_GB2312"/>
          <w:sz w:val="32"/>
          <w:szCs w:val="32"/>
        </w:rPr>
        <w:t>%；按支出经济分类：工资福利支出</w:t>
      </w:r>
      <w:r>
        <w:rPr>
          <w:rFonts w:hint="eastAsia" w:ascii="仿宋_GB2312" w:hAnsi="仿宋" w:eastAsia="仿宋_GB2312" w:cs="仿宋_GB2312"/>
          <w:sz w:val="32"/>
          <w:szCs w:val="32"/>
          <w:lang w:val="en-US" w:eastAsia="zh-CN"/>
        </w:rPr>
        <w:t>282.9</w:t>
      </w:r>
      <w:r>
        <w:rPr>
          <w:rFonts w:hint="eastAsia" w:ascii="仿宋_GB2312" w:hAnsi="仿宋" w:eastAsia="仿宋_GB2312" w:cs="仿宋_GB2312"/>
          <w:sz w:val="32"/>
          <w:szCs w:val="32"/>
        </w:rPr>
        <w:t>万元，占本年总支出</w:t>
      </w:r>
      <w:r>
        <w:rPr>
          <w:rFonts w:hint="eastAsia" w:ascii="仿宋_GB2312" w:hAnsi="仿宋" w:eastAsia="仿宋_GB2312" w:cs="仿宋_GB2312"/>
          <w:sz w:val="32"/>
          <w:szCs w:val="32"/>
          <w:lang w:val="en-US" w:eastAsia="zh-CN"/>
        </w:rPr>
        <w:t>22.85</w:t>
      </w:r>
      <w:r>
        <w:rPr>
          <w:rFonts w:hint="eastAsia" w:ascii="仿宋_GB2312" w:hAnsi="仿宋" w:eastAsia="仿宋_GB2312" w:cs="仿宋_GB2312"/>
          <w:sz w:val="32"/>
          <w:szCs w:val="32"/>
        </w:rPr>
        <w:t>%，商品和服务支出</w:t>
      </w:r>
      <w:r>
        <w:rPr>
          <w:rFonts w:hint="eastAsia" w:ascii="仿宋_GB2312" w:hAnsi="仿宋" w:eastAsia="仿宋_GB2312" w:cs="仿宋_GB2312"/>
          <w:sz w:val="32"/>
          <w:szCs w:val="32"/>
          <w:lang w:val="en-US" w:eastAsia="zh-CN"/>
        </w:rPr>
        <w:t>56.41</w:t>
      </w:r>
      <w:r>
        <w:rPr>
          <w:rFonts w:hint="eastAsia" w:ascii="仿宋_GB2312" w:hAnsi="仿宋" w:eastAsia="仿宋_GB2312" w:cs="仿宋_GB2312"/>
          <w:sz w:val="32"/>
          <w:szCs w:val="32"/>
        </w:rPr>
        <w:t>万元，占本年总支出</w:t>
      </w:r>
      <w:r>
        <w:rPr>
          <w:rFonts w:hint="eastAsia" w:ascii="仿宋_GB2312" w:hAnsi="仿宋" w:eastAsia="仿宋_GB2312" w:cs="仿宋_GB2312"/>
          <w:sz w:val="32"/>
          <w:szCs w:val="32"/>
          <w:lang w:val="en-US" w:eastAsia="zh-CN"/>
        </w:rPr>
        <w:t>4.56</w:t>
      </w:r>
      <w:r>
        <w:rPr>
          <w:rFonts w:hint="eastAsia" w:ascii="仿宋_GB2312" w:hAnsi="仿宋" w:eastAsia="仿宋_GB2312" w:cs="仿宋_GB2312"/>
          <w:sz w:val="32"/>
          <w:szCs w:val="32"/>
        </w:rPr>
        <w:t>%，对个人和家庭的补助支出</w:t>
      </w:r>
      <w:r>
        <w:rPr>
          <w:rFonts w:hint="eastAsia" w:ascii="仿宋_GB2312" w:hAnsi="仿宋" w:eastAsia="仿宋_GB2312" w:cs="仿宋_GB2312"/>
          <w:sz w:val="32"/>
          <w:szCs w:val="32"/>
          <w:lang w:val="en-US" w:eastAsia="zh-CN"/>
        </w:rPr>
        <w:t>2.17</w:t>
      </w:r>
      <w:r>
        <w:rPr>
          <w:rFonts w:hint="eastAsia" w:ascii="仿宋_GB2312" w:hAnsi="仿宋" w:eastAsia="仿宋_GB2312" w:cs="仿宋_GB2312"/>
          <w:sz w:val="32"/>
          <w:szCs w:val="32"/>
        </w:rPr>
        <w:t>万元，占本年总支出</w:t>
      </w:r>
      <w:r>
        <w:rPr>
          <w:rFonts w:hint="eastAsia" w:ascii="仿宋_GB2312" w:hAnsi="仿宋" w:eastAsia="仿宋_GB2312" w:cs="仿宋_GB2312"/>
          <w:sz w:val="32"/>
          <w:szCs w:val="32"/>
          <w:lang w:val="en-US" w:eastAsia="zh-CN"/>
        </w:rPr>
        <w:t>0.18</w:t>
      </w:r>
      <w:r>
        <w:rPr>
          <w:rFonts w:hint="eastAsia" w:ascii="仿宋_GB2312" w:hAnsi="仿宋" w:eastAsia="仿宋_GB2312" w:cs="仿宋_GB2312"/>
          <w:sz w:val="32"/>
          <w:szCs w:val="32"/>
        </w:rPr>
        <w:t>%，资本性支出896.52万元，占本年总支出</w:t>
      </w:r>
      <w:r>
        <w:rPr>
          <w:rFonts w:hint="eastAsia" w:ascii="仿宋_GB2312" w:hAnsi="仿宋" w:eastAsia="仿宋_GB2312" w:cs="仿宋_GB2312"/>
          <w:sz w:val="32"/>
          <w:szCs w:val="32"/>
          <w:lang w:val="en-US" w:eastAsia="zh-CN"/>
        </w:rPr>
        <w:t>72.42</w:t>
      </w:r>
      <w:r>
        <w:rPr>
          <w:rFonts w:hint="eastAsia" w:ascii="仿宋_GB2312" w:hAnsi="仿宋" w:eastAsia="仿宋_GB2312" w:cs="仿宋_GB2312"/>
          <w:sz w:val="32"/>
          <w:szCs w:val="32"/>
        </w:rPr>
        <w:t>%。</w:t>
      </w:r>
    </w:p>
    <w:p>
      <w:p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 xml:space="preserve"> 本年项目为：</w:t>
      </w:r>
      <w:r>
        <w:rPr>
          <w:rFonts w:hint="eastAsia" w:ascii="仿宋_GB2312" w:hAnsi="仿宋" w:eastAsia="仿宋_GB2312" w:cs="仿宋_GB2312"/>
          <w:b/>
          <w:bCs/>
          <w:sz w:val="32"/>
          <w:szCs w:val="32"/>
        </w:rPr>
        <w:t>中央、省、州资金：</w:t>
      </w:r>
      <w:r>
        <w:rPr>
          <w:rFonts w:hint="eastAsia" w:ascii="仿宋_GB2312" w:hAnsi="仿宋" w:eastAsia="仿宋_GB2312" w:cs="仿宋_GB2312"/>
          <w:sz w:val="32"/>
          <w:szCs w:val="32"/>
        </w:rPr>
        <w:t>（1）安全生产目标考核奖励资金：18万元；（2）2021年中省自然灾害救灾资金：137.06万元；（</w:t>
      </w:r>
      <w:r>
        <w:rPr>
          <w:rFonts w:hint="eastAsia" w:ascii="仿宋_GB2312" w:hAnsi="仿宋" w:eastAsia="仿宋_GB2312" w:cs="仿宋_GB2312"/>
          <w:sz w:val="32"/>
          <w:szCs w:val="32"/>
          <w:lang w:val="en-US" w:eastAsia="zh-CN"/>
        </w:rPr>
        <w:t>3</w:t>
      </w:r>
      <w:r>
        <w:rPr>
          <w:rFonts w:hint="eastAsia" w:ascii="仿宋_GB2312" w:hAnsi="仿宋" w:eastAsia="仿宋_GB2312" w:cs="仿宋_GB2312"/>
          <w:sz w:val="32"/>
          <w:szCs w:val="32"/>
        </w:rPr>
        <w:t>）四川省应急救援能力提升行动计划（2019-2021）项目补助资金：210.65万元；（</w:t>
      </w:r>
      <w:r>
        <w:rPr>
          <w:rFonts w:hint="eastAsia" w:ascii="仿宋_GB2312" w:hAnsi="仿宋" w:eastAsia="仿宋_GB2312" w:cs="仿宋_GB2312"/>
          <w:sz w:val="32"/>
          <w:szCs w:val="32"/>
          <w:lang w:val="en-US" w:eastAsia="zh-CN"/>
        </w:rPr>
        <w:t>4</w:t>
      </w:r>
      <w:r>
        <w:rPr>
          <w:rFonts w:hint="eastAsia" w:ascii="仿宋_GB2312" w:hAnsi="仿宋" w:eastAsia="仿宋_GB2312" w:cs="仿宋_GB2312"/>
          <w:sz w:val="32"/>
          <w:szCs w:val="32"/>
        </w:rPr>
        <w:t>）县应急局停机坪建设及外联道路项目代管资金：3.97万元；</w:t>
      </w:r>
      <w:r>
        <w:rPr>
          <w:rFonts w:hint="eastAsia" w:ascii="仿宋_GB2312" w:hAnsi="仿宋" w:eastAsia="仿宋_GB2312" w:cs="仿宋_GB2312"/>
          <w:b/>
          <w:bCs/>
          <w:sz w:val="32"/>
          <w:szCs w:val="32"/>
        </w:rPr>
        <w:t>县级存量资金：</w:t>
      </w:r>
      <w:r>
        <w:rPr>
          <w:rFonts w:hint="eastAsia" w:ascii="仿宋_GB2312" w:hAnsi="仿宋" w:eastAsia="仿宋_GB2312" w:cs="仿宋_GB2312"/>
          <w:sz w:val="32"/>
          <w:szCs w:val="32"/>
        </w:rPr>
        <w:t>（</w:t>
      </w:r>
      <w:r>
        <w:rPr>
          <w:rFonts w:hint="eastAsia" w:ascii="仿宋_GB2312" w:hAnsi="仿宋" w:eastAsia="仿宋_GB2312" w:cs="仿宋_GB2312"/>
          <w:sz w:val="32"/>
          <w:szCs w:val="32"/>
          <w:lang w:val="en-US" w:eastAsia="zh-CN"/>
        </w:rPr>
        <w:t>5</w:t>
      </w:r>
      <w:r>
        <w:rPr>
          <w:rFonts w:hint="eastAsia" w:ascii="仿宋_GB2312" w:hAnsi="仿宋" w:eastAsia="仿宋_GB2312" w:cs="仿宋_GB2312"/>
          <w:sz w:val="32"/>
          <w:szCs w:val="32"/>
        </w:rPr>
        <w:t>）防灾减灾专项资金：308.36万元；（</w:t>
      </w:r>
      <w:r>
        <w:rPr>
          <w:rFonts w:hint="eastAsia" w:ascii="仿宋_GB2312" w:hAnsi="仿宋" w:eastAsia="仿宋_GB2312" w:cs="仿宋_GB2312"/>
          <w:sz w:val="32"/>
          <w:szCs w:val="32"/>
          <w:lang w:val="en-US" w:eastAsia="zh-CN"/>
        </w:rPr>
        <w:t>6</w:t>
      </w:r>
      <w:r>
        <w:rPr>
          <w:rFonts w:hint="eastAsia" w:ascii="仿宋_GB2312" w:hAnsi="仿宋" w:eastAsia="仿宋_GB2312" w:cs="仿宋_GB2312"/>
          <w:sz w:val="32"/>
          <w:szCs w:val="32"/>
        </w:rPr>
        <w:t>）防汛抗旱物资采购资金：142.66万元；（</w:t>
      </w:r>
      <w:r>
        <w:rPr>
          <w:rFonts w:hint="eastAsia" w:ascii="仿宋_GB2312" w:hAnsi="仿宋" w:eastAsia="仿宋_GB2312" w:cs="仿宋_GB2312"/>
          <w:sz w:val="32"/>
          <w:szCs w:val="32"/>
          <w:lang w:val="en-US" w:eastAsia="zh-CN"/>
        </w:rPr>
        <w:t>7</w:t>
      </w:r>
      <w:r>
        <w:rPr>
          <w:rFonts w:hint="eastAsia" w:ascii="仿宋_GB2312" w:hAnsi="仿宋" w:eastAsia="仿宋_GB2312" w:cs="仿宋_GB2312"/>
          <w:sz w:val="32"/>
          <w:szCs w:val="32"/>
        </w:rPr>
        <w:t>）消防水罐车采购资金：97.8万元。</w:t>
      </w:r>
    </w:p>
    <w:p>
      <w:pPr>
        <w:spacing w:line="580" w:lineRule="exact"/>
        <w:ind w:firstLine="640" w:firstLineChars="200"/>
        <w:rPr>
          <w:rFonts w:ascii="仿宋_GB2312" w:hAnsi="黑体" w:eastAsia="仿宋_GB2312" w:cs="黑体"/>
          <w:sz w:val="32"/>
          <w:szCs w:val="32"/>
        </w:rPr>
      </w:pPr>
      <w:r>
        <w:rPr>
          <w:rFonts w:hint="eastAsia" w:ascii="仿宋_GB2312" w:hAnsi="黑体" w:eastAsia="仿宋_GB2312" w:cs="黑体"/>
          <w:sz w:val="32"/>
          <w:szCs w:val="32"/>
        </w:rPr>
        <w:t>三、部门整体预算绩效管理情况（根据适用指标体系进行调整）</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（一）部门预算管理。</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包括部门绩效目标制定、目标完成、预算编制准确、支出控制、预算动态调整、执行进度、预算完成情况和违规记录等情况：202</w:t>
      </w:r>
      <w:r>
        <w:rPr>
          <w:rFonts w:hint="eastAsia" w:ascii="仿宋_GB2312" w:hAnsi="仿宋" w:eastAsia="仿宋_GB2312" w:cs="仿宋_GB2312"/>
          <w:sz w:val="32"/>
          <w:szCs w:val="32"/>
          <w:lang w:val="en-US" w:eastAsia="zh-CN"/>
        </w:rPr>
        <w:t>2</w:t>
      </w:r>
      <w:r>
        <w:rPr>
          <w:rFonts w:hint="eastAsia" w:ascii="仿宋_GB2312" w:hAnsi="仿宋" w:eastAsia="仿宋_GB2312" w:cs="仿宋_GB2312"/>
          <w:sz w:val="32"/>
          <w:szCs w:val="32"/>
        </w:rPr>
        <w:t>年本部门的绩效目标制定、目标完成、预算编制等均按照县财政局下达的相关文件指标进行了编制，均按相关要求严格执行预算范围内开支，并完成所有预定目标，年中人员</w:t>
      </w:r>
      <w:r>
        <w:rPr>
          <w:rFonts w:hint="eastAsia" w:ascii="仿宋_GB2312" w:hAnsi="仿宋" w:eastAsia="仿宋_GB2312" w:cs="仿宋_GB2312"/>
          <w:sz w:val="32"/>
          <w:szCs w:val="32"/>
          <w:lang w:eastAsia="zh-CN"/>
        </w:rPr>
        <w:t>调入</w:t>
      </w:r>
      <w:r>
        <w:rPr>
          <w:rFonts w:hint="eastAsia" w:ascii="仿宋_GB2312" w:hAnsi="仿宋" w:eastAsia="仿宋_GB2312" w:cs="仿宋_GB2312"/>
          <w:sz w:val="32"/>
          <w:szCs w:val="32"/>
        </w:rPr>
        <w:t>本单位，及时进行了预算动态调整，全年无违规记录。</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（二）专项预算管理。</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包括专项预算项目程序严密、规划合理、结果符合、分配科学、分配及时、专项预算绩效目标完成、实施绩效、违规记录等情况：本单位严格执行《四川省省级财政专项资金绩效分配管理暂行办法》，按照省级的专项资金管理办法，实施专款专用原则根据各项目进展、完成情况，合理规划、科学分配专项资金，分别用于应急抢险救援、避险转移安置、</w:t>
      </w:r>
      <w:r>
        <w:rPr>
          <w:rFonts w:hint="eastAsia" w:ascii="仿宋_GB2312" w:hAnsi="仿宋" w:eastAsia="仿宋_GB2312" w:cs="仿宋_GB2312"/>
          <w:sz w:val="32"/>
          <w:szCs w:val="32"/>
          <w:lang w:eastAsia="zh-CN"/>
        </w:rPr>
        <w:t>应急指挥中心建设</w:t>
      </w:r>
      <w:r>
        <w:rPr>
          <w:rFonts w:hint="eastAsia" w:ascii="仿宋_GB2312" w:hAnsi="仿宋" w:eastAsia="仿宋_GB2312" w:cs="仿宋_GB2312"/>
          <w:sz w:val="32"/>
          <w:szCs w:val="32"/>
        </w:rPr>
        <w:t>等专项项目上。完成专项预算绩效目标，无违规记录。</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（三）结果应用情况。</w:t>
      </w:r>
    </w:p>
    <w:p>
      <w:p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结合评价结果，对被评价项目绩效情况完成的程度和存在问题与建议加以综合分析，强化评价结果的应用，一是评价结果优秀且绩效突出的，在安排后续资金时给与充分保障；二是评价结果良好和合格的，在项目股室对存在的问题整改后，按正常从紧原则,编制预算，安排下一年度财政资金；三是评价结果为不合格的，对于实施过程评价的项目，要及时提出整改意见,未按要求整改的，要向同级政府提出暂停该项目。</w:t>
      </w:r>
    </w:p>
    <w:p>
      <w:p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结果应用</w:t>
      </w:r>
      <w:r>
        <w:rPr>
          <w:rFonts w:hint="eastAsia" w:ascii="仿宋_GB2312" w:hAnsi="仿宋" w:eastAsia="仿宋_GB2312" w:cs="仿宋_GB2312"/>
          <w:sz w:val="32"/>
          <w:szCs w:val="32"/>
          <w:lang w:eastAsia="zh-CN"/>
        </w:rPr>
        <w:t>情况</w:t>
      </w:r>
      <w:r>
        <w:rPr>
          <w:rFonts w:hint="eastAsia" w:ascii="仿宋_GB2312" w:hAnsi="仿宋" w:eastAsia="仿宋_GB2312" w:cs="仿宋_GB2312"/>
          <w:sz w:val="32"/>
          <w:szCs w:val="32"/>
        </w:rPr>
        <w:t>包括部门自评质量、绩效目标公开和自评公开、评价结果整改和应用结果反馈等情况：本单位按照财政局下达的预算指标，严格执行预算内开支，保障了单位正常运转，具体有：202</w:t>
      </w:r>
      <w:r>
        <w:rPr>
          <w:rFonts w:hint="eastAsia" w:ascii="仿宋_GB2312" w:hAnsi="仿宋" w:eastAsia="仿宋_GB2312" w:cs="仿宋_GB2312"/>
          <w:sz w:val="32"/>
          <w:szCs w:val="32"/>
          <w:lang w:val="en-US" w:eastAsia="zh-CN"/>
        </w:rPr>
        <w:t>2</w:t>
      </w:r>
      <w:r>
        <w:rPr>
          <w:rFonts w:hint="eastAsia" w:ascii="仿宋_GB2312" w:hAnsi="仿宋" w:eastAsia="仿宋_GB2312" w:cs="仿宋_GB2312"/>
          <w:sz w:val="32"/>
          <w:szCs w:val="32"/>
        </w:rPr>
        <w:t>年度支出绩效较好，预算编制比较精确、合理;为认真落实中央八项</w:t>
      </w:r>
      <w:bookmarkStart w:id="1" w:name="_GoBack"/>
      <w:bookmarkEnd w:id="1"/>
      <w:r>
        <w:rPr>
          <w:rFonts w:hint="eastAsia" w:ascii="仿宋_GB2312" w:hAnsi="仿宋" w:eastAsia="仿宋_GB2312" w:cs="仿宋_GB2312"/>
          <w:sz w:val="32"/>
          <w:szCs w:val="32"/>
        </w:rPr>
        <w:t>规定等厉行节约，反对浪费规定要求，压缩了部分培训费及一般性支出;动态优化了年度预算安排，保障了在经费压缩情况下的高效运转;各项目经费的支出有力保障了全县</w:t>
      </w:r>
      <w:r>
        <w:rPr>
          <w:rFonts w:hint="eastAsia" w:ascii="仿宋_GB2312" w:hAnsi="仿宋" w:eastAsia="仿宋_GB2312" w:cs="仿宋_GB2312"/>
          <w:sz w:val="32"/>
          <w:szCs w:val="32"/>
          <w:lang w:eastAsia="zh-CN"/>
        </w:rPr>
        <w:t>应急管理、</w:t>
      </w:r>
      <w:r>
        <w:rPr>
          <w:rFonts w:hint="eastAsia" w:ascii="仿宋_GB2312" w:hAnsi="仿宋" w:eastAsia="仿宋_GB2312" w:cs="仿宋_GB2312"/>
          <w:sz w:val="32"/>
          <w:szCs w:val="32"/>
        </w:rPr>
        <w:t>安全生产工作推进等项目所需，推动了改革和各类便民措施的实行;提高了管理工作的规范化、信息化水平;强化机关公用经费及日常运行经费管理，对于各科室日常公用经费按照相关政策进行管理，对于办公日常运行维护费用加强审核力度，公用经费及水、电等日常运行经费均有一定下降。</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本部门的预决算编制均按照县财政局下达的相关文件指标进行了编制，按时完成经、编制工作，决算报表和说明均在黑水县政府门户网站公开。绩效目标也按照有关文件如实进行了填报。专项预算也提前进行了规划和筹划。</w:t>
      </w:r>
    </w:p>
    <w:p>
      <w:pPr>
        <w:spacing w:line="580" w:lineRule="exact"/>
        <w:ind w:firstLine="640" w:firstLineChars="200"/>
        <w:rPr>
          <w:rFonts w:ascii="仿宋_GB2312" w:hAnsi="黑体" w:eastAsia="仿宋_GB2312" w:cs="黑体"/>
          <w:sz w:val="32"/>
          <w:szCs w:val="32"/>
        </w:rPr>
      </w:pPr>
      <w:r>
        <w:rPr>
          <w:rFonts w:hint="eastAsia" w:ascii="仿宋_GB2312" w:hAnsi="黑体" w:eastAsia="仿宋_GB2312" w:cs="黑体"/>
          <w:sz w:val="32"/>
          <w:szCs w:val="32"/>
        </w:rPr>
        <w:t>四、评价结论及建议</w:t>
      </w:r>
    </w:p>
    <w:p>
      <w:p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（一）评价结论。</w:t>
      </w:r>
    </w:p>
    <w:p>
      <w:p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本部门按照县级部门预算编制通知和有关要求，按时完成基础工作；在县财政局批复日内向社会公开本部门的“三公”经费、机关运行经费的安排、使用情况；本部门的预算执行都达到了执行进度；本单位的财务制度健全，制度执行严格，会计核算符合县财政局的相关规定，资金达到了专款专用，开支标准合理、合法，实现了较高的工作效率和支出绩效。</w:t>
      </w:r>
    </w:p>
    <w:p>
      <w:pPr>
        <w:numPr>
          <w:ilvl w:val="0"/>
          <w:numId w:val="0"/>
        </w:num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结合我单位自评情况，我单位整体支出绩效评价自评总分为94分，评价结果为良好。</w:t>
      </w:r>
    </w:p>
    <w:p>
      <w:pPr>
        <w:numPr>
          <w:ilvl w:val="0"/>
          <w:numId w:val="0"/>
        </w:num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lang w:eastAsia="zh-CN"/>
        </w:rPr>
        <w:t>（二）</w:t>
      </w:r>
      <w:r>
        <w:rPr>
          <w:rFonts w:hint="eastAsia" w:ascii="仿宋_GB2312" w:hAnsi="仿宋" w:eastAsia="仿宋_GB2312" w:cs="仿宋_GB2312"/>
          <w:sz w:val="32"/>
          <w:szCs w:val="32"/>
        </w:rPr>
        <w:t>存在问题。</w:t>
      </w:r>
    </w:p>
    <w:p>
      <w:p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1、从绩效评价看，部门支出预算和绩效评价工作还存在部分项目无法用量化指标来进行考评的问题。</w:t>
      </w:r>
    </w:p>
    <w:p>
      <w:p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2、项目绩效信息收集机制不完善，奖惩机制缺乏，由此往往导致支出部]消极应付绩效评价工作，绩效评价结果应用流于形式。</w:t>
      </w:r>
    </w:p>
    <w:p>
      <w:pPr>
        <w:spacing w:line="580" w:lineRule="exact"/>
        <w:ind w:firstLine="640" w:firstLineChars="200"/>
        <w:rPr>
          <w:rFonts w:ascii="仿宋_GB2312" w:hAnsi="仿宋_GB2312" w:eastAsia="仿宋_GB2312" w:cs="仿宋_GB2312"/>
          <w:sz w:val="32"/>
          <w:szCs w:val="32"/>
        </w:rPr>
      </w:pPr>
      <w:r>
        <w:rPr>
          <w:rFonts w:hint="eastAsia" w:ascii="仿宋_GB2312" w:hAnsi="仿宋" w:eastAsia="仿宋_GB2312" w:cs="仿宋_GB2312"/>
          <w:sz w:val="32"/>
          <w:szCs w:val="32"/>
        </w:rPr>
        <w:t>（三）改进建议。</w:t>
      </w:r>
    </w:p>
    <w:p>
      <w:pPr>
        <w:widowControl/>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1、我们将进一步重视预算的编制工作，提高预算编制的精确度，提高财政资金使用效率，尽量减少预算执行调整、结转和结余注销的情形。</w:t>
      </w:r>
    </w:p>
    <w:p>
      <w:pPr>
        <w:widowControl/>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2、针对当前财政支出绩效评价结果应用存在的问题，我局</w:t>
      </w:r>
      <w:r>
        <w:rPr>
          <w:rFonts w:hint="eastAsia" w:ascii="仿宋_GB2312" w:hAnsi="仿宋_GB2312" w:eastAsia="仿宋_GB2312" w:cs="仿宋_GB2312"/>
          <w:b/>
          <w:bCs/>
          <w:sz w:val="32"/>
          <w:szCs w:val="32"/>
        </w:rPr>
        <w:t>一是</w:t>
      </w:r>
      <w:r>
        <w:rPr>
          <w:rFonts w:hint="eastAsia" w:ascii="仿宋_GB2312" w:hAnsi="仿宋_GB2312" w:eastAsia="仿宋_GB2312" w:cs="仿宋_GB2312"/>
          <w:sz w:val="32"/>
          <w:szCs w:val="32"/>
        </w:rPr>
        <w:t>建立与部门预算相结合的结果应用机制,采取项目预期绩效目标申报制度，强化评价结果在部门预算编制和执行中的应用，实现绩效评价结果在部门预算编制和执行中的应用，实现绩效评价与部门预算的有机结合，促进财政资金的合理分配与有效使用，科学应用财政支出绩效评价结果，提升财政精细化管理水平。</w:t>
      </w:r>
    </w:p>
    <w:p>
      <w:pPr>
        <w:widowControl/>
        <w:ind w:firstLine="642"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二是</w:t>
      </w:r>
      <w:r>
        <w:rPr>
          <w:rFonts w:hint="eastAsia" w:ascii="仿宋_GB2312" w:hAnsi="仿宋_GB2312" w:eastAsia="仿宋_GB2312" w:cs="仿宋_GB2312"/>
          <w:sz w:val="32"/>
          <w:szCs w:val="32"/>
        </w:rPr>
        <w:t>建立项目预期绩效目标申报制度，在布置年度部门预算时，明确项目预期绩效目标的具体申报要求，对那些不设预期绩效目标的不予立项，不安排预算资金；加强对项目预期绩效目标的审核，合理安排项目所需资金，逐步建立和健全项目预期绩效目标申报制度,提高财政资金安排有效性。</w:t>
      </w:r>
    </w:p>
    <w:p>
      <w:pPr>
        <w:widowControl/>
        <w:ind w:firstLine="642"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三是</w:t>
      </w:r>
      <w:r>
        <w:rPr>
          <w:rFonts w:hint="eastAsia" w:ascii="仿宋_GB2312" w:hAnsi="仿宋_GB2312" w:eastAsia="仿宋_GB2312" w:cs="仿宋_GB2312"/>
          <w:sz w:val="32"/>
          <w:szCs w:val="32"/>
        </w:rPr>
        <w:t>建立评价结果在部门预算安排执行中的激励与约束机制。结合评价结果，对被评价项目绩效情况完成的程度和存在问题与建议加以综合分析，强化评价结果的应用。</w:t>
      </w:r>
    </w:p>
    <w:p>
      <w:pPr>
        <w:widowControl/>
        <w:ind w:firstLine="640" w:firstLineChars="200"/>
        <w:jc w:val="left"/>
        <w:rPr>
          <w:rFonts w:hint="eastAsia" w:ascii="仿宋_GB2312" w:hAnsi="仿宋_GB2312" w:eastAsia="仿宋_GB2312" w:cs="仿宋_GB2312"/>
          <w:sz w:val="32"/>
          <w:szCs w:val="32"/>
        </w:rPr>
      </w:pPr>
    </w:p>
    <w:p>
      <w:pPr>
        <w:widowControl/>
        <w:ind w:firstLine="5120" w:firstLineChars="16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黑水县应急管理局</w:t>
      </w:r>
    </w:p>
    <w:p>
      <w:pPr>
        <w:widowControl/>
        <w:ind w:firstLine="5120" w:firstLineChars="16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年8月</w:t>
      </w:r>
      <w:r>
        <w:rPr>
          <w:rFonts w:hint="eastAsia" w:ascii="仿宋_GB2312" w:hAnsi="仿宋_GB2312" w:eastAsia="仿宋_GB2312" w:cs="仿宋_GB2312"/>
          <w:sz w:val="32"/>
          <w:szCs w:val="32"/>
          <w:lang w:val="en-US" w:eastAsia="zh-CN"/>
        </w:rPr>
        <w:t>29</w:t>
      </w:r>
      <w:r>
        <w:rPr>
          <w:rFonts w:hint="eastAsia" w:ascii="仿宋_GB2312" w:hAnsi="仿宋_GB2312" w:eastAsia="仿宋_GB2312" w:cs="仿宋_GB2312"/>
          <w:sz w:val="32"/>
          <w:szCs w:val="32"/>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方正小标宋简体">
    <w:altName w:val="方正小标宋_GBK"/>
    <w:panose1 w:val="00000000000000000000"/>
    <w:charset w:val="86"/>
    <w:family w:val="auto"/>
    <w:pitch w:val="default"/>
    <w:sig w:usb0="00000000" w:usb1="00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书宋_GBK">
    <w:panose1 w:val="02000000000000000000"/>
    <w:charset w:val="86"/>
    <w:family w:val="auto"/>
    <w:pitch w:val="default"/>
    <w:sig w:usb0="A00002BF" w:usb1="38CF7CFA" w:usb2="00082016" w:usb3="00000000" w:csb0="00040001" w:csb1="00000000"/>
  </w:font>
  <w:font w:name="AR PL UKai CN">
    <w:panose1 w:val="02000503000000000000"/>
    <w:charset w:val="86"/>
    <w:family w:val="auto"/>
    <w:pitch w:val="default"/>
    <w:sig w:usb0="A00002FF" w:usb1="3ACFFDFF" w:usb2="00000036" w:usb3="00000000" w:csb0="2016009F" w:csb1="DFD70000"/>
  </w:font>
  <w:font w:name="DejaVu Sans">
    <w:panose1 w:val="020B0603030804020204"/>
    <w:charset w:val="00"/>
    <w:family w:val="auto"/>
    <w:pitch w:val="default"/>
    <w:sig w:usb0="E7006EFF" w:usb1="D200FDFF" w:usb2="0A246029" w:usb3="0400200C" w:csb0="600001FF" w:csb1="D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C11E39D"/>
    <w:multiLevelType w:val="singleLevel"/>
    <w:tmpl w:val="7C11E39D"/>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BmMjY5ZDBlNWJjZGQwN2U4YzQ1MWFhMTVhYWNhZjAifQ=="/>
  </w:docVars>
  <w:rsids>
    <w:rsidRoot w:val="00491B22"/>
    <w:rsid w:val="00291808"/>
    <w:rsid w:val="00491B22"/>
    <w:rsid w:val="0052390C"/>
    <w:rsid w:val="08AD0CC8"/>
    <w:rsid w:val="25ED4C95"/>
    <w:rsid w:val="26660E24"/>
    <w:rsid w:val="28293CA6"/>
    <w:rsid w:val="2A450435"/>
    <w:rsid w:val="34EB1F43"/>
    <w:rsid w:val="36435EC2"/>
    <w:rsid w:val="4915480B"/>
    <w:rsid w:val="4EBB0CBB"/>
    <w:rsid w:val="54FC257C"/>
    <w:rsid w:val="56FF3A83"/>
    <w:rsid w:val="581D30C0"/>
    <w:rsid w:val="5B534956"/>
    <w:rsid w:val="60D032A5"/>
    <w:rsid w:val="68C11B82"/>
    <w:rsid w:val="696B32FB"/>
    <w:rsid w:val="6E5D529D"/>
    <w:rsid w:val="6F487810"/>
    <w:rsid w:val="70FD11B8"/>
    <w:rsid w:val="7BD9226E"/>
    <w:rsid w:val="BEBCC2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semiHidden/>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3">
    <w:name w:val="header"/>
    <w:basedOn w:val="1"/>
    <w:link w:val="6"/>
    <w:semiHidden/>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customStyle="1" w:styleId="6">
    <w:name w:val="页眉 Char"/>
    <w:basedOn w:val="5"/>
    <w:link w:val="3"/>
    <w:semiHidden/>
    <w:qFormat/>
    <w:uiPriority w:val="99"/>
    <w:rPr>
      <w:sz w:val="18"/>
      <w:szCs w:val="18"/>
    </w:rPr>
  </w:style>
  <w:style w:type="character" w:customStyle="1" w:styleId="7">
    <w:name w:val="页脚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10</Pages>
  <Words>4676</Words>
  <Characters>4945</Characters>
  <Lines>2</Lines>
  <Paragraphs>1</Paragraphs>
  <TotalTime>17</TotalTime>
  <ScaleCrop>false</ScaleCrop>
  <LinksUpToDate>false</LinksUpToDate>
  <CharactersWithSpaces>4952</CharactersWithSpaces>
  <Application>WPS Office_11.1.0.10702_F1E327BC-269C-435d-A152-05C5408002CA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2019-08-19T09:06:00Z</dcterms:created>
  <dc:creator>Sky123.Org</dc:creator>
  <cp:lastModifiedBy>user</cp:lastModifiedBy>
  <dcterms:modified xsi:type="dcterms:W3CDTF">2026-10-16T15:56:54Z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2052-11.1.0.10702</vt:lpwstr>
  </property>
  <property fmtid="{D5CDD505-2E9C-101B-9397-08002B2CF9AE}" pid="3" name="ICV">
    <vt:lpwstr>7199681F0D24423C9C090290C0DBF4A4_13</vt:lpwstr>
  </property>
</Properties>
</file>