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D049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0"/>
        <w:jc w:val="center"/>
        <w:rPr>
          <w:rFonts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黑水县民政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和退役军人事务</w:t>
      </w: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局</w:t>
      </w:r>
    </w:p>
    <w:p w14:paraId="65F59D5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2025年优抚对象抚恤项目绩效评价报告</w:t>
      </w:r>
    </w:p>
    <w:p w14:paraId="051047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 </w:t>
      </w:r>
    </w:p>
    <w:p w14:paraId="36AE538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一、评价工作开展及项目情况</w:t>
      </w:r>
    </w:p>
    <w:p w14:paraId="46295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-SA"/>
        </w:rPr>
        <w:t>根据《四川省财政厅关于提前下达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-SA"/>
        </w:rPr>
        <w:t>2025年中央和省级财政优抚对象抚恤补助资金的通知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-SA"/>
        </w:rPr>
        <w:t>》（阿州财社[202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-SA"/>
        </w:rPr>
        <w:t>5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-SA"/>
        </w:rPr>
        <w:t>]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-SA"/>
        </w:rPr>
        <w:t>4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-SA"/>
        </w:rPr>
        <w:t>号）该项目资金用于伤残人员、三属、烈士老年子女、在乡复员军人、农村籍退役士兵、带病回乡退伍军人、参战和参试退役人员等的生活补助支出。</w:t>
      </w:r>
    </w:p>
    <w:p w14:paraId="793AD986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567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优抚对象生活补助资金分为：中央、省级、州级、地方财政资金</w:t>
      </w:r>
      <w:r>
        <w:rPr>
          <w:rFonts w:hint="eastAsia" w:ascii="仿宋_GB2312" w:hAnsi="Times New Roman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  <w:t>。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本项目的主要内容是优抚对象生活经费补助。</w:t>
      </w:r>
    </w:p>
    <w:p w14:paraId="600EE1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二、评价结论及绩效分析</w:t>
      </w:r>
    </w:p>
    <w:p w14:paraId="22710A2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2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（一）评价结论</w:t>
      </w:r>
    </w:p>
    <w:p w14:paraId="54F23482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Times New Roman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  <w:t>退役军人部发[2021]36号）和《军人抚恤优待条例》第二章第十八条要求，全年及时、准确、足额发放军队离退休人员经费补助，提高军人参军荣誉感，提高家庭生活质量，改善生活条件，稳定人民生活，有助于维护社会的和谐稳定，促进经济的发展。所以补助该项目资金是有必要的。</w:t>
      </w:r>
    </w:p>
    <w:p w14:paraId="6666791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2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（二）绩效分析</w:t>
      </w:r>
    </w:p>
    <w:p w14:paraId="34481B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1、项目决策</w:t>
      </w:r>
    </w:p>
    <w:p w14:paraId="52DEEF43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按时完成资金的拨付工作，通过此项工作的开展，</w:t>
      </w:r>
      <w:r>
        <w:rPr>
          <w:rFonts w:hint="eastAsia" w:ascii="仿宋_GB2312" w:hAnsi="Calibri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</w:rPr>
        <w:t>提高军人参军荣誉感，提高家庭生活质量，改善生活条件，稳定生活，有助于维护社会的和谐稳定，促进经济的发展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，有利于促进经济发展，确保社会稳定繁荣发展。</w:t>
      </w:r>
    </w:p>
    <w:p w14:paraId="760D0D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 </w:t>
      </w:r>
    </w:p>
    <w:p w14:paraId="5E2B3E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2、项目管理</w:t>
      </w:r>
    </w:p>
    <w:p w14:paraId="128E9B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（1）资金到位</w:t>
      </w:r>
    </w:p>
    <w:p w14:paraId="02AE90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/>
        <w:jc w:val="both"/>
        <w:rPr>
          <w:rFonts w:hint="default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预算安排及时，专款专用。黑财预〔2025〕3号、阿州财社[202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]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号、阿州财社[202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]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72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号、阿州财社〔2024〕134号、阿州财社[202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]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137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号关于提前下达202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年中央和省级、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州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财政优抚对象抚恤补助资金的通知，黑财预〔2025〕3号、阿州财社〔2025〕7号、阿州财社〔2024〕102号、阿州财社〔2024〕126号、阿州财社〔202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〕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13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3号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下达2025年义务兵家庭优待金的通知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到位: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353.34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万元,其中：中央资金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0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万元,省级资金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0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万元，州级资金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291.32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zh-CN" w:eastAsia="zh-CN" w:bidi="ar"/>
        </w:rPr>
        <w:t>万元，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县级配套62.02万元。</w:t>
      </w:r>
    </w:p>
    <w:p w14:paraId="64A2B8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（2）资金使用</w:t>
      </w:r>
    </w:p>
    <w:p w14:paraId="0B5C12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2025年优抚对象175人,月发放优抚抚恤补助资金16.57万元。义务兵家庭优待金68人，年发放优待金142.45万元，每月20日前按时发放。</w:t>
      </w:r>
    </w:p>
    <w:p w14:paraId="71C8EDC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3、项目绩效</w:t>
      </w:r>
    </w:p>
    <w:p w14:paraId="12B269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8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(一) 项目完成情况。2025年优抚对象175人,月发放优抚抚恤补助资金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16.57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万元。义务兵家庭优待金68人，年发放优待金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142.45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万元/人，已达到100%。</w:t>
      </w:r>
    </w:p>
    <w:p w14:paraId="3FA27E64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2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（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二）项目效益情况</w:t>
      </w:r>
      <w:r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。</w:t>
      </w:r>
    </w:p>
    <w:tbl>
      <w:tblPr>
        <w:tblStyle w:val="14"/>
        <w:tblW w:w="102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0"/>
        <w:gridCol w:w="1069"/>
        <w:gridCol w:w="1235"/>
        <w:gridCol w:w="1296"/>
        <w:gridCol w:w="1114"/>
        <w:gridCol w:w="968"/>
        <w:gridCol w:w="1049"/>
        <w:gridCol w:w="928"/>
        <w:gridCol w:w="1824"/>
      </w:tblGrid>
      <w:tr w14:paraId="2C3CB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6BDB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总体 目标</w:t>
            </w:r>
          </w:p>
        </w:tc>
        <w:tc>
          <w:tcPr>
            <w:tcW w:w="9581" w:type="dxa"/>
            <w:gridSpan w:val="8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FB56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年度目标</w:t>
            </w:r>
          </w:p>
        </w:tc>
      </w:tr>
      <w:tr w14:paraId="02E2A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0" w:hRule="atLeast"/>
          <w:jc w:val="center"/>
        </w:trPr>
        <w:tc>
          <w:tcPr>
            <w:tcW w:w="65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FA7249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9581" w:type="dxa"/>
            <w:gridSpan w:val="8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9AF2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伤残人员、三属、烈士老年子女、在乡复员军人、农村籍退役士兵、带病回乡退伍军人、参战和参战退役人员等的生活补助支出。</w:t>
            </w:r>
          </w:p>
        </w:tc>
      </w:tr>
      <w:tr w14:paraId="3AA43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25ADE6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绩  效   指  标</w:t>
            </w:r>
          </w:p>
        </w:tc>
        <w:tc>
          <w:tcPr>
            <w:tcW w:w="10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7C3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A3B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226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0AC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E57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指标值</w:t>
            </w:r>
          </w:p>
        </w:tc>
        <w:tc>
          <w:tcPr>
            <w:tcW w:w="106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2D7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51E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权重</w:t>
            </w:r>
          </w:p>
        </w:tc>
        <w:tc>
          <w:tcPr>
            <w:tcW w:w="184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B2F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实际完成指标值</w:t>
            </w:r>
          </w:p>
        </w:tc>
      </w:tr>
      <w:tr w14:paraId="21BD4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72CCAF45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vMerge w:val="restart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5BA69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1F149D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数量指标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2C4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发放优抚对象人数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3E6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58D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175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EC1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人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4DA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A10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175人</w:t>
            </w:r>
          </w:p>
        </w:tc>
      </w:tr>
      <w:tr w14:paraId="41551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463534B6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53D0F593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0" w:type="dxa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263CAFF3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F70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发放家庭优待金人数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C71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273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68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F71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人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7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D0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68人</w:t>
            </w:r>
          </w:p>
        </w:tc>
      </w:tr>
      <w:tr w14:paraId="56174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24DC2A33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4833D75D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0" w:type="dxa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2CCBE01F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A1E0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优抚对象</w:t>
            </w: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月发放优抚抚恤补助资金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32C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C1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16.57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FBF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600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48D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16.57万元</w:t>
            </w:r>
          </w:p>
        </w:tc>
      </w:tr>
      <w:tr w14:paraId="1175C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34EFAE26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02C0F8AA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0" w:type="dxa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0A893CD9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744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家庭优待金</w:t>
            </w: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标准年</w:t>
            </w: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zh-CN" w:eastAsia="zh-CN"/>
              </w:rPr>
              <w:t>发放</w:t>
            </w: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补助资金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800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DDF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142.45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69A4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zh-CN" w:eastAsia="zh-CN"/>
              </w:rPr>
              <w:t>万元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683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A44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1.884万元</w:t>
            </w:r>
          </w:p>
        </w:tc>
      </w:tr>
      <w:tr w14:paraId="41EB2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2F1D5459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F0C935">
            <w:pPr>
              <w:rPr>
                <w:rFonts w:hint="default" w:ascii="Calibri" w:hAnsi="Calibri" w:cs="Calibri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F98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时效指标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534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按时发放优抚对象抚恤补助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5E5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=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9D8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15E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EAD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ECF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100%</w:t>
            </w:r>
          </w:p>
        </w:tc>
      </w:tr>
      <w:tr w14:paraId="7DD6E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6C77FAF8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AEED4F">
            <w:pPr>
              <w:rPr>
                <w:rFonts w:hint="default" w:ascii="Calibri" w:hAnsi="Calibri" w:cs="Calibri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11A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center"/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社会效益</w:t>
            </w:r>
          </w:p>
          <w:p w14:paraId="7F6F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C6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提升优抚对象和义务兵家庭</w:t>
            </w: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  <w:t>生活</w:t>
            </w: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质量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481E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D6C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优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C1D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40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D3D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优</w:t>
            </w:r>
          </w:p>
        </w:tc>
      </w:tr>
      <w:tr w14:paraId="16D01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3D84A5BB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438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center"/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满意度</w:t>
            </w:r>
          </w:p>
          <w:p w14:paraId="59523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00A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center"/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服务对象</w:t>
            </w:r>
          </w:p>
          <w:p w14:paraId="2E232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满意度指标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5F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  <w:t>优抚对象满意度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DAB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D0D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95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476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B7E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036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95%</w:t>
            </w:r>
          </w:p>
        </w:tc>
      </w:tr>
      <w:tr w14:paraId="3BEDC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nil"/>
              <w:left w:val="single" w:color="000000" w:sz="8" w:space="0"/>
              <w:bottom w:val="nil"/>
              <w:right w:val="nil"/>
            </w:tcBorders>
            <w:shd w:val="clear" w:color="auto" w:fill="auto"/>
            <w:vAlign w:val="center"/>
          </w:tcPr>
          <w:p w14:paraId="2C47196E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46F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成本指标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DE3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center"/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经济成本</w:t>
            </w:r>
          </w:p>
          <w:p w14:paraId="0AFFA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8C1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义务兵优待金及优抚对象投入资金</w:t>
            </w:r>
          </w:p>
        </w:tc>
        <w:tc>
          <w:tcPr>
            <w:tcW w:w="11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810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sz w:val="24"/>
                <w:szCs w:val="24"/>
                <w:u w:val="none"/>
              </w:rPr>
              <w:t>≤</w:t>
            </w:r>
          </w:p>
        </w:tc>
        <w:tc>
          <w:tcPr>
            <w:tcW w:w="9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7AA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353.34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35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08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F37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353.34万元</w:t>
            </w:r>
          </w:p>
        </w:tc>
      </w:tr>
    </w:tbl>
    <w:p w14:paraId="1244970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 </w:t>
      </w:r>
    </w:p>
    <w:p w14:paraId="217592D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三、存在主要问题</w:t>
      </w:r>
    </w:p>
    <w:p w14:paraId="717D910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无</w:t>
      </w:r>
      <w:bookmarkStart w:id="0" w:name="_GoBack"/>
      <w:bookmarkEnd w:id="0"/>
    </w:p>
    <w:p w14:paraId="4FFE211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四、相关措施建议</w:t>
      </w:r>
    </w:p>
    <w:p w14:paraId="110F8F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0" w:lineRule="atLeast"/>
        <w:ind w:left="0" w:right="0" w:firstLine="64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无</w:t>
      </w:r>
    </w:p>
    <w:p w14:paraId="72571027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4C22EC"/>
    <w:rsid w:val="004C22EC"/>
    <w:rsid w:val="007B38C6"/>
    <w:rsid w:val="019D235C"/>
    <w:rsid w:val="01AF3113"/>
    <w:rsid w:val="02217FDE"/>
    <w:rsid w:val="02D36DFE"/>
    <w:rsid w:val="0304066B"/>
    <w:rsid w:val="03990047"/>
    <w:rsid w:val="03AE3AF3"/>
    <w:rsid w:val="08E6788B"/>
    <w:rsid w:val="0A223AFB"/>
    <w:rsid w:val="0AC27F8E"/>
    <w:rsid w:val="0C5A2758"/>
    <w:rsid w:val="0CBF3458"/>
    <w:rsid w:val="0D7758B2"/>
    <w:rsid w:val="0E4F5ED2"/>
    <w:rsid w:val="10407BA3"/>
    <w:rsid w:val="1065378B"/>
    <w:rsid w:val="155B515D"/>
    <w:rsid w:val="16161084"/>
    <w:rsid w:val="16A45F07"/>
    <w:rsid w:val="170B7C92"/>
    <w:rsid w:val="178261DE"/>
    <w:rsid w:val="18D26F25"/>
    <w:rsid w:val="19B45FA4"/>
    <w:rsid w:val="19C27113"/>
    <w:rsid w:val="1B187922"/>
    <w:rsid w:val="1B4A3EC4"/>
    <w:rsid w:val="1F2C1918"/>
    <w:rsid w:val="1F3653A7"/>
    <w:rsid w:val="1FCD6C57"/>
    <w:rsid w:val="1FD91E28"/>
    <w:rsid w:val="206D21E8"/>
    <w:rsid w:val="214B2529"/>
    <w:rsid w:val="21E430C8"/>
    <w:rsid w:val="222608A0"/>
    <w:rsid w:val="23D75DD5"/>
    <w:rsid w:val="24971D74"/>
    <w:rsid w:val="2560231B"/>
    <w:rsid w:val="25D647F8"/>
    <w:rsid w:val="26E30088"/>
    <w:rsid w:val="27D74B17"/>
    <w:rsid w:val="284D151E"/>
    <w:rsid w:val="28771571"/>
    <w:rsid w:val="291458F7"/>
    <w:rsid w:val="2A862824"/>
    <w:rsid w:val="2AEF6B50"/>
    <w:rsid w:val="2BCB3634"/>
    <w:rsid w:val="2ED2428A"/>
    <w:rsid w:val="31506ACE"/>
    <w:rsid w:val="31FD7870"/>
    <w:rsid w:val="32C0264B"/>
    <w:rsid w:val="347421DC"/>
    <w:rsid w:val="36783969"/>
    <w:rsid w:val="369F3035"/>
    <w:rsid w:val="3801418B"/>
    <w:rsid w:val="399355FF"/>
    <w:rsid w:val="3A14459A"/>
    <w:rsid w:val="3BEB0739"/>
    <w:rsid w:val="3F141D55"/>
    <w:rsid w:val="408C3438"/>
    <w:rsid w:val="427034C5"/>
    <w:rsid w:val="42DF08CC"/>
    <w:rsid w:val="43211F34"/>
    <w:rsid w:val="433911DA"/>
    <w:rsid w:val="43CA6A92"/>
    <w:rsid w:val="43DD305D"/>
    <w:rsid w:val="44185E43"/>
    <w:rsid w:val="44F763A1"/>
    <w:rsid w:val="464078D3"/>
    <w:rsid w:val="47280A93"/>
    <w:rsid w:val="478101A3"/>
    <w:rsid w:val="486C78B4"/>
    <w:rsid w:val="4904314F"/>
    <w:rsid w:val="49236A90"/>
    <w:rsid w:val="4A0C2CD2"/>
    <w:rsid w:val="4AA246B9"/>
    <w:rsid w:val="4B4A03F0"/>
    <w:rsid w:val="4E0062C6"/>
    <w:rsid w:val="50403E60"/>
    <w:rsid w:val="509F455D"/>
    <w:rsid w:val="512C5624"/>
    <w:rsid w:val="5194362F"/>
    <w:rsid w:val="53E2021C"/>
    <w:rsid w:val="56E3266A"/>
    <w:rsid w:val="576E6185"/>
    <w:rsid w:val="57B166CC"/>
    <w:rsid w:val="59590F80"/>
    <w:rsid w:val="5B4238FF"/>
    <w:rsid w:val="5B6A7475"/>
    <w:rsid w:val="5BCF72D8"/>
    <w:rsid w:val="5D2242FB"/>
    <w:rsid w:val="5D63386B"/>
    <w:rsid w:val="5EE4753E"/>
    <w:rsid w:val="60AE7E03"/>
    <w:rsid w:val="61C40F61"/>
    <w:rsid w:val="62C77A86"/>
    <w:rsid w:val="63133F4E"/>
    <w:rsid w:val="65B74D39"/>
    <w:rsid w:val="6853455F"/>
    <w:rsid w:val="68DE6757"/>
    <w:rsid w:val="68F76661"/>
    <w:rsid w:val="690E647B"/>
    <w:rsid w:val="6B6A6E0E"/>
    <w:rsid w:val="6BFA3EFD"/>
    <w:rsid w:val="6C186A79"/>
    <w:rsid w:val="6CA632A9"/>
    <w:rsid w:val="6DB91902"/>
    <w:rsid w:val="6E077E25"/>
    <w:rsid w:val="6E8C2C9B"/>
    <w:rsid w:val="705D0EFE"/>
    <w:rsid w:val="706A53C9"/>
    <w:rsid w:val="706E310B"/>
    <w:rsid w:val="714125CE"/>
    <w:rsid w:val="7168174D"/>
    <w:rsid w:val="733E5017"/>
    <w:rsid w:val="75471136"/>
    <w:rsid w:val="77550B81"/>
    <w:rsid w:val="78F77B0A"/>
    <w:rsid w:val="7A4D4EB0"/>
    <w:rsid w:val="7D1D8844"/>
    <w:rsid w:val="7D4F7E21"/>
    <w:rsid w:val="7ED1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99" w:semiHidden="0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3"/>
    <w:basedOn w:val="1"/>
    <w:next w:val="1"/>
    <w:qFormat/>
    <w:uiPriority w:val="0"/>
    <w:pPr>
      <w:keepNext w:val="0"/>
      <w:keepLines/>
      <w:spacing w:line="240" w:lineRule="auto"/>
      <w:outlineLvl w:val="2"/>
    </w:pPr>
    <w:rPr>
      <w:rFonts w:cs="Times New Roman"/>
      <w:b/>
      <w:bCs/>
      <w:color w:val="000000"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5">
    <w:name w:val="Normal Indent"/>
    <w:basedOn w:val="1"/>
    <w:next w:val="6"/>
    <w:qFormat/>
    <w:uiPriority w:val="0"/>
    <w:pPr>
      <w:ind w:firstLine="567"/>
    </w:pPr>
    <w:rPr>
      <w:rFonts w:eastAsia="仿宋"/>
      <w:sz w:val="30"/>
      <w:szCs w:val="20"/>
    </w:rPr>
  </w:style>
  <w:style w:type="paragraph" w:styleId="6">
    <w:name w:val="Body Text First Indent"/>
    <w:basedOn w:val="7"/>
    <w:qFormat/>
    <w:uiPriority w:val="0"/>
    <w:pPr>
      <w:ind w:firstLine="420" w:firstLineChars="100"/>
    </w:pPr>
  </w:style>
  <w:style w:type="paragraph" w:styleId="7">
    <w:name w:val="Body Text"/>
    <w:basedOn w:val="1"/>
    <w:next w:val="8"/>
    <w:qFormat/>
    <w:uiPriority w:val="0"/>
    <w:pPr>
      <w:spacing w:after="120" w:afterLines="0"/>
    </w:pPr>
  </w:style>
  <w:style w:type="paragraph" w:customStyle="1" w:styleId="8">
    <w:name w:val="Default"/>
    <w:next w:val="1"/>
    <w:unhideWhenUsed/>
    <w:qFormat/>
    <w:uiPriority w:val="99"/>
    <w:pPr>
      <w:widowControl w:val="0"/>
      <w:autoSpaceDE w:val="0"/>
      <w:autoSpaceDN w:val="0"/>
      <w:adjustRightInd w:val="0"/>
      <w:jc w:val="center"/>
    </w:pPr>
    <w:rPr>
      <w:rFonts w:hint="eastAsia" w:ascii="Arial Unicode MS" w:hAnsi="Arial Unicode MS" w:eastAsia="Arial Unicode MS" w:cs="Times New Roman"/>
      <w:b/>
      <w:color w:val="000000"/>
      <w:sz w:val="24"/>
      <w:lang w:val="en-US" w:eastAsia="zh-CN" w:bidi="ar-SA"/>
    </w:rPr>
  </w:style>
  <w:style w:type="paragraph" w:styleId="9">
    <w:name w:val="Salutation"/>
    <w:basedOn w:val="1"/>
    <w:next w:val="1"/>
    <w:qFormat/>
    <w:uiPriority w:val="99"/>
  </w:style>
  <w:style w:type="paragraph" w:styleId="10">
    <w:name w:val="footer"/>
    <w:basedOn w:val="1"/>
    <w:link w:val="1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header"/>
    <w:basedOn w:val="1"/>
    <w:link w:val="1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2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6">
    <w:name w:val="页眉 Char"/>
    <w:basedOn w:val="15"/>
    <w:link w:val="11"/>
    <w:semiHidden/>
    <w:qFormat/>
    <w:uiPriority w:val="99"/>
    <w:rPr>
      <w:sz w:val="18"/>
      <w:szCs w:val="18"/>
    </w:rPr>
  </w:style>
  <w:style w:type="character" w:customStyle="1" w:styleId="17">
    <w:name w:val="页脚 Char"/>
    <w:basedOn w:val="15"/>
    <w:link w:val="10"/>
    <w:semiHidden/>
    <w:qFormat/>
    <w:uiPriority w:val="99"/>
    <w:rPr>
      <w:sz w:val="18"/>
      <w:szCs w:val="18"/>
    </w:rPr>
  </w:style>
  <w:style w:type="character" w:customStyle="1" w:styleId="18">
    <w:name w:val="标题 1 Char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font51"/>
    <w:basedOn w:val="1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0">
    <w:name w:val="font41"/>
    <w:basedOn w:val="15"/>
    <w:qFormat/>
    <w:uiPriority w:val="0"/>
    <w:rPr>
      <w:rFonts w:hint="default" w:ascii="方正黑体_GBK" w:hAnsi="方正黑体_GBK" w:eastAsia="方正黑体_GBK" w:cs="方正黑体_GBK"/>
      <w:color w:val="000000"/>
      <w:sz w:val="20"/>
      <w:szCs w:val="20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1051</Words>
  <Characters>1215</Characters>
  <Lines>2</Lines>
  <Paragraphs>1</Paragraphs>
  <TotalTime>0</TotalTime>
  <ScaleCrop>false</ScaleCrop>
  <LinksUpToDate>false</LinksUpToDate>
  <CharactersWithSpaces>1217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Administrator</cp:lastModifiedBy>
  <cp:lastPrinted>2023-08-30T09:00:00Z</cp:lastPrinted>
  <dcterms:modified xsi:type="dcterms:W3CDTF">2026-08-20T08:51:38Z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BF6640D8D4484E3CAEC229D9336BE1BF</vt:lpwstr>
  </property>
  <property fmtid="{D5CDD505-2E9C-101B-9397-08002B2CF9AE}" pid="4" name="KSOTemplateDocerSaveRecord">
    <vt:lpwstr>eyJoZGlkIjoiOTJiZTdkNjg4Mzc0NDJkM2NiYWFkYzU3MDJlYWMwMzEifQ==</vt:lpwstr>
  </property>
</Properties>
</file>