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widowControl/>
        <w:spacing w:line="480" w:lineRule="atLeast"/>
        <w:ind w:firstLine="60"/>
        <w:jc w:val="center"/>
        <w:rPr>
          <w:rFonts w:ascii="黑体" w:eastAsia="黑体" w:cs="黑体" w:hint="eastAsia"/>
          <w:kern w:val="0"/>
          <w:sz w:val="44"/>
          <w:szCs w:val="44"/>
          <w:lang w:eastAsia="zh-CN"/>
        </w:rPr>
      </w:pPr>
      <w:r>
        <w:rPr>
          <w:rFonts w:ascii="黑体" w:eastAsia="黑体" w:cs="黑体" w:hint="eastAsia"/>
          <w:kern w:val="0"/>
          <w:sz w:val="44"/>
          <w:szCs w:val="44"/>
        </w:rPr>
        <w:t>黑水县</w:t>
      </w:r>
      <w:r>
        <w:rPr>
          <w:rFonts w:ascii="黑体" w:eastAsia="黑体" w:cs="黑体" w:hint="eastAsia"/>
          <w:kern w:val="0"/>
          <w:sz w:val="44"/>
          <w:szCs w:val="44"/>
          <w:lang w:eastAsia="zh-CN"/>
        </w:rPr>
        <w:t>民政</w:t>
      </w:r>
      <w:r>
        <w:rPr>
          <w:rFonts w:ascii="黑体" w:eastAsia="黑体" w:cs="黑体" w:hint="eastAsia"/>
          <w:kern w:val="0"/>
          <w:sz w:val="44"/>
          <w:szCs w:val="44"/>
          <w:lang w:val="en-US" w:eastAsia="zh-CN"/>
        </w:rPr>
        <w:t>和退役军人事务</w:t>
      </w:r>
      <w:r>
        <w:rPr>
          <w:rFonts w:ascii="黑体" w:eastAsia="黑体" w:cs="黑体" w:hint="eastAsia"/>
          <w:kern w:val="0"/>
          <w:sz w:val="44"/>
          <w:szCs w:val="44"/>
          <w:lang w:eastAsia="zh-CN"/>
        </w:rPr>
        <w:t>局</w:t>
      </w:r>
    </w:p>
    <w:p>
      <w:pPr>
        <w:widowControl/>
        <w:spacing w:line="480" w:lineRule="atLeast"/>
        <w:ind w:firstLine="60"/>
        <w:jc w:val="center"/>
        <w:rPr>
          <w:rFonts w:ascii="黑体" w:eastAsia="黑体" w:cs="黑体" w:hint="eastAsia"/>
          <w:kern w:val="0"/>
          <w:sz w:val="44"/>
          <w:szCs w:val="44"/>
        </w:rPr>
      </w:pPr>
      <w:r>
        <w:rPr>
          <w:rFonts w:ascii="黑体" w:eastAsia="黑体" w:cs="黑体" w:hint="eastAsia"/>
          <w:kern w:val="0"/>
          <w:sz w:val="44"/>
          <w:szCs w:val="44"/>
          <w:lang w:val="en-US" w:eastAsia="zh-CN"/>
        </w:rPr>
        <w:t xml:space="preserve">   </w:t>
      </w:r>
      <w:r>
        <w:rPr>
          <w:rFonts w:ascii="黑体" w:eastAsia="黑体" w:cs="黑体" w:hint="eastAsia"/>
          <w:kern w:val="0"/>
          <w:sz w:val="44"/>
          <w:szCs w:val="44"/>
        </w:rPr>
        <w:t>关于“三公”经费</w:t>
      </w:r>
      <w:r>
        <w:rPr>
          <w:rFonts w:ascii="黑体" w:eastAsia="黑体" w:cs="黑体" w:hint="eastAsia"/>
          <w:kern w:val="0"/>
          <w:sz w:val="44"/>
          <w:szCs w:val="44"/>
          <w:lang w:val="en-US" w:eastAsia="zh-CN"/>
        </w:rPr>
        <w:t>2025</w:t>
      </w:r>
      <w:r>
        <w:rPr>
          <w:rFonts w:ascii="黑体" w:eastAsia="黑体" w:cs="黑体" w:hint="eastAsia"/>
          <w:kern w:val="0"/>
          <w:sz w:val="44"/>
          <w:szCs w:val="44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Chars="218" w:firstLine="69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我单位 “三公”经费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　　</w:t>
      </w:r>
      <w:r>
        <w:rPr>
          <w:rFonts w:ascii="黑体" w:eastAsia="黑体" w:cs="宋体" w:hint="eastAsia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　　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 xml:space="preserve">年决算支出 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万元,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较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2024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年度决算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持平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　　</w:t>
      </w:r>
      <w:r>
        <w:rPr>
          <w:rFonts w:ascii="黑体" w:eastAsia="黑体" w:cs="宋体" w:hint="eastAsia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　　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年决算支出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万元，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较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2024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left="700"/>
        <w:rPr>
          <w:rFonts w:ascii="仿宋_GB2312" w:eastAsia="仿宋_GB2312" w:cs="宋体" w:hint="eastAsia"/>
          <w:color w:val="333333"/>
          <w:kern w:val="0"/>
          <w:sz w:val="32"/>
          <w:szCs w:val="32"/>
        </w:rPr>
      </w:pPr>
      <w:r>
        <w:rPr>
          <w:rFonts w:ascii="黑体" w:eastAsia="黑体" w:cs="宋体" w:hint="eastAsia"/>
          <w:color w:val="333333"/>
          <w:kern w:val="0"/>
          <w:sz w:val="32"/>
          <w:szCs w:val="32"/>
          <w:lang w:val="en-US" w:eastAsia="zh-CN"/>
        </w:rPr>
        <w:t>三、</w:t>
      </w:r>
      <w:r>
        <w:rPr>
          <w:rFonts w:ascii="黑体" w:eastAsia="黑体" w:cs="宋体" w:hint="eastAsia"/>
          <w:color w:val="333333"/>
          <w:kern w:val="0"/>
          <w:sz w:val="32"/>
          <w:szCs w:val="32"/>
        </w:rPr>
        <w:t>公务用车购置及运行维护费</w:t>
      </w:r>
    </w:p>
    <w:p>
      <w:pPr>
        <w:widowControl/>
        <w:spacing w:line="480" w:lineRule="atLeast"/>
        <w:ind w:left="0" w:firstLineChars="200" w:firstLine="640"/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年决算支出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13.25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万元，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较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2024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14.25万元相比，减少1万元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left="0" w:firstLineChars="200" w:firstLine="64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单位共有公务用车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辆，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u w:val="none"/>
        </w:rPr>
        <w:t>其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中：轿车1辆，其他车型2辆。</w:t>
      </w:r>
    </w:p>
    <w:p>
      <w:pPr>
        <w:widowControl/>
        <w:spacing w:line="480" w:lineRule="atLeast"/>
        <w:ind w:firstLineChars="250" w:firstLine="8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年安排公务用车运行维护费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13.25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万元。</w:t>
      </w:r>
      <w:bookmarkStart w:id="0" w:name="_GoBack"/>
      <w:bookmarkEnd w:id="0"/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主要用于公务用车燃油、维修、保险等方面支出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，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 xml:space="preserve">保障民政局各项工作的顺利开展。   </w:t>
      </w:r>
    </w:p>
    <w:p>
      <w:pPr>
        <w:widowControl/>
        <w:spacing w:line="480" w:lineRule="atLeast"/>
        <w:ind w:firstLineChars="200" w:firstLine="64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年安排公务用车购置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辆，购置费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黑水县民政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val="en-US" w:eastAsia="zh-CN"/>
        </w:rPr>
        <w:t>和退役军人事务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局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333333"/>
          <w:kern w:val="0"/>
          <w:sz w:val="32"/>
          <w:szCs w:val="32"/>
          <w:lang w:eastAsia="zh-CN"/>
        </w:rPr>
        <w:t>2025</w:t>
      </w:r>
      <w:r>
        <w:rPr>
          <w:rFonts w:ascii="仿宋_GB2312" w:eastAsia="仿宋_GB2312" w:cs="宋体" w:hint="eastAsia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ascii="仿宋_GB2312" w:eastAsia="仿宋_GB2312" w:cs="宋体" w:hint="eastAsia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jc w:val="left"/>
        <w:tblInd w:w="0" w:type="dxa"/>
        <w:tblW w:w="842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rPr>
          <w:trHeight w:hRule="exact" w:val="697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年决算（万元）</w:t>
            </w:r>
          </w:p>
        </w:tc>
      </w:tr>
      <w:t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  <w:t>13.25</w:t>
            </w:r>
          </w:p>
        </w:tc>
      </w:tr>
      <w:t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  <w:lang w:val="en-US" w:eastAsia="zh-CN"/>
              </w:rPr>
              <w:t>13.25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方正黑体_GBK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variable"/>
    <w:sig w:usb0="00000000" w:usb1="00000000" w:usb2="00000000" w:usb3="00000000" w:csb0="00040000" w:csb1="00000000"/>
  </w:font>
  <w:font w:name="宋体">
    <w:altName w:val="方正书宋_GBK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Arial">
    <w:altName w:val="DejaVu Sans"/>
    <w:panose1 w:val="020B0604020202020204"/>
    <w:charset w:val="01"/>
    <w:family w:val="swiss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oNotDisplayPageBoundaries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2"/>
  </w:compat>
  <w:docVars>
    <w:docVar w:name="commondata" w:val="eyJoZGlkIjoiZTgzNmEyOTFjMjZjODc0OGIyZjk3N2Q1Zjc3YWU5Mj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宋体" w:cs="Times New Roman" w:hAnsi="Times New Roman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link w:val="1Char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Times New Roman" w:eastAsia="宋体" w:cs="Times New Roman" w:hAnsi="Times New Roman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rFonts w:ascii="Calibri" w:eastAsia="宋体" w:cs="Arial" w:hAnsi="Calibri"/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cs="Arial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3</TotalTime>
  <Application>Yozo_Office27021597764231179</Application>
  <Pages>2</Pages>
  <Words>349</Words>
  <Characters>410</Characters>
  <Lines>52</Lines>
  <Paragraphs>27</Paragraphs>
  <CharactersWithSpaces>486</CharactersWithSpaces>
  <Company>Sky123.Org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Sky123.Org</dc:creator>
  <cp:lastModifiedBy>user</cp:lastModifiedBy>
  <cp:revision>2</cp:revision>
  <dcterms:created xsi:type="dcterms:W3CDTF">2019-08-19T01:06:00Z</dcterms:created>
  <dcterms:modified xsi:type="dcterms:W3CDTF">2026-08-25T08:01:39Z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2052-12.1.0.28043</vt:lpwstr>
  </property>
  <property fmtid="{D5CDD505-2E9C-101B-9397-08002B2CF9AE}" pid="3" name="ICV">
    <vt:lpwstr>328C32D588F145779CF4529294CD0AA4</vt:lpwstr>
  </property>
  <property fmtid="{D5CDD505-2E9C-101B-9397-08002B2CF9AE}" pid="4" name="KSOTemplateDocerSaveRecord">
    <vt:lpwstr>eyJoZGlkIjoiOTJiZTdkNjg4Mzc0NDJkM2NiYWFkYzU3MDJlYWMwMzEifQ==</vt:lpwstr>
  </property>
</Properties>
</file>