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792597">
      <w:pPr>
        <w:spacing w:line="640" w:lineRule="exact"/>
        <w:jc w:val="left"/>
        <w:rPr>
          <w:rFonts w:hint="eastAsia" w:ascii="方正小标宋_GBK" w:hAnsi="方正小标宋_GBK" w:eastAsia="方正小标宋_GBK" w:cs="方正小标宋_GBK"/>
          <w:sz w:val="28"/>
          <w:szCs w:val="28"/>
          <w:lang w:val="en-US" w:eastAsia="zh-CN"/>
        </w:rPr>
      </w:pPr>
      <w:bookmarkStart w:id="0" w:name="_Toc15396616"/>
      <w:r>
        <w:rPr>
          <w:rFonts w:hint="eastAsia" w:ascii="方正小标宋_GBK" w:hAnsi="方正小标宋_GBK" w:eastAsia="方正小标宋_GBK" w:cs="方正小标宋_GBK"/>
          <w:sz w:val="28"/>
          <w:szCs w:val="28"/>
          <w:lang w:val="en-US" w:eastAsia="zh-CN"/>
        </w:rPr>
        <w:t>附件：1-2</w:t>
      </w:r>
    </w:p>
    <w:p w14:paraId="4E6D7C06">
      <w:pPr>
        <w:spacing w:line="600" w:lineRule="exact"/>
        <w:jc w:val="center"/>
        <w:outlineLvl w:val="0"/>
        <w:rPr>
          <w:rFonts w:hint="eastAsia" w:ascii="仿宋_GB2312" w:hAnsi="黑体" w:eastAsia="仿宋_GB2312" w:cs="方正小标宋简体"/>
          <w:b/>
          <w:sz w:val="32"/>
          <w:szCs w:val="32"/>
          <w:lang w:eastAsia="zh-CN"/>
        </w:rPr>
      </w:pPr>
    </w:p>
    <w:p w14:paraId="56D29400">
      <w:pPr>
        <w:spacing w:line="600" w:lineRule="exact"/>
        <w:jc w:val="center"/>
        <w:outlineLvl w:val="0"/>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黑水县交通</w:t>
      </w:r>
      <w:r>
        <w:rPr>
          <w:rFonts w:hint="eastAsia" w:ascii="方正小标宋简体" w:hAnsi="方正小标宋简体" w:eastAsia="方正小标宋简体" w:cs="方正小标宋简体"/>
          <w:b w:val="0"/>
          <w:bCs/>
          <w:sz w:val="44"/>
          <w:szCs w:val="44"/>
          <w:lang w:val="en-US" w:eastAsia="zh-CN"/>
        </w:rPr>
        <w:t>运输</w:t>
      </w:r>
      <w:r>
        <w:rPr>
          <w:rFonts w:hint="eastAsia" w:ascii="方正小标宋简体" w:hAnsi="方正小标宋简体" w:eastAsia="方正小标宋简体" w:cs="方正小标宋简体"/>
          <w:b w:val="0"/>
          <w:bCs/>
          <w:sz w:val="44"/>
          <w:szCs w:val="44"/>
        </w:rPr>
        <w:t>局（</w:t>
      </w:r>
      <w:r>
        <w:rPr>
          <w:rFonts w:hint="eastAsia" w:ascii="方正小标宋简体" w:hAnsi="方正小标宋简体" w:eastAsia="方正小标宋简体" w:cs="方正小标宋简体"/>
          <w:b w:val="0"/>
          <w:bCs/>
          <w:sz w:val="44"/>
          <w:szCs w:val="44"/>
          <w:lang w:eastAsia="zh-CN"/>
        </w:rPr>
        <w:t>汇总</w:t>
      </w:r>
      <w:r>
        <w:rPr>
          <w:rFonts w:hint="eastAsia" w:ascii="方正小标宋简体" w:hAnsi="方正小标宋简体" w:eastAsia="方正小标宋简体" w:cs="方正小标宋简体"/>
          <w:b w:val="0"/>
          <w:bCs/>
          <w:sz w:val="44"/>
          <w:szCs w:val="44"/>
        </w:rPr>
        <w:t>）20</w:t>
      </w:r>
      <w:r>
        <w:rPr>
          <w:rFonts w:hint="eastAsia" w:ascii="方正小标宋简体" w:hAnsi="方正小标宋简体" w:eastAsia="方正小标宋简体" w:cs="方正小标宋简体"/>
          <w:b w:val="0"/>
          <w:bCs/>
          <w:sz w:val="44"/>
          <w:szCs w:val="44"/>
          <w:lang w:val="en-US" w:eastAsia="zh-CN"/>
        </w:rPr>
        <w:t>25</w:t>
      </w:r>
      <w:r>
        <w:rPr>
          <w:rFonts w:hint="eastAsia" w:ascii="方正小标宋简体" w:hAnsi="方正小标宋简体" w:eastAsia="方正小标宋简体" w:cs="方正小标宋简体"/>
          <w:b w:val="0"/>
          <w:bCs/>
          <w:sz w:val="44"/>
          <w:szCs w:val="44"/>
        </w:rPr>
        <w:t>年部门</w:t>
      </w:r>
    </w:p>
    <w:p w14:paraId="23E31F77">
      <w:pPr>
        <w:spacing w:line="600" w:lineRule="exact"/>
        <w:jc w:val="center"/>
        <w:outlineLvl w:val="0"/>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整体支出绩效评价报告</w:t>
      </w:r>
      <w:bookmarkEnd w:id="0"/>
    </w:p>
    <w:p w14:paraId="4634350D">
      <w:pPr>
        <w:spacing w:line="580" w:lineRule="exact"/>
        <w:ind w:firstLine="880" w:firstLineChars="200"/>
        <w:rPr>
          <w:rFonts w:hint="eastAsia" w:ascii="方正小标宋简体" w:hAnsi="方正小标宋简体" w:eastAsia="方正小标宋简体" w:cs="方正小标宋简体"/>
          <w:b w:val="0"/>
          <w:bCs/>
          <w:sz w:val="44"/>
          <w:szCs w:val="44"/>
        </w:rPr>
      </w:pPr>
    </w:p>
    <w:p w14:paraId="2846E0BE">
      <w:pPr>
        <w:keepNext w:val="0"/>
        <w:keepLines w:val="0"/>
        <w:pageBreakBefore w:val="0"/>
        <w:kinsoku/>
        <w:wordWrap/>
        <w:topLinePunct w:val="0"/>
        <w:bidi w:val="0"/>
        <w:spacing w:line="56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一、部门（单位）概况</w:t>
      </w:r>
    </w:p>
    <w:p w14:paraId="3C364820">
      <w:pPr>
        <w:keepNext w:val="0"/>
        <w:keepLines w:val="0"/>
        <w:pageBreakBefore w:val="0"/>
        <w:kinsoku/>
        <w:wordWrap/>
        <w:topLinePunct w:val="0"/>
        <w:bidi w:val="0"/>
        <w:spacing w:line="560" w:lineRule="exact"/>
        <w:ind w:firstLine="643" w:firstLineChars="200"/>
        <w:rPr>
          <w:rFonts w:hint="eastAsia" w:ascii="楷体_GB2312" w:hAnsi="楷体_GB2312" w:eastAsia="楷体_GB2312" w:cs="楷体_GB2312"/>
          <w:b/>
          <w:bCs/>
          <w:sz w:val="32"/>
          <w:szCs w:val="32"/>
          <w:lang w:eastAsia="zh-CN"/>
        </w:rPr>
      </w:pPr>
      <w:r>
        <w:rPr>
          <w:rFonts w:hint="eastAsia" w:ascii="楷体_GB2312" w:hAnsi="楷体_GB2312" w:eastAsia="楷体_GB2312" w:cs="楷体_GB2312"/>
          <w:b/>
          <w:bCs/>
          <w:sz w:val="32"/>
          <w:szCs w:val="32"/>
        </w:rPr>
        <w:t>（一）机构组成</w:t>
      </w:r>
    </w:p>
    <w:p w14:paraId="047842C0">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Times New Roman" w:hAnsi="Times New Roman" w:eastAsia="仿宋" w:cs="Times New Roman"/>
          <w:sz w:val="32"/>
          <w:szCs w:val="32"/>
        </w:rPr>
      </w:pPr>
      <w:r>
        <w:rPr>
          <w:rFonts w:hint="default" w:ascii="Times New Roman" w:hAnsi="Times New Roman" w:eastAsia="仿宋" w:cs="Times New Roman"/>
          <w:sz w:val="32"/>
          <w:szCs w:val="32"/>
        </w:rPr>
        <w:t>本部门独立编制机构1个，内设办公室、</w:t>
      </w:r>
      <w:r>
        <w:rPr>
          <w:rFonts w:hint="default" w:ascii="Times New Roman" w:hAnsi="Times New Roman" w:eastAsia="仿宋" w:cs="Times New Roman"/>
          <w:sz w:val="32"/>
          <w:szCs w:val="32"/>
          <w:lang w:val="en-US" w:eastAsia="zh-CN"/>
        </w:rPr>
        <w:t>交通规划建设股（行政审批股）</w:t>
      </w:r>
      <w:r>
        <w:rPr>
          <w:rFonts w:hint="default" w:ascii="Times New Roman" w:hAnsi="Times New Roman" w:eastAsia="仿宋" w:cs="Times New Roman"/>
          <w:sz w:val="32"/>
          <w:szCs w:val="32"/>
        </w:rPr>
        <w:t>、</w:t>
      </w:r>
      <w:r>
        <w:rPr>
          <w:rFonts w:hint="default" w:ascii="Times New Roman" w:hAnsi="Times New Roman" w:eastAsia="仿宋" w:cs="Times New Roman"/>
          <w:sz w:val="32"/>
          <w:szCs w:val="32"/>
          <w:lang w:val="en-US" w:eastAsia="zh-CN"/>
        </w:rPr>
        <w:t>安全运输管理股</w:t>
      </w:r>
      <w:r>
        <w:rPr>
          <w:rFonts w:hint="default" w:ascii="Times New Roman" w:hAnsi="Times New Roman" w:eastAsia="仿宋" w:cs="Times New Roman"/>
          <w:sz w:val="32"/>
          <w:szCs w:val="32"/>
        </w:rPr>
        <w:t>、</w:t>
      </w:r>
      <w:r>
        <w:rPr>
          <w:rFonts w:hint="default" w:ascii="Times New Roman" w:hAnsi="Times New Roman" w:eastAsia="仿宋" w:cs="Times New Roman"/>
          <w:sz w:val="32"/>
          <w:szCs w:val="32"/>
          <w:lang w:val="en-US" w:eastAsia="zh-CN"/>
        </w:rPr>
        <w:t>农村公路服务中心</w:t>
      </w:r>
      <w:r>
        <w:rPr>
          <w:rFonts w:hint="default" w:ascii="Times New Roman" w:hAnsi="Times New Roman" w:eastAsia="仿宋" w:cs="Times New Roman"/>
          <w:sz w:val="32"/>
          <w:szCs w:val="32"/>
        </w:rPr>
        <w:t>、</w:t>
      </w:r>
      <w:r>
        <w:rPr>
          <w:rFonts w:hint="default" w:ascii="Times New Roman" w:hAnsi="Times New Roman" w:eastAsia="仿宋" w:cs="Times New Roman"/>
          <w:sz w:val="32"/>
          <w:szCs w:val="32"/>
          <w:lang w:val="en-US" w:eastAsia="zh-CN"/>
        </w:rPr>
        <w:t>公路工程质量监督管理站</w:t>
      </w:r>
      <w:r>
        <w:rPr>
          <w:rFonts w:hint="default" w:ascii="Times New Roman" w:hAnsi="Times New Roman" w:eastAsia="仿宋" w:cs="Times New Roman"/>
          <w:sz w:val="32"/>
          <w:szCs w:val="32"/>
        </w:rPr>
        <w:t>、</w:t>
      </w:r>
      <w:r>
        <w:rPr>
          <w:rFonts w:hint="eastAsia" w:eastAsia="仿宋" w:cs="Times New Roman"/>
          <w:sz w:val="32"/>
          <w:szCs w:val="32"/>
          <w:lang w:val="en-US" w:eastAsia="zh-CN"/>
        </w:rPr>
        <w:t>交通运输执法中队</w:t>
      </w:r>
      <w:r>
        <w:rPr>
          <w:rFonts w:hint="default" w:ascii="Times New Roman" w:hAnsi="Times New Roman" w:eastAsia="仿宋" w:cs="Times New Roman"/>
          <w:sz w:val="32"/>
          <w:szCs w:val="32"/>
          <w:lang w:val="en-US" w:eastAsia="zh-CN"/>
        </w:rPr>
        <w:t>6</w:t>
      </w:r>
      <w:r>
        <w:rPr>
          <w:rFonts w:hint="default" w:ascii="Times New Roman" w:hAnsi="Times New Roman" w:eastAsia="仿宋" w:cs="Times New Roman"/>
          <w:sz w:val="32"/>
          <w:szCs w:val="32"/>
        </w:rPr>
        <w:t>个股室。</w:t>
      </w:r>
    </w:p>
    <w:p w14:paraId="6FF46EBE">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default" w:ascii="Times New Roman" w:hAnsi="Times New Roman" w:eastAsia="仿宋" w:cs="Times New Roman"/>
          <w:sz w:val="32"/>
          <w:szCs w:val="32"/>
        </w:rPr>
      </w:pPr>
      <w:r>
        <w:rPr>
          <w:rFonts w:hint="default" w:ascii="Times New Roman" w:hAnsi="Times New Roman" w:eastAsia="仿宋" w:cs="Times New Roman"/>
          <w:sz w:val="32"/>
          <w:szCs w:val="32"/>
        </w:rPr>
        <w:t>本单位下属二级预算单位</w:t>
      </w:r>
      <w:r>
        <w:rPr>
          <w:rFonts w:hint="default" w:ascii="Times New Roman" w:hAnsi="Times New Roman" w:eastAsia="仿宋" w:cs="Times New Roman"/>
          <w:sz w:val="32"/>
          <w:szCs w:val="32"/>
          <w:lang w:val="en-US" w:eastAsia="zh-CN"/>
        </w:rPr>
        <w:t>0</w:t>
      </w:r>
      <w:r>
        <w:rPr>
          <w:rFonts w:hint="default" w:ascii="Times New Roman" w:hAnsi="Times New Roman" w:eastAsia="仿宋" w:cs="Times New Roman"/>
          <w:sz w:val="32"/>
          <w:szCs w:val="32"/>
        </w:rPr>
        <w:t>个，其中行政单位0个，参照公务员管理事业单位0个，其他事业单位0个。</w:t>
      </w:r>
    </w:p>
    <w:p w14:paraId="69D60DA2">
      <w:pPr>
        <w:keepNext w:val="0"/>
        <w:keepLines w:val="0"/>
        <w:pageBreakBefore w:val="0"/>
        <w:numPr>
          <w:ilvl w:val="0"/>
          <w:numId w:val="0"/>
        </w:numPr>
        <w:kinsoku/>
        <w:wordWrap/>
        <w:topLinePunct w:val="0"/>
        <w:bidi w:val="0"/>
        <w:spacing w:line="560" w:lineRule="exact"/>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kern w:val="2"/>
          <w:sz w:val="32"/>
          <w:szCs w:val="32"/>
          <w:lang w:val="en-US" w:eastAsia="zh-CN" w:bidi="ar-SA"/>
        </w:rPr>
        <w:t>（二）</w:t>
      </w:r>
      <w:r>
        <w:rPr>
          <w:rFonts w:hint="eastAsia" w:ascii="楷体_GB2312" w:hAnsi="楷体_GB2312" w:eastAsia="楷体_GB2312" w:cs="楷体_GB2312"/>
          <w:b/>
          <w:bCs/>
          <w:sz w:val="32"/>
          <w:szCs w:val="32"/>
        </w:rPr>
        <w:t>机构职能</w:t>
      </w:r>
    </w:p>
    <w:p w14:paraId="2DE03347">
      <w:pPr>
        <w:keepNext w:val="0"/>
        <w:keepLines w:val="0"/>
        <w:pageBreakBefore w:val="0"/>
        <w:widowControl/>
        <w:kinsoku/>
        <w:wordWrap/>
        <w:overflowPunct/>
        <w:topLinePunct w:val="0"/>
        <w:autoSpaceDE/>
        <w:autoSpaceDN/>
        <w:bidi w:val="0"/>
        <w:adjustRightInd/>
        <w:spacing w:line="560" w:lineRule="exact"/>
        <w:ind w:firstLine="640" w:firstLineChars="200"/>
        <w:jc w:val="both"/>
        <w:textAlignment w:val="auto"/>
        <w:rPr>
          <w:rFonts w:hint="default" w:ascii="Times New Roman" w:hAnsi="Times New Roman" w:eastAsia="仿宋" w:cs="Times New Roman"/>
          <w:kern w:val="2"/>
          <w:sz w:val="32"/>
          <w:szCs w:val="32"/>
          <w:lang w:val="en-US" w:eastAsia="zh-CN" w:bidi="ar-SA"/>
        </w:rPr>
      </w:pPr>
      <w:r>
        <w:rPr>
          <w:rFonts w:hint="default" w:ascii="Times New Roman" w:hAnsi="Times New Roman" w:eastAsia="仿宋" w:cs="Times New Roman"/>
          <w:sz w:val="32"/>
          <w:szCs w:val="32"/>
        </w:rPr>
        <w:t>贯彻落实党中央关于交通运输工作的方针政策和省委、州委、县委决策部署，在履行职责过程中坚持和加强党对交通运输工作的集中统一领导。主要职责是：贯彻执行国家、省、州有关交通运输行业的方针、政策和</w:t>
      </w:r>
      <w:r>
        <w:rPr>
          <w:rFonts w:hint="default" w:ascii="Times New Roman" w:hAnsi="Times New Roman" w:eastAsia="仿宋" w:cs="Times New Roman"/>
          <w:sz w:val="32"/>
          <w:szCs w:val="32"/>
          <w:lang w:eastAsia="zh-CN"/>
        </w:rPr>
        <w:t>法律法规</w:t>
      </w:r>
      <w:r>
        <w:rPr>
          <w:rFonts w:hint="default" w:ascii="Times New Roman" w:hAnsi="Times New Roman" w:eastAsia="仿宋" w:cs="Times New Roman"/>
          <w:sz w:val="32"/>
          <w:szCs w:val="32"/>
        </w:rPr>
        <w:t>。组织拟订并监督实施公路、水路等行业规划、政策</w:t>
      </w:r>
      <w:r>
        <w:rPr>
          <w:rFonts w:hint="default" w:ascii="Times New Roman" w:hAnsi="Times New Roman" w:eastAsia="仿宋" w:cs="Times New Roman"/>
          <w:sz w:val="32"/>
          <w:szCs w:val="32"/>
          <w:lang w:eastAsia="zh-CN"/>
        </w:rPr>
        <w:t>，</w:t>
      </w:r>
      <w:r>
        <w:rPr>
          <w:rFonts w:hint="default" w:ascii="Times New Roman" w:hAnsi="Times New Roman" w:eastAsia="仿宋" w:cs="Times New Roman"/>
          <w:sz w:val="32"/>
          <w:szCs w:val="32"/>
        </w:rPr>
        <w:t>会同有关部门组织编制综合运输体系规划。负责本系统、本部门依法行政工作，落实行政执法责任制。指导公路、水路行业有关体制改革工作，负责全县物流管理工作。承担道路、水路交通运输市场监管责任，组织制定道路运输有关政策、技术标准和运营规范并监督实施，指导乡镇管理工作，指导出租汽车行业管理工作，会同有关部门制定运输价格。</w:t>
      </w:r>
      <w:r>
        <w:rPr>
          <w:rFonts w:hint="default" w:ascii="Times New Roman" w:hAnsi="Times New Roman" w:eastAsia="仿宋" w:cs="Times New Roman"/>
          <w:kern w:val="2"/>
          <w:sz w:val="32"/>
          <w:szCs w:val="32"/>
          <w:lang w:val="en-US" w:eastAsia="zh-CN" w:bidi="ar-SA"/>
        </w:rPr>
        <w:t>拟订公路、水路工程建设相关政策、制度、技术标准并监督实施，组织协调公路有关重点工程建设和工程质量、安全生产监督管理工作，负责对交通行业和产业项目的招标投标活动的监督执法，承担全县高速公路统一管理、建设的有关工作（我县暂无高速公路）。指导交通运输基础设施管理和维护，承担有关重要设施的管理和维护。按规定指导交通运输行业经营管理，会同有关部门组织实施交通运输行业职业资格管理工作。指导公路、水路行业安全生产和应急管理工作。按规定组织协调省、州、县重点物资和紧急客货运输。组织协调地方交通战备工作，承担国防动员有关工作。制定交通运输科技政策并监督实施，组织重大科技开发。指导全县交通运输信息化建设，监测分析运行情况，开展相关统计工作，发布有关信息。指导公路、水路行业环境保护和节能减排工作。负责公路、水路有关涉外工作，开展对外经济技术交流与合作，指导全县交通运输行业招商引资和利用外资工作。 强化参与拟订物流业发展战略和规划，拟订有关政策并监督实施的职责。负责全县交通行政综合执法工作。</w:t>
      </w:r>
    </w:p>
    <w:p w14:paraId="3341CCE6">
      <w:pPr>
        <w:keepNext w:val="0"/>
        <w:keepLines w:val="0"/>
        <w:pageBreakBefore w:val="0"/>
        <w:numPr>
          <w:ilvl w:val="0"/>
          <w:numId w:val="0"/>
        </w:numPr>
        <w:kinsoku/>
        <w:wordWrap/>
        <w:topLinePunct w:val="0"/>
        <w:bidi w:val="0"/>
        <w:spacing w:line="560" w:lineRule="exact"/>
        <w:ind w:left="0" w:leftChars="0"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kern w:val="2"/>
          <w:sz w:val="32"/>
          <w:szCs w:val="32"/>
          <w:lang w:val="en-US" w:eastAsia="zh-CN" w:bidi="ar-SA"/>
        </w:rPr>
        <w:t>（三）</w:t>
      </w:r>
      <w:r>
        <w:rPr>
          <w:rFonts w:hint="eastAsia" w:ascii="楷体_GB2312" w:hAnsi="楷体_GB2312" w:eastAsia="楷体_GB2312" w:cs="楷体_GB2312"/>
          <w:b/>
          <w:bCs/>
          <w:sz w:val="32"/>
          <w:szCs w:val="32"/>
        </w:rPr>
        <w:t>人员概况</w:t>
      </w:r>
    </w:p>
    <w:p w14:paraId="7DD46BB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 w:cs="Times New Roman"/>
          <w:sz w:val="32"/>
          <w:szCs w:val="32"/>
        </w:rPr>
      </w:pPr>
      <w:r>
        <w:rPr>
          <w:rFonts w:hint="default" w:ascii="Times New Roman" w:hAnsi="Times New Roman" w:eastAsia="仿宋" w:cs="Times New Roman"/>
          <w:sz w:val="32"/>
          <w:szCs w:val="32"/>
          <w:lang w:eastAsia="zh-CN"/>
        </w:rPr>
        <w:t>1.编制</w:t>
      </w:r>
      <w:r>
        <w:rPr>
          <w:rFonts w:hint="default" w:ascii="Times New Roman" w:hAnsi="Times New Roman" w:eastAsia="仿宋" w:cs="Times New Roman"/>
          <w:sz w:val="32"/>
          <w:szCs w:val="32"/>
        </w:rPr>
        <w:t>情况：截至202</w:t>
      </w:r>
      <w:r>
        <w:rPr>
          <w:rFonts w:hint="eastAsia" w:eastAsia="仿宋" w:cs="Times New Roman"/>
          <w:sz w:val="32"/>
          <w:szCs w:val="32"/>
          <w:lang w:val="en-US" w:eastAsia="zh-CN"/>
        </w:rPr>
        <w:t>5</w:t>
      </w:r>
      <w:r>
        <w:rPr>
          <w:rFonts w:hint="default" w:ascii="Times New Roman" w:hAnsi="Times New Roman" w:eastAsia="仿宋" w:cs="Times New Roman"/>
          <w:sz w:val="32"/>
          <w:szCs w:val="32"/>
        </w:rPr>
        <w:t>年末，</w:t>
      </w:r>
      <w:r>
        <w:rPr>
          <w:rFonts w:hint="default" w:ascii="Times New Roman" w:hAnsi="Times New Roman" w:eastAsia="仿宋" w:cs="Times New Roman"/>
          <w:sz w:val="32"/>
          <w:szCs w:val="32"/>
          <w:lang w:eastAsia="zh-CN"/>
        </w:rPr>
        <w:t>我</w:t>
      </w:r>
      <w:r>
        <w:rPr>
          <w:rFonts w:hint="default" w:ascii="Times New Roman" w:hAnsi="Times New Roman" w:eastAsia="仿宋" w:cs="Times New Roman"/>
          <w:sz w:val="32"/>
          <w:szCs w:val="32"/>
        </w:rPr>
        <w:t>单位</w:t>
      </w:r>
      <w:r>
        <w:rPr>
          <w:rFonts w:hint="default" w:ascii="Times New Roman" w:hAnsi="Times New Roman" w:eastAsia="仿宋" w:cs="Times New Roman"/>
          <w:sz w:val="32"/>
          <w:szCs w:val="32"/>
          <w:lang w:val="en-US" w:eastAsia="zh-CN"/>
        </w:rPr>
        <w:t>行政</w:t>
      </w:r>
      <w:r>
        <w:rPr>
          <w:rFonts w:hint="default" w:ascii="Times New Roman" w:hAnsi="Times New Roman" w:eastAsia="仿宋" w:cs="Times New Roman"/>
          <w:sz w:val="32"/>
          <w:szCs w:val="32"/>
        </w:rPr>
        <w:t>编制</w:t>
      </w:r>
      <w:r>
        <w:rPr>
          <w:rFonts w:hint="default" w:ascii="Times New Roman" w:hAnsi="Times New Roman" w:eastAsia="仿宋" w:cs="Times New Roman"/>
          <w:sz w:val="32"/>
          <w:szCs w:val="32"/>
          <w:lang w:val="en-US" w:eastAsia="zh-CN"/>
        </w:rPr>
        <w:t>37</w:t>
      </w:r>
      <w:r>
        <w:rPr>
          <w:rFonts w:hint="default" w:ascii="Times New Roman" w:hAnsi="Times New Roman" w:eastAsia="仿宋" w:cs="Times New Roman"/>
          <w:sz w:val="32"/>
          <w:szCs w:val="32"/>
        </w:rPr>
        <w:t>名，</w:t>
      </w:r>
      <w:r>
        <w:rPr>
          <w:rFonts w:hint="default" w:ascii="Times New Roman" w:hAnsi="Times New Roman" w:eastAsia="仿宋" w:cs="Times New Roman"/>
          <w:sz w:val="32"/>
          <w:szCs w:val="32"/>
          <w:lang w:eastAsia="zh-CN"/>
        </w:rPr>
        <w:t>其中公务员</w:t>
      </w:r>
      <w:r>
        <w:rPr>
          <w:rFonts w:hint="default" w:ascii="Times New Roman" w:hAnsi="Times New Roman" w:eastAsia="仿宋" w:cs="Times New Roman"/>
          <w:sz w:val="32"/>
          <w:szCs w:val="32"/>
        </w:rPr>
        <w:t>编制</w:t>
      </w:r>
      <w:r>
        <w:rPr>
          <w:rFonts w:hint="default" w:ascii="Times New Roman" w:hAnsi="Times New Roman" w:eastAsia="仿宋" w:cs="Times New Roman"/>
          <w:sz w:val="32"/>
          <w:szCs w:val="32"/>
          <w:lang w:val="en-US" w:eastAsia="zh-CN"/>
        </w:rPr>
        <w:t>8名</w:t>
      </w:r>
      <w:r>
        <w:rPr>
          <w:rFonts w:hint="default" w:ascii="Times New Roman" w:hAnsi="Times New Roman" w:eastAsia="仿宋" w:cs="Times New Roman"/>
          <w:sz w:val="32"/>
          <w:szCs w:val="32"/>
        </w:rPr>
        <w:t>，</w:t>
      </w:r>
      <w:r>
        <w:rPr>
          <w:rFonts w:hint="default" w:ascii="Times New Roman" w:hAnsi="Times New Roman" w:eastAsia="仿宋" w:cs="Times New Roman"/>
          <w:sz w:val="32"/>
          <w:szCs w:val="32"/>
          <w:lang w:val="en-US" w:eastAsia="zh-CN"/>
        </w:rPr>
        <w:t>参公编制11名，</w:t>
      </w:r>
      <w:r>
        <w:rPr>
          <w:rFonts w:hint="default" w:ascii="Times New Roman" w:hAnsi="Times New Roman" w:eastAsia="仿宋" w:cs="Times New Roman"/>
          <w:sz w:val="32"/>
          <w:szCs w:val="32"/>
        </w:rPr>
        <w:t>事业编制</w:t>
      </w:r>
      <w:r>
        <w:rPr>
          <w:rFonts w:hint="default" w:ascii="Times New Roman" w:hAnsi="Times New Roman" w:eastAsia="仿宋" w:cs="Times New Roman"/>
          <w:sz w:val="32"/>
          <w:szCs w:val="32"/>
          <w:lang w:val="en-US" w:eastAsia="zh-CN"/>
        </w:rPr>
        <w:t>14名</w:t>
      </w:r>
      <w:r>
        <w:rPr>
          <w:rFonts w:hint="default" w:ascii="Times New Roman" w:hAnsi="Times New Roman" w:eastAsia="仿宋" w:cs="Times New Roman"/>
          <w:sz w:val="32"/>
          <w:szCs w:val="32"/>
          <w:lang w:eastAsia="zh-CN"/>
        </w:rPr>
        <w:t>，机关</w:t>
      </w:r>
      <w:r>
        <w:rPr>
          <w:rFonts w:hint="default" w:ascii="Times New Roman" w:hAnsi="Times New Roman" w:eastAsia="仿宋" w:cs="Times New Roman"/>
          <w:sz w:val="32"/>
          <w:szCs w:val="32"/>
        </w:rPr>
        <w:t>工勤</w:t>
      </w:r>
      <w:r>
        <w:rPr>
          <w:rFonts w:hint="default" w:ascii="Times New Roman" w:hAnsi="Times New Roman" w:eastAsia="仿宋" w:cs="Times New Roman"/>
          <w:sz w:val="32"/>
          <w:szCs w:val="32"/>
          <w:lang w:eastAsia="zh-CN"/>
        </w:rPr>
        <w:t>编制4名</w:t>
      </w:r>
      <w:r>
        <w:rPr>
          <w:rFonts w:hint="default" w:ascii="Times New Roman" w:hAnsi="Times New Roman" w:eastAsia="仿宋" w:cs="Times New Roman"/>
          <w:sz w:val="32"/>
          <w:szCs w:val="32"/>
        </w:rPr>
        <w:t>。</w:t>
      </w:r>
    </w:p>
    <w:p w14:paraId="6F7DCBC5">
      <w:pPr>
        <w:keepNext w:val="0"/>
        <w:keepLines w:val="0"/>
        <w:pageBreakBefore w:val="0"/>
        <w:widowControl/>
        <w:numPr>
          <w:ilvl w:val="0"/>
          <w:numId w:val="1"/>
        </w:numPr>
        <w:kinsoku/>
        <w:wordWrap/>
        <w:overflowPunct/>
        <w:topLinePunct w:val="0"/>
        <w:autoSpaceDE/>
        <w:autoSpaceDN/>
        <w:bidi w:val="0"/>
        <w:adjustRightInd/>
        <w:spacing w:line="560" w:lineRule="exact"/>
        <w:ind w:firstLine="640" w:firstLineChars="200"/>
        <w:jc w:val="left"/>
        <w:textAlignment w:val="auto"/>
        <w:rPr>
          <w:rFonts w:hint="default" w:ascii="Times New Roman" w:hAnsi="Times New Roman" w:eastAsia="仿宋" w:cs="Times New Roman"/>
          <w:sz w:val="32"/>
          <w:szCs w:val="32"/>
        </w:rPr>
      </w:pPr>
      <w:r>
        <w:rPr>
          <w:rFonts w:hint="default" w:ascii="Times New Roman" w:hAnsi="Times New Roman" w:eastAsia="仿宋" w:cs="Times New Roman"/>
          <w:sz w:val="32"/>
          <w:szCs w:val="32"/>
        </w:rPr>
        <w:t>在岗人员情况：</w:t>
      </w:r>
      <w:r>
        <w:rPr>
          <w:rFonts w:hint="default" w:ascii="Times New Roman" w:hAnsi="Times New Roman" w:eastAsia="仿宋" w:cs="Times New Roman"/>
          <w:sz w:val="32"/>
          <w:szCs w:val="32"/>
          <w:lang w:eastAsia="zh-CN"/>
        </w:rPr>
        <w:t>我局年</w:t>
      </w:r>
      <w:r>
        <w:rPr>
          <w:rFonts w:hint="default" w:ascii="Times New Roman" w:hAnsi="Times New Roman" w:eastAsia="仿宋" w:cs="Times New Roman"/>
          <w:sz w:val="32"/>
          <w:szCs w:val="32"/>
        </w:rPr>
        <w:t>末实有人数</w:t>
      </w:r>
      <w:r>
        <w:rPr>
          <w:rFonts w:hint="default" w:ascii="Times New Roman" w:hAnsi="Times New Roman" w:eastAsia="仿宋" w:cs="Times New Roman"/>
          <w:sz w:val="32"/>
          <w:szCs w:val="32"/>
          <w:lang w:val="en-US" w:eastAsia="zh-CN"/>
        </w:rPr>
        <w:t>32</w:t>
      </w:r>
      <w:r>
        <w:rPr>
          <w:rFonts w:hint="default" w:ascii="Times New Roman" w:hAnsi="Times New Roman" w:eastAsia="仿宋" w:cs="Times New Roman"/>
          <w:sz w:val="32"/>
          <w:szCs w:val="32"/>
        </w:rPr>
        <w:t>人，其中：</w:t>
      </w:r>
      <w:r>
        <w:rPr>
          <w:rFonts w:hint="default" w:ascii="Times New Roman" w:hAnsi="Times New Roman" w:eastAsia="仿宋" w:cs="Times New Roman"/>
          <w:sz w:val="32"/>
          <w:szCs w:val="32"/>
          <w:lang w:eastAsia="zh-CN"/>
        </w:rPr>
        <w:t>公务员及参公</w:t>
      </w:r>
      <w:r>
        <w:rPr>
          <w:rFonts w:hint="default" w:ascii="Times New Roman" w:hAnsi="Times New Roman" w:eastAsia="仿宋" w:cs="Times New Roman"/>
          <w:sz w:val="32"/>
          <w:szCs w:val="32"/>
          <w:lang w:val="en-US" w:eastAsia="zh-CN"/>
        </w:rPr>
        <w:t>1</w:t>
      </w:r>
      <w:r>
        <w:rPr>
          <w:rFonts w:hint="eastAsia" w:eastAsia="仿宋" w:cs="Times New Roman"/>
          <w:sz w:val="32"/>
          <w:szCs w:val="32"/>
          <w:lang w:val="en-US" w:eastAsia="zh-CN"/>
        </w:rPr>
        <w:t>4</w:t>
      </w:r>
      <w:r>
        <w:rPr>
          <w:rFonts w:hint="default" w:ascii="Times New Roman" w:hAnsi="Times New Roman" w:eastAsia="仿宋" w:cs="Times New Roman"/>
          <w:sz w:val="32"/>
          <w:szCs w:val="32"/>
        </w:rPr>
        <w:t>名</w:t>
      </w:r>
      <w:r>
        <w:rPr>
          <w:rFonts w:hint="default" w:ascii="Times New Roman" w:hAnsi="Times New Roman" w:eastAsia="仿宋" w:cs="Times New Roman"/>
          <w:sz w:val="32"/>
          <w:szCs w:val="32"/>
          <w:lang w:eastAsia="zh-CN"/>
        </w:rPr>
        <w:t>，</w:t>
      </w:r>
      <w:r>
        <w:rPr>
          <w:rFonts w:hint="default" w:ascii="Times New Roman" w:hAnsi="Times New Roman" w:eastAsia="仿宋" w:cs="Times New Roman"/>
          <w:sz w:val="32"/>
          <w:szCs w:val="32"/>
        </w:rPr>
        <w:t>事业人员</w:t>
      </w:r>
      <w:r>
        <w:rPr>
          <w:rFonts w:hint="default" w:ascii="Times New Roman" w:hAnsi="Times New Roman" w:eastAsia="仿宋" w:cs="Times New Roman"/>
          <w:sz w:val="32"/>
          <w:szCs w:val="32"/>
          <w:lang w:val="en-US" w:eastAsia="zh-CN"/>
        </w:rPr>
        <w:t>1</w:t>
      </w:r>
      <w:r>
        <w:rPr>
          <w:rFonts w:hint="eastAsia" w:eastAsia="仿宋" w:cs="Times New Roman"/>
          <w:sz w:val="32"/>
          <w:szCs w:val="32"/>
          <w:lang w:val="en-US" w:eastAsia="zh-CN"/>
        </w:rPr>
        <w:t>3</w:t>
      </w:r>
      <w:r>
        <w:rPr>
          <w:rFonts w:hint="default" w:ascii="Times New Roman" w:hAnsi="Times New Roman" w:eastAsia="仿宋" w:cs="Times New Roman"/>
          <w:sz w:val="32"/>
          <w:szCs w:val="32"/>
          <w:lang w:eastAsia="zh-CN"/>
        </w:rPr>
        <w:t>名，机关工勤人员</w:t>
      </w:r>
      <w:r>
        <w:rPr>
          <w:rFonts w:hint="default" w:ascii="Times New Roman" w:hAnsi="Times New Roman" w:eastAsia="仿宋" w:cs="Times New Roman"/>
          <w:sz w:val="32"/>
          <w:szCs w:val="32"/>
          <w:lang w:val="en-US" w:eastAsia="zh-CN"/>
        </w:rPr>
        <w:t>5名</w:t>
      </w:r>
      <w:r>
        <w:rPr>
          <w:rFonts w:hint="default" w:ascii="Times New Roman" w:hAnsi="Times New Roman" w:eastAsia="仿宋" w:cs="Times New Roman"/>
          <w:sz w:val="32"/>
          <w:szCs w:val="32"/>
        </w:rPr>
        <w:t>。</w:t>
      </w:r>
    </w:p>
    <w:p w14:paraId="6CEDA2F1">
      <w:pPr>
        <w:keepNext w:val="0"/>
        <w:keepLines w:val="0"/>
        <w:pageBreakBefore w:val="0"/>
        <w:kinsoku/>
        <w:wordWrap/>
        <w:topLinePunct w:val="0"/>
        <w:bidi w:val="0"/>
        <w:spacing w:line="560" w:lineRule="exact"/>
        <w:ind w:firstLine="640" w:firstLineChars="200"/>
        <w:rPr>
          <w:rFonts w:hint="default" w:ascii="Times New Roman" w:hAnsi="Times New Roman" w:eastAsia="仿宋_GB2312" w:cs="Times New Roman"/>
          <w:sz w:val="32"/>
          <w:szCs w:val="32"/>
        </w:rPr>
      </w:pPr>
    </w:p>
    <w:p w14:paraId="4AFB7BB5">
      <w:pPr>
        <w:keepNext w:val="0"/>
        <w:keepLines w:val="0"/>
        <w:pageBreakBefore w:val="0"/>
        <w:kinsoku/>
        <w:wordWrap/>
        <w:topLinePunct w:val="0"/>
        <w:bidi w:val="0"/>
        <w:spacing w:line="560" w:lineRule="exact"/>
        <w:ind w:firstLine="640" w:firstLineChars="200"/>
        <w:rPr>
          <w:rFonts w:hint="default" w:ascii="黑体" w:hAnsi="黑体" w:eastAsia="黑体" w:cs="黑体"/>
          <w:sz w:val="32"/>
          <w:szCs w:val="32"/>
        </w:rPr>
      </w:pPr>
      <w:r>
        <w:rPr>
          <w:rFonts w:hint="default" w:ascii="黑体" w:hAnsi="黑体" w:eastAsia="黑体" w:cs="黑体"/>
          <w:sz w:val="32"/>
          <w:szCs w:val="32"/>
        </w:rPr>
        <w:t>二、部门财政资金收支情况</w:t>
      </w:r>
    </w:p>
    <w:p w14:paraId="7639C004">
      <w:pPr>
        <w:keepNext w:val="0"/>
        <w:keepLines w:val="0"/>
        <w:pageBreakBefore w:val="0"/>
        <w:kinsoku/>
        <w:wordWrap/>
        <w:topLinePunct w:val="0"/>
        <w:bidi w:val="0"/>
        <w:spacing w:line="560" w:lineRule="exact"/>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（一）部门财政资金收入情况。</w:t>
      </w:r>
    </w:p>
    <w:p w14:paraId="0EF4EB31">
      <w:pPr>
        <w:keepNext w:val="0"/>
        <w:keepLines w:val="0"/>
        <w:pageBreakBefore w:val="0"/>
        <w:kinsoku/>
        <w:wordWrap/>
        <w:overflowPunct/>
        <w:topLinePunct w:val="0"/>
        <w:autoSpaceDE/>
        <w:autoSpaceDN/>
        <w:bidi w:val="0"/>
        <w:adjustRightInd/>
        <w:snapToGrid w:val="0"/>
        <w:spacing w:line="560" w:lineRule="exact"/>
        <w:ind w:firstLine="640" w:firstLineChars="200"/>
        <w:jc w:val="left"/>
        <w:textAlignment w:val="auto"/>
        <w:rPr>
          <w:rFonts w:hint="default"/>
        </w:rPr>
      </w:pPr>
      <w:r>
        <w:rPr>
          <w:rFonts w:hint="eastAsia" w:eastAsia="仿宋" w:cs="Times New Roman"/>
          <w:sz w:val="32"/>
          <w:szCs w:val="32"/>
          <w:lang w:eastAsia="zh-CN"/>
        </w:rPr>
        <w:t>本单位</w:t>
      </w:r>
      <w:r>
        <w:rPr>
          <w:rFonts w:hint="default" w:ascii="Times New Roman" w:hAnsi="Times New Roman" w:eastAsia="仿宋" w:cs="Times New Roman"/>
          <w:sz w:val="32"/>
          <w:szCs w:val="32"/>
        </w:rPr>
        <w:t>2025年</w:t>
      </w:r>
      <w:r>
        <w:rPr>
          <w:rFonts w:hint="eastAsia" w:eastAsia="仿宋" w:cs="Times New Roman"/>
          <w:sz w:val="32"/>
          <w:szCs w:val="32"/>
          <w:lang w:eastAsia="zh-CN"/>
        </w:rPr>
        <w:t>财政</w:t>
      </w:r>
      <w:r>
        <w:rPr>
          <w:rFonts w:hint="default" w:ascii="Times New Roman" w:hAnsi="Times New Roman" w:eastAsia="仿宋" w:cs="Times New Roman"/>
          <w:sz w:val="32"/>
          <w:szCs w:val="32"/>
        </w:rPr>
        <w:t>收入5196.88万元，其中：一般公共预算财政拨款收入4779.59万元，占92%；政府性基金预算财政拨款收入62.6万元，占1.2%；其他收入354.69万元，占6.8%。</w:t>
      </w:r>
    </w:p>
    <w:p w14:paraId="1F0D7E67">
      <w:pPr>
        <w:keepNext w:val="0"/>
        <w:keepLines w:val="0"/>
        <w:pageBreakBefore w:val="0"/>
        <w:kinsoku/>
        <w:wordWrap/>
        <w:topLinePunct w:val="0"/>
        <w:bidi w:val="0"/>
        <w:spacing w:line="560" w:lineRule="exact"/>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（二）部门财政资金支出情况。</w:t>
      </w:r>
    </w:p>
    <w:p w14:paraId="7D3DAD0E">
      <w:pPr>
        <w:keepNext w:val="0"/>
        <w:keepLines w:val="0"/>
        <w:pageBreakBefore w:val="0"/>
        <w:kinsoku/>
        <w:wordWrap/>
        <w:overflowPunct/>
        <w:topLinePunct w:val="0"/>
        <w:autoSpaceDE/>
        <w:autoSpaceDN/>
        <w:bidi w:val="0"/>
        <w:adjustRightInd/>
        <w:snapToGrid w:val="0"/>
        <w:spacing w:line="560" w:lineRule="exact"/>
        <w:ind w:firstLine="640" w:firstLineChars="200"/>
        <w:textAlignment w:val="auto"/>
        <w:rPr>
          <w:rFonts w:hint="default" w:ascii="Times New Roman" w:hAnsi="Times New Roman" w:eastAsia="仿宋" w:cs="Times New Roman"/>
          <w:sz w:val="32"/>
          <w:szCs w:val="32"/>
        </w:rPr>
      </w:pPr>
      <w:r>
        <w:rPr>
          <w:rFonts w:hint="default" w:ascii="Times New Roman" w:hAnsi="Times New Roman" w:eastAsia="仿宋" w:cs="Times New Roman"/>
          <w:sz w:val="32"/>
          <w:szCs w:val="32"/>
          <w:lang w:eastAsia="zh-CN"/>
        </w:rPr>
        <w:t>1.全年</w:t>
      </w:r>
      <w:r>
        <w:rPr>
          <w:rFonts w:hint="default" w:ascii="Times New Roman" w:hAnsi="Times New Roman" w:eastAsia="仿宋" w:cs="Times New Roman"/>
          <w:sz w:val="32"/>
          <w:szCs w:val="32"/>
        </w:rPr>
        <w:t>预算支出5196.88万元，本年</w:t>
      </w:r>
      <w:r>
        <w:rPr>
          <w:rFonts w:hint="default" w:ascii="Times New Roman" w:hAnsi="Times New Roman" w:eastAsia="仿宋" w:cs="Times New Roman"/>
          <w:sz w:val="32"/>
          <w:szCs w:val="32"/>
          <w:lang w:eastAsia="zh-CN"/>
        </w:rPr>
        <w:t>决算</w:t>
      </w:r>
      <w:r>
        <w:rPr>
          <w:rFonts w:hint="default" w:ascii="Times New Roman" w:hAnsi="Times New Roman" w:eastAsia="仿宋" w:cs="Times New Roman"/>
          <w:sz w:val="32"/>
          <w:szCs w:val="32"/>
        </w:rPr>
        <w:t>支出5196.88万元</w:t>
      </w:r>
      <w:r>
        <w:rPr>
          <w:rFonts w:hint="default" w:ascii="Times New Roman" w:hAnsi="Times New Roman" w:eastAsia="仿宋" w:cs="Times New Roman"/>
          <w:sz w:val="32"/>
          <w:szCs w:val="32"/>
          <w:lang w:eastAsia="zh-CN"/>
        </w:rPr>
        <w:t>，</w:t>
      </w:r>
      <w:r>
        <w:rPr>
          <w:rFonts w:hint="eastAsia" w:eastAsia="仿宋" w:cs="Times New Roman"/>
          <w:sz w:val="32"/>
          <w:szCs w:val="32"/>
          <w:lang w:eastAsia="zh-CN"/>
        </w:rPr>
        <w:t>决算支出占预算</w:t>
      </w:r>
      <w:r>
        <w:rPr>
          <w:rFonts w:hint="default" w:ascii="Times New Roman" w:hAnsi="Times New Roman" w:eastAsia="仿宋" w:cs="Times New Roman"/>
          <w:sz w:val="32"/>
          <w:szCs w:val="32"/>
          <w:lang w:val="en-US" w:eastAsia="zh-CN"/>
        </w:rPr>
        <w:t>支出的100</w:t>
      </w:r>
      <w:r>
        <w:rPr>
          <w:rFonts w:hint="default" w:ascii="Times New Roman" w:hAnsi="Times New Roman" w:eastAsia="仿宋" w:cs="Times New Roman"/>
          <w:sz w:val="32"/>
          <w:szCs w:val="32"/>
        </w:rPr>
        <w:t xml:space="preserve">%。 </w:t>
      </w:r>
    </w:p>
    <w:p w14:paraId="7F23FE34">
      <w:pPr>
        <w:keepNext w:val="0"/>
        <w:keepLines w:val="0"/>
        <w:pageBreakBefore w:val="0"/>
        <w:kinsoku/>
        <w:wordWrap/>
        <w:overflowPunct/>
        <w:topLinePunct w:val="0"/>
        <w:autoSpaceDE/>
        <w:autoSpaceDN/>
        <w:bidi w:val="0"/>
        <w:adjustRightInd/>
        <w:snapToGrid w:val="0"/>
        <w:spacing w:line="560" w:lineRule="exact"/>
        <w:ind w:firstLine="640" w:firstLineChars="200"/>
        <w:jc w:val="left"/>
        <w:textAlignment w:val="auto"/>
        <w:rPr>
          <w:rFonts w:hint="default" w:ascii="Times New Roman" w:hAnsi="Times New Roman" w:cs="Times New Roman"/>
        </w:rPr>
      </w:pPr>
      <w:r>
        <w:rPr>
          <w:rFonts w:hint="default" w:ascii="Times New Roman" w:hAnsi="Times New Roman" w:eastAsia="仿宋" w:cs="Times New Roman"/>
          <w:sz w:val="32"/>
          <w:szCs w:val="32"/>
        </w:rPr>
        <w:t>2. 本年支出5196.88万元，按支出性质分析：基本支出</w:t>
      </w:r>
      <w:r>
        <w:rPr>
          <w:rFonts w:hint="eastAsia" w:eastAsia="仿宋_GB2312" w:cs="Times New Roman"/>
          <w:color w:val="000000" w:themeColor="text1"/>
          <w:sz w:val="32"/>
          <w:szCs w:val="32"/>
          <w:shd w:val="clear" w:color="auto" w:fill="auto"/>
          <w:lang w:val="en-US" w:eastAsia="zh-CN"/>
          <w14:textFill>
            <w14:solidFill>
              <w14:schemeClr w14:val="tx1"/>
            </w14:solidFill>
          </w14:textFill>
        </w:rPr>
        <w:t>842.63</w:t>
      </w:r>
      <w:r>
        <w:rPr>
          <w:rFonts w:hint="default" w:ascii="Times New Roman" w:hAnsi="Times New Roman" w:eastAsia="仿宋" w:cs="Times New Roman"/>
          <w:sz w:val="32"/>
          <w:szCs w:val="32"/>
        </w:rPr>
        <w:t>万元，占</w:t>
      </w:r>
      <w:r>
        <w:rPr>
          <w:rFonts w:hint="default" w:ascii="Times New Roman" w:hAnsi="Times New Roman" w:eastAsia="仿宋" w:cs="Times New Roman"/>
          <w:sz w:val="32"/>
          <w:szCs w:val="32"/>
          <w:lang w:eastAsia="zh-CN"/>
        </w:rPr>
        <w:t>本年总支出的</w:t>
      </w:r>
      <w:r>
        <w:rPr>
          <w:rFonts w:hint="eastAsia" w:eastAsia="仿宋" w:cs="Times New Roman"/>
          <w:sz w:val="32"/>
          <w:szCs w:val="32"/>
          <w:lang w:val="en-US" w:eastAsia="zh-CN"/>
        </w:rPr>
        <w:t>16.2</w:t>
      </w:r>
      <w:r>
        <w:rPr>
          <w:rFonts w:hint="default" w:ascii="Times New Roman" w:hAnsi="Times New Roman" w:eastAsia="仿宋" w:cs="Times New Roman"/>
          <w:sz w:val="32"/>
          <w:szCs w:val="32"/>
        </w:rPr>
        <w:t>%；项目支出4354.25万元，占</w:t>
      </w:r>
      <w:r>
        <w:rPr>
          <w:rFonts w:hint="default" w:ascii="Times New Roman" w:hAnsi="Times New Roman" w:eastAsia="仿宋" w:cs="Times New Roman"/>
          <w:sz w:val="32"/>
          <w:szCs w:val="32"/>
          <w:lang w:eastAsia="zh-CN"/>
        </w:rPr>
        <w:t>本年总支出的</w:t>
      </w:r>
      <w:r>
        <w:rPr>
          <w:rFonts w:hint="eastAsia" w:eastAsia="仿宋" w:cs="Times New Roman"/>
          <w:sz w:val="32"/>
          <w:szCs w:val="32"/>
          <w:lang w:val="en-US" w:eastAsia="zh-CN"/>
        </w:rPr>
        <w:t>83.8</w:t>
      </w:r>
      <w:r>
        <w:rPr>
          <w:rFonts w:hint="default" w:ascii="Times New Roman" w:hAnsi="Times New Roman" w:eastAsia="仿宋" w:cs="Times New Roman"/>
          <w:sz w:val="32"/>
          <w:szCs w:val="32"/>
        </w:rPr>
        <w:t>%</w:t>
      </w:r>
      <w:r>
        <w:rPr>
          <w:rFonts w:hint="default" w:ascii="Times New Roman" w:hAnsi="Times New Roman" w:eastAsia="仿宋" w:cs="Times New Roman"/>
          <w:sz w:val="32"/>
          <w:szCs w:val="32"/>
          <w:lang w:eastAsia="zh-CN"/>
        </w:rPr>
        <w:t>。</w:t>
      </w:r>
      <w:r>
        <w:rPr>
          <w:rFonts w:hint="default" w:ascii="Times New Roman" w:hAnsi="Times New Roman" w:eastAsia="仿宋" w:cs="Times New Roman"/>
          <w:sz w:val="32"/>
          <w:szCs w:val="32"/>
        </w:rPr>
        <w:t>按支出经济分类：工资福利支出</w:t>
      </w:r>
      <w:r>
        <w:rPr>
          <w:rFonts w:hint="eastAsia" w:eastAsia="仿宋" w:cs="Times New Roman"/>
          <w:sz w:val="32"/>
          <w:szCs w:val="32"/>
          <w:lang w:val="en-US" w:eastAsia="zh-CN"/>
        </w:rPr>
        <w:t>682.04</w:t>
      </w:r>
      <w:r>
        <w:rPr>
          <w:rFonts w:hint="default" w:ascii="Times New Roman" w:hAnsi="Times New Roman" w:eastAsia="仿宋" w:cs="Times New Roman"/>
          <w:sz w:val="32"/>
          <w:szCs w:val="32"/>
        </w:rPr>
        <w:t>万元</w:t>
      </w:r>
      <w:r>
        <w:rPr>
          <w:rFonts w:hint="default" w:ascii="Times New Roman" w:hAnsi="Times New Roman" w:eastAsia="仿宋" w:cs="Times New Roman"/>
          <w:color w:val="auto"/>
          <w:sz w:val="32"/>
          <w:szCs w:val="32"/>
        </w:rPr>
        <w:t>，占本年支出</w:t>
      </w:r>
      <w:r>
        <w:rPr>
          <w:rFonts w:hint="default" w:ascii="Times New Roman" w:hAnsi="Times New Roman" w:eastAsia="仿宋" w:cs="Times New Roman"/>
          <w:color w:val="auto"/>
          <w:sz w:val="32"/>
          <w:szCs w:val="32"/>
          <w:lang w:eastAsia="zh-CN"/>
        </w:rPr>
        <w:t>的</w:t>
      </w:r>
      <w:r>
        <w:rPr>
          <w:rFonts w:hint="eastAsia" w:eastAsia="仿宋" w:cs="Times New Roman"/>
          <w:color w:val="auto"/>
          <w:sz w:val="32"/>
          <w:szCs w:val="32"/>
          <w:lang w:val="en-US" w:eastAsia="zh-CN"/>
        </w:rPr>
        <w:t>13.1</w:t>
      </w:r>
      <w:r>
        <w:rPr>
          <w:rFonts w:hint="default" w:ascii="Times New Roman" w:hAnsi="Times New Roman" w:eastAsia="仿宋" w:cs="Times New Roman"/>
          <w:color w:val="auto"/>
          <w:sz w:val="32"/>
          <w:szCs w:val="32"/>
        </w:rPr>
        <w:t>%</w:t>
      </w:r>
      <w:r>
        <w:rPr>
          <w:rFonts w:hint="default" w:ascii="Times New Roman" w:hAnsi="Times New Roman" w:eastAsia="仿宋" w:cs="Times New Roman"/>
          <w:color w:val="auto"/>
          <w:sz w:val="32"/>
          <w:szCs w:val="32"/>
          <w:lang w:eastAsia="zh-CN"/>
        </w:rPr>
        <w:t>；</w:t>
      </w:r>
      <w:r>
        <w:rPr>
          <w:rFonts w:hint="default" w:ascii="Times New Roman" w:hAnsi="Times New Roman" w:eastAsia="仿宋" w:cs="Times New Roman"/>
          <w:color w:val="auto"/>
          <w:sz w:val="32"/>
          <w:szCs w:val="32"/>
        </w:rPr>
        <w:t>商品和服务</w:t>
      </w:r>
      <w:r>
        <w:rPr>
          <w:rFonts w:hint="default" w:ascii="Times New Roman" w:hAnsi="Times New Roman" w:eastAsia="仿宋" w:cs="Times New Roman"/>
          <w:color w:val="auto"/>
          <w:sz w:val="32"/>
          <w:szCs w:val="32"/>
          <w:lang w:eastAsia="zh-CN"/>
        </w:rPr>
        <w:t>支出</w:t>
      </w:r>
      <w:r>
        <w:rPr>
          <w:rFonts w:hint="eastAsia" w:eastAsia="仿宋" w:cs="Times New Roman"/>
          <w:color w:val="auto"/>
          <w:sz w:val="32"/>
          <w:szCs w:val="32"/>
          <w:lang w:val="en-US" w:eastAsia="zh-CN"/>
        </w:rPr>
        <w:t>438.64</w:t>
      </w:r>
      <w:r>
        <w:rPr>
          <w:rFonts w:hint="default" w:ascii="Times New Roman" w:hAnsi="Times New Roman" w:eastAsia="仿宋" w:cs="Times New Roman"/>
          <w:color w:val="auto"/>
          <w:sz w:val="32"/>
          <w:szCs w:val="32"/>
        </w:rPr>
        <w:t>万元，占本年支出</w:t>
      </w:r>
      <w:r>
        <w:rPr>
          <w:rFonts w:hint="default" w:ascii="Times New Roman" w:hAnsi="Times New Roman" w:eastAsia="仿宋" w:cs="Times New Roman"/>
          <w:color w:val="auto"/>
          <w:sz w:val="32"/>
          <w:szCs w:val="32"/>
          <w:lang w:eastAsia="zh-CN"/>
        </w:rPr>
        <w:t>的</w:t>
      </w:r>
      <w:r>
        <w:rPr>
          <w:rFonts w:hint="eastAsia" w:eastAsia="仿宋" w:cs="Times New Roman"/>
          <w:color w:val="auto"/>
          <w:sz w:val="32"/>
          <w:szCs w:val="32"/>
          <w:lang w:val="en-US" w:eastAsia="zh-CN"/>
        </w:rPr>
        <w:t>8.4</w:t>
      </w:r>
      <w:r>
        <w:rPr>
          <w:rFonts w:hint="default" w:ascii="Times New Roman" w:hAnsi="Times New Roman" w:eastAsia="仿宋" w:cs="Times New Roman"/>
          <w:color w:val="auto"/>
          <w:sz w:val="32"/>
          <w:szCs w:val="32"/>
        </w:rPr>
        <w:t>%</w:t>
      </w:r>
      <w:r>
        <w:rPr>
          <w:rFonts w:hint="default" w:ascii="Times New Roman" w:hAnsi="Times New Roman" w:eastAsia="仿宋" w:cs="Times New Roman"/>
          <w:color w:val="auto"/>
          <w:sz w:val="32"/>
          <w:szCs w:val="32"/>
          <w:lang w:eastAsia="zh-CN"/>
        </w:rPr>
        <w:t>；</w:t>
      </w:r>
      <w:r>
        <w:rPr>
          <w:rFonts w:hint="eastAsia" w:eastAsia="仿宋" w:cs="Times New Roman"/>
          <w:color w:val="auto"/>
          <w:sz w:val="32"/>
          <w:szCs w:val="32"/>
          <w:lang w:eastAsia="zh-CN"/>
        </w:rPr>
        <w:t>对家庭的</w:t>
      </w:r>
      <w:r>
        <w:rPr>
          <w:rFonts w:hint="default" w:ascii="Times New Roman" w:hAnsi="Times New Roman" w:eastAsia="仿宋" w:cs="Times New Roman"/>
          <w:color w:val="auto"/>
          <w:sz w:val="32"/>
          <w:szCs w:val="32"/>
          <w:lang w:eastAsia="zh-CN"/>
        </w:rPr>
        <w:t>补助支出</w:t>
      </w:r>
      <w:r>
        <w:rPr>
          <w:rFonts w:hint="eastAsia" w:eastAsia="仿宋" w:cs="Times New Roman"/>
          <w:color w:val="auto"/>
          <w:sz w:val="32"/>
          <w:szCs w:val="32"/>
          <w:lang w:val="en-US" w:eastAsia="zh-CN"/>
        </w:rPr>
        <w:t>76.65</w:t>
      </w:r>
      <w:r>
        <w:rPr>
          <w:rFonts w:hint="default" w:ascii="Times New Roman" w:hAnsi="Times New Roman" w:eastAsia="仿宋" w:cs="Times New Roman"/>
          <w:color w:val="auto"/>
          <w:sz w:val="32"/>
          <w:szCs w:val="32"/>
          <w:lang w:eastAsia="zh-CN"/>
        </w:rPr>
        <w:t>万元，占本年支出的</w:t>
      </w:r>
      <w:r>
        <w:rPr>
          <w:rFonts w:hint="eastAsia" w:eastAsia="仿宋" w:cs="Times New Roman"/>
          <w:color w:val="auto"/>
          <w:sz w:val="32"/>
          <w:szCs w:val="32"/>
          <w:lang w:val="en-US" w:eastAsia="zh-CN"/>
        </w:rPr>
        <w:t>1.5</w:t>
      </w:r>
      <w:r>
        <w:rPr>
          <w:rFonts w:hint="default" w:ascii="Times New Roman" w:hAnsi="Times New Roman" w:eastAsia="仿宋" w:cs="Times New Roman"/>
          <w:color w:val="auto"/>
          <w:sz w:val="32"/>
          <w:szCs w:val="32"/>
          <w:lang w:val="en-US"/>
        </w:rPr>
        <w:t>%</w:t>
      </w:r>
      <w:r>
        <w:rPr>
          <w:rFonts w:hint="default" w:ascii="Times New Roman" w:hAnsi="Times New Roman" w:eastAsia="仿宋" w:cs="Times New Roman"/>
          <w:color w:val="auto"/>
          <w:sz w:val="32"/>
          <w:szCs w:val="32"/>
          <w:lang w:val="en-US" w:eastAsia="zh-CN"/>
        </w:rPr>
        <w:t>；</w:t>
      </w:r>
      <w:r>
        <w:rPr>
          <w:rFonts w:hint="default" w:ascii="Times New Roman" w:hAnsi="Times New Roman" w:eastAsia="仿宋" w:cs="Times New Roman"/>
          <w:color w:val="auto"/>
          <w:sz w:val="32"/>
          <w:szCs w:val="32"/>
          <w:lang w:eastAsia="zh-CN"/>
        </w:rPr>
        <w:t>资本性支出（基本建设）</w:t>
      </w:r>
      <w:r>
        <w:rPr>
          <w:rFonts w:hint="eastAsia" w:eastAsia="仿宋" w:cs="Times New Roman"/>
          <w:color w:val="auto"/>
          <w:sz w:val="32"/>
          <w:szCs w:val="32"/>
          <w:lang w:val="en-US" w:eastAsia="zh-CN"/>
        </w:rPr>
        <w:t>1530.73</w:t>
      </w:r>
      <w:r>
        <w:rPr>
          <w:rFonts w:hint="default" w:ascii="Times New Roman" w:hAnsi="Times New Roman" w:eastAsia="仿宋" w:cs="Times New Roman"/>
          <w:color w:val="auto"/>
          <w:sz w:val="32"/>
          <w:szCs w:val="32"/>
          <w:lang w:val="en-US" w:eastAsia="zh-CN"/>
        </w:rPr>
        <w:t>万元</w:t>
      </w:r>
      <w:r>
        <w:rPr>
          <w:rFonts w:hint="default" w:ascii="Times New Roman" w:hAnsi="Times New Roman" w:eastAsia="仿宋" w:cs="Times New Roman"/>
          <w:color w:val="auto"/>
          <w:sz w:val="32"/>
          <w:szCs w:val="32"/>
        </w:rPr>
        <w:t>，占本年总支出的</w:t>
      </w:r>
      <w:r>
        <w:rPr>
          <w:rFonts w:hint="eastAsia" w:eastAsia="仿宋" w:cs="Times New Roman"/>
          <w:color w:val="auto"/>
          <w:sz w:val="32"/>
          <w:szCs w:val="32"/>
          <w:lang w:val="en-US" w:eastAsia="zh-CN"/>
        </w:rPr>
        <w:t>29.5</w:t>
      </w:r>
      <w:r>
        <w:rPr>
          <w:rFonts w:hint="default" w:ascii="Times New Roman" w:hAnsi="Times New Roman" w:eastAsia="仿宋" w:cs="Times New Roman"/>
          <w:color w:val="auto"/>
          <w:sz w:val="32"/>
          <w:szCs w:val="32"/>
        </w:rPr>
        <w:t>%</w:t>
      </w:r>
      <w:r>
        <w:rPr>
          <w:rFonts w:hint="default" w:ascii="Times New Roman" w:hAnsi="Times New Roman" w:eastAsia="仿宋" w:cs="Times New Roman"/>
          <w:color w:val="auto"/>
          <w:sz w:val="32"/>
          <w:szCs w:val="32"/>
          <w:lang w:eastAsia="zh-CN"/>
        </w:rPr>
        <w:t>；资本性</w:t>
      </w:r>
      <w:r>
        <w:rPr>
          <w:rFonts w:hint="default" w:ascii="Times New Roman" w:hAnsi="Times New Roman" w:eastAsia="仿宋" w:cs="Times New Roman"/>
          <w:color w:val="auto"/>
          <w:sz w:val="32"/>
          <w:szCs w:val="32"/>
        </w:rPr>
        <w:t>支出</w:t>
      </w:r>
      <w:r>
        <w:rPr>
          <w:rFonts w:hint="eastAsia" w:eastAsia="仿宋" w:cs="Times New Roman"/>
          <w:color w:val="auto"/>
          <w:sz w:val="32"/>
          <w:szCs w:val="32"/>
          <w:lang w:val="en-US" w:eastAsia="zh-CN"/>
        </w:rPr>
        <w:t>2284.08</w:t>
      </w:r>
      <w:r>
        <w:rPr>
          <w:rFonts w:hint="default" w:ascii="Times New Roman" w:hAnsi="Times New Roman" w:eastAsia="仿宋" w:cs="Times New Roman"/>
          <w:color w:val="auto"/>
          <w:sz w:val="32"/>
          <w:szCs w:val="32"/>
        </w:rPr>
        <w:t>万元，占本年总支出的</w:t>
      </w:r>
      <w:r>
        <w:rPr>
          <w:rFonts w:hint="eastAsia" w:eastAsia="仿宋" w:cs="Times New Roman"/>
          <w:color w:val="auto"/>
          <w:sz w:val="32"/>
          <w:szCs w:val="32"/>
          <w:lang w:val="en-US" w:eastAsia="zh-CN"/>
        </w:rPr>
        <w:t>43.9</w:t>
      </w:r>
      <w:r>
        <w:rPr>
          <w:rFonts w:hint="default" w:ascii="Times New Roman" w:hAnsi="Times New Roman" w:eastAsia="仿宋" w:cs="Times New Roman"/>
          <w:color w:val="auto"/>
          <w:sz w:val="32"/>
          <w:szCs w:val="32"/>
        </w:rPr>
        <w:t>%</w:t>
      </w:r>
      <w:r>
        <w:rPr>
          <w:rFonts w:hint="default" w:ascii="Times New Roman" w:hAnsi="Times New Roman" w:eastAsia="仿宋" w:cs="Times New Roman"/>
          <w:color w:val="auto"/>
          <w:sz w:val="32"/>
          <w:szCs w:val="32"/>
          <w:lang w:eastAsia="zh-CN"/>
        </w:rPr>
        <w:t>；对企业补助</w:t>
      </w:r>
      <w:r>
        <w:rPr>
          <w:rFonts w:hint="eastAsia" w:eastAsia="仿宋" w:cs="Times New Roman"/>
          <w:color w:val="auto"/>
          <w:sz w:val="32"/>
          <w:szCs w:val="32"/>
          <w:lang w:val="en-US" w:eastAsia="zh-CN"/>
        </w:rPr>
        <w:t>184.74</w:t>
      </w:r>
      <w:r>
        <w:rPr>
          <w:rFonts w:hint="default" w:ascii="Times New Roman" w:hAnsi="Times New Roman" w:eastAsia="仿宋" w:cs="Times New Roman"/>
          <w:color w:val="auto"/>
          <w:sz w:val="32"/>
          <w:szCs w:val="32"/>
          <w:lang w:val="en-US" w:eastAsia="zh-CN"/>
        </w:rPr>
        <w:t>万元，</w:t>
      </w:r>
      <w:r>
        <w:rPr>
          <w:rFonts w:hint="default" w:ascii="Times New Roman" w:hAnsi="Times New Roman" w:eastAsia="仿宋" w:cs="Times New Roman"/>
          <w:color w:val="auto"/>
          <w:sz w:val="32"/>
          <w:szCs w:val="32"/>
        </w:rPr>
        <w:t>占本年总支出的</w:t>
      </w:r>
      <w:r>
        <w:rPr>
          <w:rFonts w:hint="eastAsia" w:eastAsia="仿宋" w:cs="Times New Roman"/>
          <w:color w:val="auto"/>
          <w:sz w:val="32"/>
          <w:szCs w:val="32"/>
          <w:lang w:val="en-US" w:eastAsia="zh-CN"/>
        </w:rPr>
        <w:t>3.6</w:t>
      </w:r>
      <w:r>
        <w:rPr>
          <w:rFonts w:hint="default" w:ascii="Times New Roman" w:hAnsi="Times New Roman" w:eastAsia="仿宋" w:cs="Times New Roman"/>
          <w:color w:val="auto"/>
          <w:sz w:val="32"/>
          <w:szCs w:val="32"/>
        </w:rPr>
        <w:t>%。</w:t>
      </w:r>
    </w:p>
    <w:p w14:paraId="2798DF20">
      <w:pPr>
        <w:keepNext w:val="0"/>
        <w:keepLines w:val="0"/>
        <w:pageBreakBefore w:val="0"/>
        <w:kinsoku/>
        <w:wordWrap/>
        <w:topLinePunct w:val="0"/>
        <w:bidi w:val="0"/>
        <w:spacing w:line="560" w:lineRule="exact"/>
        <w:ind w:firstLine="640" w:firstLineChars="200"/>
        <w:rPr>
          <w:rFonts w:hint="default" w:ascii="黑体" w:hAnsi="黑体" w:eastAsia="黑体" w:cs="黑体"/>
          <w:sz w:val="32"/>
          <w:szCs w:val="32"/>
        </w:rPr>
      </w:pPr>
      <w:r>
        <w:rPr>
          <w:rFonts w:hint="default" w:ascii="黑体" w:hAnsi="黑体" w:eastAsia="黑体" w:cs="黑体"/>
          <w:sz w:val="32"/>
          <w:szCs w:val="32"/>
        </w:rPr>
        <w:t>三、部门整体预算绩效管理情况（根据适用指标体系进行调整）</w:t>
      </w:r>
    </w:p>
    <w:p w14:paraId="42E2B4F0">
      <w:pPr>
        <w:keepNext w:val="0"/>
        <w:keepLines w:val="0"/>
        <w:pageBreakBefore w:val="0"/>
        <w:kinsoku/>
        <w:wordWrap/>
        <w:overflowPunct/>
        <w:topLinePunct w:val="0"/>
        <w:autoSpaceDE/>
        <w:autoSpaceDN/>
        <w:bidi w:val="0"/>
        <w:adjustRightInd/>
        <w:snapToGrid w:val="0"/>
        <w:spacing w:line="560" w:lineRule="exact"/>
        <w:ind w:firstLine="643" w:firstLineChars="200"/>
        <w:jc w:val="left"/>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（一）部门预算管理</w:t>
      </w:r>
    </w:p>
    <w:p w14:paraId="06396738">
      <w:pPr>
        <w:keepNext w:val="0"/>
        <w:keepLines w:val="0"/>
        <w:pageBreakBefore w:val="0"/>
        <w:kinsoku/>
        <w:wordWrap/>
        <w:overflowPunct/>
        <w:topLinePunct w:val="0"/>
        <w:autoSpaceDE/>
        <w:autoSpaceDN/>
        <w:bidi w:val="0"/>
        <w:adjustRightInd/>
        <w:snapToGrid w:val="0"/>
        <w:spacing w:line="56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我</w:t>
      </w:r>
      <w:r>
        <w:rPr>
          <w:rFonts w:hint="eastAsia" w:ascii="仿宋" w:hAnsi="仿宋" w:eastAsia="仿宋" w:cs="仿宋"/>
          <w:sz w:val="32"/>
          <w:szCs w:val="32"/>
          <w:lang w:eastAsia="zh-CN"/>
        </w:rPr>
        <w:t>局</w:t>
      </w:r>
      <w:r>
        <w:rPr>
          <w:rFonts w:hint="eastAsia" w:ascii="仿宋" w:hAnsi="仿宋" w:eastAsia="仿宋" w:cs="仿宋"/>
          <w:sz w:val="32"/>
          <w:szCs w:val="32"/>
        </w:rPr>
        <w:t>按照县级部门预算编制通知和有关要求，对</w:t>
      </w:r>
      <w:r>
        <w:rPr>
          <w:rFonts w:hint="eastAsia" w:ascii="仿宋" w:hAnsi="仿宋" w:eastAsia="仿宋" w:cs="仿宋"/>
          <w:sz w:val="32"/>
          <w:szCs w:val="32"/>
          <w:lang w:val="en-US" w:eastAsia="zh-CN"/>
        </w:rPr>
        <w:t>2025</w:t>
      </w:r>
      <w:r>
        <w:rPr>
          <w:rFonts w:hint="eastAsia" w:ascii="仿宋" w:hAnsi="仿宋" w:eastAsia="仿宋" w:cs="仿宋"/>
          <w:sz w:val="32"/>
          <w:szCs w:val="32"/>
        </w:rPr>
        <w:t>年的各项收入及支出</w:t>
      </w:r>
      <w:r>
        <w:rPr>
          <w:rFonts w:hint="eastAsia" w:ascii="仿宋" w:hAnsi="仿宋" w:eastAsia="仿宋" w:cs="仿宋"/>
          <w:sz w:val="32"/>
          <w:szCs w:val="32"/>
          <w:lang w:eastAsia="zh-CN"/>
        </w:rPr>
        <w:t>进行了认真</w:t>
      </w:r>
      <w:r>
        <w:rPr>
          <w:rFonts w:hint="eastAsia" w:ascii="仿宋" w:hAnsi="仿宋" w:eastAsia="仿宋" w:cs="仿宋"/>
          <w:sz w:val="32"/>
          <w:szCs w:val="32"/>
        </w:rPr>
        <w:t>清理，真实、准确、全面、及时</w:t>
      </w:r>
      <w:r>
        <w:rPr>
          <w:rFonts w:hint="eastAsia" w:ascii="仿宋" w:hAnsi="仿宋" w:eastAsia="仿宋" w:cs="仿宋"/>
          <w:sz w:val="32"/>
          <w:szCs w:val="32"/>
          <w:lang w:eastAsia="zh-CN"/>
        </w:rPr>
        <w:t>地</w:t>
      </w:r>
      <w:r>
        <w:rPr>
          <w:rFonts w:hint="eastAsia" w:ascii="仿宋" w:hAnsi="仿宋" w:eastAsia="仿宋" w:cs="仿宋"/>
          <w:sz w:val="32"/>
          <w:szCs w:val="32"/>
        </w:rPr>
        <w:t>完成年度</w:t>
      </w:r>
      <w:r>
        <w:rPr>
          <w:rFonts w:hint="eastAsia" w:ascii="仿宋" w:hAnsi="仿宋" w:eastAsia="仿宋" w:cs="仿宋"/>
          <w:sz w:val="32"/>
          <w:szCs w:val="32"/>
          <w:lang w:eastAsia="zh-CN"/>
        </w:rPr>
        <w:t>预算</w:t>
      </w:r>
      <w:r>
        <w:rPr>
          <w:rFonts w:hint="eastAsia" w:ascii="仿宋" w:hAnsi="仿宋" w:eastAsia="仿宋" w:cs="仿宋"/>
          <w:sz w:val="32"/>
          <w:szCs w:val="32"/>
        </w:rPr>
        <w:t>、决算工作；认真</w:t>
      </w:r>
      <w:r>
        <w:rPr>
          <w:rFonts w:hint="eastAsia" w:ascii="仿宋" w:hAnsi="仿宋" w:eastAsia="仿宋" w:cs="仿宋"/>
          <w:sz w:val="32"/>
          <w:szCs w:val="32"/>
          <w:lang w:eastAsia="zh-CN"/>
        </w:rPr>
        <w:t>填报</w:t>
      </w:r>
      <w:r>
        <w:rPr>
          <w:rFonts w:hint="eastAsia" w:ascii="仿宋" w:hAnsi="仿宋" w:eastAsia="仿宋" w:cs="仿宋"/>
          <w:sz w:val="32"/>
          <w:szCs w:val="32"/>
        </w:rPr>
        <w:t>绩效</w:t>
      </w:r>
      <w:r>
        <w:rPr>
          <w:rFonts w:hint="eastAsia" w:ascii="仿宋" w:hAnsi="仿宋" w:eastAsia="仿宋" w:cs="仿宋"/>
          <w:sz w:val="32"/>
          <w:szCs w:val="32"/>
          <w:lang w:eastAsia="zh-CN"/>
        </w:rPr>
        <w:t>目标</w:t>
      </w:r>
      <w:r>
        <w:rPr>
          <w:rFonts w:hint="eastAsia" w:ascii="仿宋" w:hAnsi="仿宋" w:eastAsia="仿宋" w:cs="仿宋"/>
          <w:sz w:val="32"/>
          <w:szCs w:val="32"/>
        </w:rPr>
        <w:t>，对专项预算</w:t>
      </w:r>
      <w:r>
        <w:rPr>
          <w:rFonts w:hint="eastAsia" w:ascii="仿宋" w:hAnsi="仿宋" w:eastAsia="仿宋" w:cs="仿宋"/>
          <w:sz w:val="32"/>
          <w:szCs w:val="32"/>
          <w:lang w:eastAsia="zh-CN"/>
        </w:rPr>
        <w:t>结合实际提前</w:t>
      </w:r>
      <w:r>
        <w:rPr>
          <w:rFonts w:hint="eastAsia" w:ascii="仿宋" w:hAnsi="仿宋" w:eastAsia="仿宋" w:cs="仿宋"/>
          <w:sz w:val="32"/>
          <w:szCs w:val="32"/>
        </w:rPr>
        <w:t>分期、</w:t>
      </w:r>
      <w:r>
        <w:rPr>
          <w:rFonts w:hint="eastAsia" w:ascii="仿宋" w:hAnsi="仿宋" w:eastAsia="仿宋" w:cs="仿宋"/>
          <w:sz w:val="32"/>
          <w:szCs w:val="32"/>
          <w:lang w:eastAsia="zh-CN"/>
        </w:rPr>
        <w:t>分批</w:t>
      </w:r>
      <w:r>
        <w:rPr>
          <w:rFonts w:hint="eastAsia" w:ascii="仿宋" w:hAnsi="仿宋" w:eastAsia="仿宋" w:cs="仿宋"/>
          <w:sz w:val="32"/>
          <w:szCs w:val="32"/>
        </w:rPr>
        <w:t>细化，保障正常运行。</w:t>
      </w:r>
    </w:p>
    <w:p w14:paraId="54AE747C">
      <w:pPr>
        <w:keepNext w:val="0"/>
        <w:keepLines w:val="0"/>
        <w:pageBreakBefore w:val="0"/>
        <w:kinsoku/>
        <w:wordWrap/>
        <w:overflowPunct/>
        <w:topLinePunct w:val="0"/>
        <w:autoSpaceDE/>
        <w:autoSpaceDN/>
        <w:bidi w:val="0"/>
        <w:adjustRightInd/>
        <w:snapToGrid w:val="0"/>
        <w:spacing w:line="560" w:lineRule="exact"/>
        <w:ind w:firstLine="643" w:firstLineChars="200"/>
        <w:jc w:val="left"/>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（二）专项预算管理</w:t>
      </w:r>
    </w:p>
    <w:p w14:paraId="58EB928E">
      <w:pPr>
        <w:keepNext w:val="0"/>
        <w:keepLines w:val="0"/>
        <w:pageBreakBefore w:val="0"/>
        <w:kinsoku/>
        <w:wordWrap/>
        <w:overflowPunct/>
        <w:topLinePunct w:val="0"/>
        <w:autoSpaceDE/>
        <w:autoSpaceDN/>
        <w:bidi w:val="0"/>
        <w:adjustRightInd/>
        <w:snapToGrid w:val="0"/>
        <w:spacing w:line="560" w:lineRule="exact"/>
        <w:ind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2025</w:t>
      </w:r>
      <w:r>
        <w:rPr>
          <w:rFonts w:hint="eastAsia" w:ascii="仿宋" w:hAnsi="仿宋" w:eastAsia="仿宋" w:cs="仿宋"/>
          <w:sz w:val="32"/>
          <w:szCs w:val="32"/>
        </w:rPr>
        <w:t>年县</w:t>
      </w:r>
      <w:r>
        <w:rPr>
          <w:rFonts w:hint="eastAsia" w:ascii="仿宋" w:hAnsi="仿宋" w:eastAsia="仿宋" w:cs="仿宋"/>
          <w:sz w:val="32"/>
          <w:szCs w:val="32"/>
          <w:lang w:eastAsia="zh-CN"/>
        </w:rPr>
        <w:t>交通局</w:t>
      </w:r>
      <w:r>
        <w:rPr>
          <w:rFonts w:hint="eastAsia" w:ascii="仿宋" w:hAnsi="仿宋" w:eastAsia="仿宋" w:cs="仿宋"/>
          <w:sz w:val="32"/>
          <w:szCs w:val="32"/>
        </w:rPr>
        <w:t>专项预算资金按年拨款，专项资金按实际发生情况调拨支付。</w:t>
      </w:r>
      <w:r>
        <w:rPr>
          <w:rFonts w:hint="eastAsia" w:ascii="仿宋" w:hAnsi="仿宋" w:eastAsia="仿宋" w:cs="仿宋"/>
          <w:sz w:val="32"/>
          <w:szCs w:val="32"/>
          <w:lang w:eastAsia="zh-CN"/>
        </w:rPr>
        <w:t>本年</w:t>
      </w:r>
      <w:r>
        <w:rPr>
          <w:rFonts w:hint="eastAsia" w:ascii="仿宋" w:hAnsi="仿宋" w:eastAsia="仿宋" w:cs="仿宋"/>
          <w:sz w:val="32"/>
          <w:szCs w:val="32"/>
        </w:rPr>
        <w:t>专项经费拨款为</w:t>
      </w:r>
      <w:r>
        <w:rPr>
          <w:rFonts w:hint="eastAsia" w:ascii="仿宋" w:hAnsi="仿宋" w:eastAsia="仿宋" w:cs="仿宋"/>
          <w:sz w:val="32"/>
          <w:szCs w:val="32"/>
          <w:lang w:val="en-US" w:eastAsia="zh-CN"/>
        </w:rPr>
        <w:t>4354.25</w:t>
      </w:r>
      <w:r>
        <w:rPr>
          <w:rFonts w:hint="eastAsia" w:ascii="仿宋" w:hAnsi="仿宋" w:eastAsia="仿宋" w:cs="仿宋"/>
          <w:sz w:val="32"/>
          <w:szCs w:val="32"/>
        </w:rPr>
        <w:t>万元</w:t>
      </w:r>
      <w:r>
        <w:rPr>
          <w:rFonts w:hint="eastAsia" w:ascii="仿宋" w:hAnsi="仿宋" w:eastAsia="仿宋" w:cs="仿宋"/>
          <w:sz w:val="32"/>
          <w:szCs w:val="32"/>
          <w:lang w:eastAsia="zh-CN"/>
        </w:rPr>
        <w:t>。</w:t>
      </w:r>
    </w:p>
    <w:p w14:paraId="56E3AC6E">
      <w:pPr>
        <w:keepNext w:val="0"/>
        <w:keepLines w:val="0"/>
        <w:pageBreakBefore w:val="0"/>
        <w:widowControl w:val="0"/>
        <w:suppressLineNumbers w:val="0"/>
        <w:kinsoku/>
        <w:wordWrap/>
        <w:overflowPunct/>
        <w:topLinePunct w:val="0"/>
        <w:autoSpaceDN/>
        <w:bidi w:val="0"/>
        <w:spacing w:before="0" w:beforeAutospacing="0" w:after="0" w:afterAutospacing="0" w:line="560" w:lineRule="exact"/>
        <w:ind w:left="0" w:right="0" w:firstLine="640" w:firstLineChars="200"/>
        <w:jc w:val="both"/>
        <w:textAlignment w:val="auto"/>
        <w:rPr>
          <w:rFonts w:hint="eastAsia"/>
          <w:b w:val="0"/>
          <w:bCs w:val="0"/>
        </w:rPr>
      </w:pPr>
      <w:r>
        <w:rPr>
          <w:rFonts w:hint="eastAsia" w:ascii="仿宋" w:hAnsi="仿宋" w:eastAsia="仿宋" w:cs="仿宋"/>
          <w:b w:val="0"/>
          <w:bCs w:val="0"/>
          <w:color w:val="000000"/>
          <w:kern w:val="0"/>
          <w:sz w:val="32"/>
          <w:szCs w:val="32"/>
          <w:highlight w:val="none"/>
          <w:u w:color="000000"/>
          <w:shd w:val="clear" w:color="auto" w:fill="FFFFFF"/>
          <w:lang w:val="en-US" w:eastAsia="zh-CN" w:bidi="ar-SA"/>
        </w:rPr>
        <w:t>1.贯彻落实中央和部、省、州重大部署情况。</w:t>
      </w:r>
      <w:r>
        <w:rPr>
          <w:rFonts w:hint="eastAsia" w:ascii="仿宋" w:hAnsi="仿宋" w:eastAsia="仿宋" w:cs="仿宋"/>
          <w:b w:val="0"/>
          <w:bCs w:val="0"/>
          <w:color w:val="000000"/>
          <w:kern w:val="2"/>
          <w:sz w:val="32"/>
          <w:szCs w:val="32"/>
          <w:u w:color="000000"/>
          <w:lang w:val="en-US" w:eastAsia="zh-CN" w:bidi="ar"/>
        </w:rPr>
        <w:t>深入学习贯彻习近平总书记关于加快建设交通强国的重要论述和来川视察重要指示精神，全面落实“交通强国”“交通强省”“交通强州”战略部署，立足“四向通道、全域拓展”新格局，加快推进“两横三纵”主通道建设，全力破除交通发展瓶颈。同时，高标准高品质高水平建设美丽乡村路，进一步做实农村公路管理养护绩效考核，大力培育全国“四好农村路”示范县，切实提升我县交通运输服务水平。</w:t>
      </w:r>
    </w:p>
    <w:p w14:paraId="7FA711E7">
      <w:pPr>
        <w:pStyle w:val="8"/>
        <w:keepNext w:val="0"/>
        <w:keepLines w:val="0"/>
        <w:pageBreakBefore w:val="0"/>
        <w:widowControl w:val="0"/>
        <w:suppressLineNumbers w:val="0"/>
        <w:kinsoku/>
        <w:wordWrap/>
        <w:topLinePunct w:val="0"/>
        <w:autoSpaceDE w:val="0"/>
        <w:autoSpaceDN/>
        <w:bidi w:val="0"/>
        <w:spacing w:before="0" w:beforeAutospacing="0" w:after="0" w:afterAutospacing="0" w:line="560" w:lineRule="exact"/>
        <w:ind w:left="0" w:leftChars="0" w:firstLine="640" w:firstLineChars="200"/>
        <w:rPr>
          <w:rFonts w:hint="eastAsia" w:ascii="仿宋" w:hAnsi="仿宋" w:eastAsia="仿宋" w:cs="仿宋"/>
          <w:b w:val="0"/>
          <w:bCs w:val="0"/>
          <w:kern w:val="0"/>
          <w:sz w:val="32"/>
          <w:szCs w:val="32"/>
        </w:rPr>
      </w:pPr>
      <w:r>
        <w:rPr>
          <w:rFonts w:hint="eastAsia" w:ascii="仿宋" w:hAnsi="仿宋" w:eastAsia="仿宋" w:cs="仿宋"/>
          <w:b w:val="0"/>
          <w:bCs w:val="0"/>
          <w:kern w:val="0"/>
          <w:sz w:val="32"/>
          <w:szCs w:val="32"/>
          <w:lang w:val="en-US" w:eastAsia="zh-CN"/>
        </w:rPr>
        <w:t>2.</w:t>
      </w:r>
      <w:r>
        <w:rPr>
          <w:rFonts w:hint="eastAsia" w:ascii="仿宋" w:hAnsi="仿宋" w:eastAsia="仿宋" w:cs="仿宋"/>
          <w:b w:val="0"/>
          <w:bCs w:val="0"/>
          <w:kern w:val="0"/>
          <w:sz w:val="32"/>
          <w:szCs w:val="32"/>
        </w:rPr>
        <w:t xml:space="preserve">高效推进交通基础设施建设。2025年共实施交通项目14个，其中国省干线公路项目5个、农村公路项目9个。投资109亿元的S28茂县经黑水至红原高速公路项目正在开展工程可行性研究等前期工作，下一步积极对接上级部门将黑水至茂县段纳入省高网规划并推动尽早开工。投资23.5亿元的S446线黑水县芦花镇至理县米亚罗镇段改建工程已完成测量、地勘及施工图、预算编制送审稿，正在推进施工图审查，力争年内开工建设；投资1000余万元的G347线黑水境内12处水毁点已于5月底全面完成修复，累计完成投资1000余万元，同步对接州公路局启动色尔古电站绕坝路段K44处地勘设计工作，目前勘察设计方案正处于评审阶段，预计2026年7月启动处置工作；投资5.67亿元的S446线松潘县草原乡至黑水县麻窝乡提升改造工程已实现全线通车，累计完成投资5.01亿元，完成交工检测及核验，正在推进扎窝镇垮塌边坡整治，预计11月初完成交工验收；投资2.41亿元的S447线黑水县热里至卡龙沟段改建工程已完成主体建设，累计完成投资1.763亿元，正在开展标线、标识标牌安装，计划11月初前完成交工检测，12月底完成交工验收；投资250万元的S446线扎红隧道K139+767处地灾点已完成路段修复及沥青铺筑，累计完成投资250余万元，当前具备安全通行条件；投资1000万元的G347、S446服务区建设项目正进行可行性研究报告编制，力争年内开工建设。投资6416.06万元的黑水县木苏镇Y009新街至雅都幸福美丽乡村路已完工并通过交（竣）工验收，累计完成投资4918万元，正在开展结算审计；投资2410.94万元的2024年黑水县农村公路补短工程已完成全部14条村组道修复，累计完成投资2140万元，正在开展自检，预计12月完成审计；投资300万元的黑水县晴朗乡沙窝村、日格老村道路灾毁修复项目已完工并完成结算审计，累计完成投资306万元，预计12月完成财务决算；投资95万元的木苏镇和卡龙镇综合运输服务站项目主体已完工，累计完成投资95万元，正在施划车位线；投资2000万元的黑水县芦花镇四美村幸福美丽乡村路复工后完成桥梁剩余桥面施工，同步完成K0+000至K0+580段水温层及油面铺设及全路段标线施工，目前正推进局部整改，年内将完成验收；投资26万元的2025年黑水县农村公路安防工程省民生实事项目完成了7个乡镇10条道路35处缺陷点位波形护栏安装，工程量合计1.171公里，确保年内完成验收和结算审计工作；投资1982万元的黑水县C005卡龙镇才盖村幸福美丽乡村路于2025年7月开工，累计完成投资672万元，目前因投诉处理工作处于停工状态，预计2026年完工；投资7987万元的黑水县X081子石路（子母河桥至石碉楼乡丁寨村段）幸福美丽乡村路已完成监理、施工招标，受“7·29”特大泥石流灾害影响，正在开展设计变更方案编制及项目驻地建设；投资7256.26万元的黑水县X083大慈路（热里村至慈坝村段）幸福美丽乡村路已完成勘察设计，正在推进施工图设计审查，力争年内开工建设。  </w:t>
      </w:r>
    </w:p>
    <w:p w14:paraId="47F9916B">
      <w:pPr>
        <w:keepNext w:val="0"/>
        <w:keepLines w:val="0"/>
        <w:pageBreakBefore w:val="0"/>
        <w:widowControl w:val="0"/>
        <w:suppressLineNumbers w:val="0"/>
        <w:kinsoku/>
        <w:wordWrap/>
        <w:topLinePunct w:val="0"/>
        <w:autoSpaceDE/>
        <w:autoSpaceDN w:val="0"/>
        <w:bidi w:val="0"/>
        <w:spacing w:line="560" w:lineRule="exact"/>
        <w:ind w:left="0" w:firstLine="640" w:firstLineChars="200"/>
        <w:textAlignment w:val="baseline"/>
        <w:rPr>
          <w:rFonts w:hint="eastAsia" w:ascii="仿宋" w:hAnsi="仿宋" w:eastAsia="仿宋" w:cs="仿宋"/>
          <w:b w:val="0"/>
          <w:bCs w:val="0"/>
          <w:kern w:val="0"/>
          <w:sz w:val="32"/>
          <w:szCs w:val="32"/>
          <w:lang w:val="en-US" w:eastAsia="zh-CN" w:bidi="ar-SA"/>
        </w:rPr>
      </w:pPr>
      <w:r>
        <w:rPr>
          <w:rFonts w:hint="eastAsia" w:ascii="仿宋" w:hAnsi="仿宋" w:eastAsia="仿宋" w:cs="仿宋"/>
          <w:b w:val="0"/>
          <w:bCs w:val="0"/>
          <w:kern w:val="0"/>
          <w:sz w:val="32"/>
          <w:szCs w:val="32"/>
          <w:lang w:val="en-US" w:eastAsia="zh-CN"/>
        </w:rPr>
        <w:t>3.</w:t>
      </w:r>
      <w:r>
        <w:rPr>
          <w:rFonts w:hint="eastAsia" w:ascii="仿宋" w:hAnsi="仿宋" w:eastAsia="仿宋" w:cs="仿宋"/>
          <w:b w:val="0"/>
          <w:bCs w:val="0"/>
          <w:kern w:val="0"/>
          <w:sz w:val="32"/>
          <w:szCs w:val="32"/>
          <w:lang w:val="en-US" w:eastAsia="zh-CN" w:bidi="ar-SA"/>
        </w:rPr>
        <w:t>夯实交通运输安全生产管理。紧扣“保安全、畅路网、优服务”核心目标，分层分级落实安全生产与运输服务任务，全年未发生重大安全责任事故，交通运输环境持续稳定。强化执法监管，以“打非治违”专项行动为抓手，督促企业落实安全生产十五条硬措施，累计派出执法人员150余人次，检查各类企业50余家，发现问题22个，下发整改通知书12份，全部闭环整改，筑牢行业安全底线。严管运输秩序，应对国道317线（理县段）、国道213线（松潘段）交通管制压力，出动执法人员138人次，检查过境车辆440辆次，查处货运违法行为4起，遏制货运违法反弹。完成4家维修企业质量信誉考核（AAA级3家），检查驾培机构15家次，督促改进教学质量，规范维修驾培市场秩序。压实安全责任，以安全生产治本攻坚三年行动为抓手，推动重大隐患动态清零，排查重大安全隐患5条、整改5条。检查企业124家次，排查问题隐患85个、整改85个，严格落实部三十条硬措施、省厅“30+8”细化措施及重大危险源提级管控要求，压实全链条安全责任。完善应急机制，严格落实“雨前排查、雨中巡查、雨后核查”要求，聚焦桥涵隧道、高陡边坡等重点部位排查隐患并闭环处置。联合气象、应急部门建立预警共享机制，全年转发预警信息110条。储备保障车、装载机等21类110余件应急物资，动态完善应急预案，提升防灾减灾能力。严抓防灭火工作，传达省州县森林草原防灭火会议精神，汲取“3.30”火灾教训，围绕“两个确保”底线强化措施。督查在建工地落实专职巡查与设备维护，清理公路沿线易燃物，排查机关、车站等重点区域，严控车辆运行及用火用电隐患，守牢森林草原安全底线。</w:t>
      </w:r>
    </w:p>
    <w:p w14:paraId="1798E978">
      <w:pPr>
        <w:keepNext w:val="0"/>
        <w:keepLines w:val="0"/>
        <w:pageBreakBefore w:val="0"/>
        <w:kinsoku/>
        <w:wordWrap/>
        <w:topLinePunct w:val="0"/>
        <w:bidi w:val="0"/>
        <w:spacing w:line="560" w:lineRule="exact"/>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（三）结果应用情况。</w:t>
      </w:r>
    </w:p>
    <w:p w14:paraId="30F71A03">
      <w:pPr>
        <w:keepNext w:val="0"/>
        <w:keepLines w:val="0"/>
        <w:pageBreakBefore w:val="0"/>
        <w:kinsoku/>
        <w:wordWrap/>
        <w:overflowPunct/>
        <w:topLinePunct w:val="0"/>
        <w:autoSpaceDE/>
        <w:autoSpaceDN/>
        <w:bidi w:val="0"/>
        <w:adjustRightInd/>
        <w:spacing w:line="560" w:lineRule="exact"/>
        <w:ind w:firstLine="640" w:firstLineChars="200"/>
        <w:textAlignment w:val="auto"/>
        <w:rPr>
          <w:rFonts w:hint="default" w:ascii="Times New Roman" w:hAnsi="Times New Roman" w:eastAsia="仿宋" w:cs="Times New Roman"/>
          <w:sz w:val="32"/>
          <w:szCs w:val="32"/>
          <w:lang w:val="zh-CN"/>
        </w:rPr>
      </w:pPr>
      <w:r>
        <w:rPr>
          <w:rFonts w:hint="default" w:ascii="Times New Roman" w:hAnsi="Times New Roman" w:eastAsia="仿宋" w:cs="Times New Roman"/>
          <w:b w:val="0"/>
          <w:bCs w:val="0"/>
          <w:color w:val="000000"/>
          <w:kern w:val="0"/>
          <w:sz w:val="32"/>
          <w:szCs w:val="32"/>
          <w:shd w:val="clear" w:color="auto" w:fill="FFFFFF"/>
          <w:lang w:val="en-US" w:eastAsia="zh-CN"/>
        </w:rPr>
        <w:t>1.</w:t>
      </w:r>
      <w:r>
        <w:rPr>
          <w:rFonts w:hint="default" w:ascii="Times New Roman" w:hAnsi="Times New Roman" w:eastAsia="仿宋" w:cs="Times New Roman"/>
          <w:b w:val="0"/>
          <w:bCs w:val="0"/>
          <w:color w:val="000000"/>
          <w:kern w:val="0"/>
          <w:sz w:val="32"/>
          <w:szCs w:val="32"/>
          <w:shd w:val="clear" w:color="auto" w:fill="FFFFFF"/>
          <w:lang w:val="zh-CN"/>
        </w:rPr>
        <w:t>财务核算，</w:t>
      </w:r>
      <w:r>
        <w:rPr>
          <w:rFonts w:hint="default" w:ascii="Times New Roman" w:hAnsi="Times New Roman" w:eastAsia="仿宋" w:cs="Times New Roman"/>
          <w:sz w:val="32"/>
          <w:szCs w:val="32"/>
          <w:lang w:val="zh-CN"/>
        </w:rPr>
        <w:t>严格依照《中华人民共和国会计法》《财务规则》《行政单位会计制度》《行政事业单位财务管理办法》等规定，进行财务管理、核算、控制和监督。</w:t>
      </w:r>
    </w:p>
    <w:p w14:paraId="1BE9A5D1">
      <w:pPr>
        <w:keepNext w:val="0"/>
        <w:keepLines w:val="0"/>
        <w:pageBreakBefore w:val="0"/>
        <w:kinsoku/>
        <w:wordWrap/>
        <w:overflowPunct/>
        <w:topLinePunct w:val="0"/>
        <w:autoSpaceDE/>
        <w:autoSpaceDN/>
        <w:bidi w:val="0"/>
        <w:adjustRightInd/>
        <w:spacing w:line="560" w:lineRule="exact"/>
        <w:ind w:firstLine="640" w:firstLineChars="200"/>
        <w:textAlignment w:val="auto"/>
        <w:rPr>
          <w:rFonts w:hint="default" w:ascii="Times New Roman" w:hAnsi="Times New Roman" w:eastAsia="仿宋" w:cs="Times New Roman"/>
          <w:color w:val="000000"/>
          <w:kern w:val="0"/>
          <w:sz w:val="32"/>
          <w:szCs w:val="32"/>
          <w:shd w:val="clear" w:color="auto" w:fill="FFFFFF"/>
          <w:lang w:val="zh-CN"/>
        </w:rPr>
      </w:pPr>
      <w:r>
        <w:rPr>
          <w:rFonts w:hint="default" w:ascii="Times New Roman" w:hAnsi="Times New Roman" w:eastAsia="仿宋" w:cs="Times New Roman"/>
          <w:b w:val="0"/>
          <w:bCs w:val="0"/>
          <w:color w:val="000000"/>
          <w:kern w:val="0"/>
          <w:sz w:val="32"/>
          <w:szCs w:val="32"/>
          <w:shd w:val="clear" w:color="auto" w:fill="FFFFFF"/>
          <w:lang w:val="en-US" w:eastAsia="zh-CN"/>
        </w:rPr>
        <w:t>2.</w:t>
      </w:r>
      <w:r>
        <w:rPr>
          <w:rFonts w:hint="default" w:ascii="Times New Roman" w:hAnsi="Times New Roman" w:eastAsia="仿宋" w:cs="Times New Roman"/>
          <w:b w:val="0"/>
          <w:bCs w:val="0"/>
          <w:color w:val="000000"/>
          <w:kern w:val="0"/>
          <w:sz w:val="32"/>
          <w:szCs w:val="32"/>
          <w:shd w:val="clear" w:color="auto" w:fill="FFFFFF"/>
          <w:lang w:val="zh-CN"/>
        </w:rPr>
        <w:t>账务管理，</w:t>
      </w:r>
      <w:r>
        <w:rPr>
          <w:rFonts w:hint="default" w:ascii="Times New Roman" w:hAnsi="Times New Roman" w:eastAsia="仿宋" w:cs="Times New Roman"/>
          <w:sz w:val="32"/>
          <w:szCs w:val="32"/>
        </w:rPr>
        <w:t>按照国家关于会计档案管理的规定和要求，对会计凭证、</w:t>
      </w:r>
      <w:r>
        <w:rPr>
          <w:rFonts w:hint="default" w:ascii="Times New Roman" w:hAnsi="Times New Roman" w:eastAsia="仿宋" w:cs="Times New Roman"/>
          <w:sz w:val="32"/>
          <w:szCs w:val="32"/>
          <w:lang w:eastAsia="zh-CN"/>
        </w:rPr>
        <w:t>会计账簿</w:t>
      </w:r>
      <w:r>
        <w:rPr>
          <w:rFonts w:hint="default" w:ascii="Times New Roman" w:hAnsi="Times New Roman" w:eastAsia="仿宋" w:cs="Times New Roman"/>
          <w:sz w:val="32"/>
          <w:szCs w:val="32"/>
        </w:rPr>
        <w:t>、会计报表及其他会计资料，定期装订成册，整理立档，并妥善保管。</w:t>
      </w:r>
    </w:p>
    <w:p w14:paraId="60B86C0A">
      <w:pPr>
        <w:keepNext w:val="0"/>
        <w:keepLines w:val="0"/>
        <w:pageBreakBefore w:val="0"/>
        <w:widowControl w:val="0"/>
        <w:numPr>
          <w:ilvl w:val="0"/>
          <w:numId w:val="0"/>
        </w:numPr>
        <w:kinsoku/>
        <w:wordWrap/>
        <w:overflowPunct w:val="0"/>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 w:hAnsi="仿宋" w:eastAsia="仿宋" w:cs="仿宋"/>
          <w:color w:val="000000"/>
          <w:kern w:val="0"/>
          <w:sz w:val="32"/>
          <w:szCs w:val="32"/>
          <w:shd w:val="clear" w:color="auto" w:fill="FFFFFF"/>
          <w:lang w:val="zh-CN"/>
        </w:rPr>
      </w:pPr>
      <w:r>
        <w:rPr>
          <w:rFonts w:hint="eastAsia" w:ascii="仿宋" w:hAnsi="仿宋" w:eastAsia="仿宋" w:cs="仿宋"/>
          <w:b w:val="0"/>
          <w:bCs w:val="0"/>
          <w:color w:val="000000"/>
          <w:kern w:val="0"/>
          <w:sz w:val="32"/>
          <w:szCs w:val="32"/>
          <w:shd w:val="clear" w:color="auto" w:fill="FFFFFF"/>
          <w:lang w:val="en-US" w:eastAsia="zh-CN"/>
        </w:rPr>
        <w:t>3.</w:t>
      </w:r>
      <w:r>
        <w:rPr>
          <w:rFonts w:hint="eastAsia" w:ascii="仿宋" w:hAnsi="仿宋" w:eastAsia="仿宋" w:cs="仿宋"/>
          <w:b w:val="0"/>
          <w:bCs w:val="0"/>
          <w:color w:val="000000"/>
          <w:kern w:val="0"/>
          <w:sz w:val="32"/>
          <w:szCs w:val="32"/>
          <w:shd w:val="clear" w:color="auto" w:fill="FFFFFF"/>
          <w:lang w:val="zh-CN"/>
        </w:rPr>
        <w:t>政府采购，</w:t>
      </w:r>
      <w:r>
        <w:rPr>
          <w:rFonts w:hint="eastAsia" w:ascii="仿宋" w:hAnsi="仿宋" w:eastAsia="仿宋" w:cs="仿宋"/>
          <w:color w:val="000000"/>
          <w:kern w:val="0"/>
          <w:sz w:val="32"/>
          <w:szCs w:val="32"/>
          <w:highlight w:val="none"/>
          <w:shd w:val="clear" w:color="auto" w:fill="FFFFFF"/>
          <w:lang w:val="zh-CN"/>
        </w:rPr>
        <w:t>围绕支持中小企业发展、采购执行率进行绩效分析。对适宜由中小企业提供的采购项目和采购包，预留采购份额专门面向中小企业采购，并在采购预算中单独列示。部门政府采购项目资金支付比例情况，当年政府采购实际支付总金额</w:t>
      </w:r>
      <w:r>
        <w:rPr>
          <w:rFonts w:hint="eastAsia" w:ascii="仿宋" w:hAnsi="仿宋" w:eastAsia="仿宋" w:cs="仿宋"/>
          <w:color w:val="000000"/>
          <w:kern w:val="0"/>
          <w:sz w:val="32"/>
          <w:szCs w:val="32"/>
          <w:highlight w:val="none"/>
          <w:shd w:val="clear" w:color="auto" w:fill="FFFFFF"/>
          <w:lang w:val="en-US" w:eastAsia="zh-CN"/>
        </w:rPr>
        <w:t>589.76</w:t>
      </w:r>
      <w:r>
        <w:rPr>
          <w:rFonts w:hint="eastAsia" w:ascii="仿宋" w:hAnsi="仿宋" w:eastAsia="仿宋" w:cs="仿宋"/>
          <w:color w:val="000000"/>
          <w:kern w:val="0"/>
          <w:sz w:val="32"/>
          <w:szCs w:val="32"/>
          <w:highlight w:val="none"/>
          <w:shd w:val="clear" w:color="auto" w:fill="FFFFFF"/>
          <w:lang w:val="zh-CN"/>
        </w:rPr>
        <w:t>万元。</w:t>
      </w:r>
    </w:p>
    <w:p w14:paraId="0648E58D">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contextualSpacing/>
        <w:jc w:val="left"/>
        <w:textAlignment w:val="auto"/>
        <w:outlineLvl w:val="9"/>
        <w:rPr>
          <w:rFonts w:hint="default" w:ascii="Times New Roman" w:hAnsi="Times New Roman" w:eastAsia="仿宋" w:cs="Times New Roman"/>
          <w:color w:val="000000" w:themeColor="text1"/>
          <w:kern w:val="0"/>
          <w:sz w:val="32"/>
          <w:szCs w:val="32"/>
          <w14:textFill>
            <w14:solidFill>
              <w14:schemeClr w14:val="tx1"/>
            </w14:solidFill>
          </w14:textFill>
        </w:rPr>
      </w:pPr>
      <w:r>
        <w:rPr>
          <w:rFonts w:hint="default" w:ascii="Times New Roman" w:hAnsi="Times New Roman" w:eastAsia="仿宋" w:cs="Times New Roman"/>
          <w:b w:val="0"/>
          <w:bCs w:val="0"/>
          <w:color w:val="000000"/>
          <w:kern w:val="0"/>
          <w:sz w:val="32"/>
          <w:szCs w:val="32"/>
          <w:shd w:val="clear" w:color="auto" w:fill="FFFFFF"/>
          <w:lang w:val="en-US" w:eastAsia="zh-CN"/>
        </w:rPr>
        <w:t>4.</w:t>
      </w:r>
      <w:r>
        <w:rPr>
          <w:rFonts w:hint="default" w:ascii="Times New Roman" w:hAnsi="Times New Roman" w:eastAsia="仿宋" w:cs="Times New Roman"/>
          <w:b w:val="0"/>
          <w:bCs w:val="0"/>
          <w:sz w:val="32"/>
          <w:szCs w:val="32"/>
          <w:lang w:val="en-US" w:eastAsia="zh-CN"/>
        </w:rPr>
        <w:t>资金使用规范，</w:t>
      </w:r>
      <w:r>
        <w:rPr>
          <w:rFonts w:hint="default" w:ascii="Times New Roman" w:hAnsi="Times New Roman" w:eastAsia="仿宋" w:cs="Times New Roman"/>
          <w:i w:val="0"/>
          <w:iCs w:val="0"/>
          <w:caps w:val="0"/>
          <w:color w:val="000000"/>
          <w:spacing w:val="0"/>
          <w:sz w:val="32"/>
          <w:szCs w:val="32"/>
          <w:lang w:eastAsia="zh-CN"/>
        </w:rPr>
        <w:t>我局不存在超预算或无预算安排、虚列支出、超范围超标准使用经费、违规使用“三公”经费、滥发津补贴、报销不合规等情况</w:t>
      </w:r>
      <w:r>
        <w:rPr>
          <w:rFonts w:hint="default" w:ascii="Times New Roman" w:hAnsi="Times New Roman" w:eastAsia="仿宋" w:cs="Times New Roman"/>
          <w:i w:val="0"/>
          <w:iCs w:val="0"/>
          <w:caps w:val="0"/>
          <w:color w:val="000000"/>
          <w:spacing w:val="0"/>
          <w:sz w:val="32"/>
          <w:szCs w:val="32"/>
          <w:lang w:val="en-US" w:eastAsia="zh-CN"/>
        </w:rPr>
        <w:t>。</w:t>
      </w:r>
    </w:p>
    <w:p w14:paraId="5BF0D05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contextualSpacing/>
        <w:jc w:val="left"/>
        <w:textAlignment w:val="auto"/>
        <w:outlineLvl w:val="9"/>
        <w:rPr>
          <w:rFonts w:hint="eastAsia" w:ascii="仿宋" w:hAnsi="仿宋" w:eastAsia="仿宋" w:cs="仿宋"/>
          <w:color w:val="000000"/>
          <w:kern w:val="0"/>
          <w:sz w:val="32"/>
          <w:szCs w:val="32"/>
          <w:shd w:val="clear" w:color="auto" w:fill="FFFFFF"/>
          <w:lang w:val="zh-CN"/>
        </w:rPr>
      </w:pPr>
      <w:r>
        <w:rPr>
          <w:rFonts w:hint="eastAsia" w:ascii="仿宋" w:hAnsi="仿宋" w:eastAsia="仿宋" w:cs="仿宋"/>
          <w:b w:val="0"/>
          <w:bCs w:val="0"/>
          <w:color w:val="000000"/>
          <w:kern w:val="0"/>
          <w:sz w:val="32"/>
          <w:szCs w:val="32"/>
          <w:shd w:val="clear" w:color="auto" w:fill="FFFFFF"/>
          <w:lang w:val="en-US" w:eastAsia="zh-CN"/>
        </w:rPr>
        <w:t>5.</w:t>
      </w:r>
      <w:r>
        <w:rPr>
          <w:rFonts w:hint="eastAsia" w:ascii="仿宋" w:hAnsi="仿宋" w:eastAsia="仿宋" w:cs="仿宋"/>
          <w:b w:val="0"/>
          <w:bCs w:val="0"/>
          <w:color w:val="000000"/>
          <w:kern w:val="0"/>
          <w:sz w:val="32"/>
          <w:szCs w:val="32"/>
          <w:highlight w:val="none"/>
          <w:shd w:val="clear" w:color="auto" w:fill="FFFFFF"/>
          <w:lang w:val="en-US" w:eastAsia="zh-CN"/>
        </w:rPr>
        <w:t>实现效果：</w:t>
      </w:r>
      <w:r>
        <w:rPr>
          <w:rFonts w:hint="eastAsia" w:ascii="仿宋" w:hAnsi="仿宋" w:eastAsia="仿宋" w:cs="仿宋"/>
          <w:color w:val="000000"/>
          <w:sz w:val="32"/>
          <w:szCs w:val="32"/>
          <w:shd w:val="clear" w:color="auto" w:fill="FFFFFF"/>
          <w:lang w:val="en-US" w:eastAsia="zh-CN"/>
        </w:rPr>
        <w:t>项目的实施对进一步巩</w:t>
      </w:r>
      <w:r>
        <w:rPr>
          <w:rFonts w:hint="eastAsia" w:ascii="仿宋" w:hAnsi="仿宋" w:eastAsia="仿宋" w:cs="仿宋"/>
          <w:color w:val="000000"/>
          <w:sz w:val="32"/>
          <w:szCs w:val="32"/>
        </w:rPr>
        <w:t>固</w:t>
      </w:r>
      <w:r>
        <w:rPr>
          <w:rFonts w:hint="eastAsia" w:ascii="仿宋" w:hAnsi="仿宋" w:eastAsia="仿宋" w:cs="仿宋"/>
          <w:color w:val="000000"/>
          <w:sz w:val="32"/>
          <w:szCs w:val="32"/>
          <w:lang w:eastAsia="zh-CN"/>
        </w:rPr>
        <w:t>乡镇</w:t>
      </w:r>
      <w:r>
        <w:rPr>
          <w:rFonts w:hint="eastAsia" w:ascii="仿宋" w:hAnsi="仿宋" w:eastAsia="仿宋" w:cs="仿宋"/>
          <w:color w:val="000000"/>
          <w:sz w:val="32"/>
          <w:szCs w:val="32"/>
        </w:rPr>
        <w:t>基础设施建设成果，加强和规范</w:t>
      </w:r>
      <w:r>
        <w:rPr>
          <w:rFonts w:hint="eastAsia" w:ascii="仿宋" w:hAnsi="仿宋" w:eastAsia="仿宋" w:cs="仿宋"/>
          <w:color w:val="000000"/>
          <w:sz w:val="32"/>
          <w:szCs w:val="32"/>
          <w:lang w:eastAsia="zh-CN"/>
        </w:rPr>
        <w:t>乡镇</w:t>
      </w:r>
      <w:r>
        <w:rPr>
          <w:rFonts w:hint="eastAsia" w:ascii="仿宋" w:hAnsi="仿宋" w:eastAsia="仿宋" w:cs="仿宋"/>
          <w:color w:val="000000"/>
          <w:sz w:val="32"/>
          <w:szCs w:val="32"/>
        </w:rPr>
        <w:t>公共</w:t>
      </w:r>
      <w:r>
        <w:rPr>
          <w:rFonts w:hint="eastAsia" w:ascii="仿宋" w:hAnsi="仿宋" w:eastAsia="仿宋" w:cs="仿宋"/>
          <w:color w:val="000000"/>
          <w:sz w:val="32"/>
          <w:szCs w:val="32"/>
          <w:lang w:eastAsia="zh-CN"/>
        </w:rPr>
        <w:t>基础设施管理，</w:t>
      </w:r>
      <w:r>
        <w:rPr>
          <w:rFonts w:hint="eastAsia" w:ascii="仿宋" w:hAnsi="仿宋" w:eastAsia="仿宋" w:cs="仿宋"/>
          <w:color w:val="000000"/>
          <w:sz w:val="32"/>
          <w:szCs w:val="32"/>
        </w:rPr>
        <w:t>发挥</w:t>
      </w:r>
      <w:r>
        <w:rPr>
          <w:rFonts w:hint="eastAsia" w:ascii="仿宋" w:hAnsi="仿宋" w:eastAsia="仿宋" w:cs="仿宋"/>
          <w:color w:val="000000"/>
          <w:sz w:val="32"/>
          <w:szCs w:val="32"/>
          <w:lang w:eastAsia="zh-CN"/>
        </w:rPr>
        <w:t>乡镇</w:t>
      </w:r>
      <w:r>
        <w:rPr>
          <w:rFonts w:hint="eastAsia" w:ascii="仿宋" w:hAnsi="仿宋" w:eastAsia="仿宋" w:cs="仿宋"/>
          <w:color w:val="000000"/>
          <w:sz w:val="32"/>
          <w:szCs w:val="32"/>
        </w:rPr>
        <w:t>公共基础设施效能，</w:t>
      </w:r>
      <w:r>
        <w:rPr>
          <w:rFonts w:hint="eastAsia" w:ascii="仿宋" w:hAnsi="仿宋" w:eastAsia="仿宋" w:cs="仿宋"/>
          <w:color w:val="000000"/>
          <w:sz w:val="32"/>
          <w:szCs w:val="32"/>
          <w:shd w:val="clear" w:color="auto" w:fill="FFFFFF"/>
        </w:rPr>
        <w:t>推进城乡基础设施共建共享、互联互通，完善管护运行机制</w:t>
      </w:r>
      <w:r>
        <w:rPr>
          <w:rFonts w:hint="eastAsia" w:ascii="仿宋" w:hAnsi="仿宋" w:eastAsia="仿宋" w:cs="仿宋"/>
          <w:color w:val="000000"/>
          <w:sz w:val="32"/>
          <w:szCs w:val="32"/>
          <w:shd w:val="clear" w:color="auto" w:fill="FFFFFF"/>
          <w:lang w:val="en-US" w:eastAsia="zh-CN"/>
        </w:rPr>
        <w:t>起到积极作用</w:t>
      </w:r>
      <w:r>
        <w:rPr>
          <w:rFonts w:hint="eastAsia" w:ascii="仿宋" w:hAnsi="仿宋" w:eastAsia="仿宋" w:cs="仿宋"/>
          <w:color w:val="000000"/>
          <w:sz w:val="32"/>
          <w:szCs w:val="32"/>
          <w:shd w:val="clear" w:color="auto" w:fill="FFFFFF"/>
        </w:rPr>
        <w:t>。</w:t>
      </w:r>
      <w:r>
        <w:rPr>
          <w:rFonts w:hint="eastAsia" w:ascii="仿宋" w:hAnsi="仿宋" w:eastAsia="仿宋" w:cs="仿宋"/>
          <w:b w:val="0"/>
          <w:bCs w:val="0"/>
          <w:sz w:val="32"/>
          <w:szCs w:val="32"/>
          <w:lang w:val="en-US" w:eastAsia="zh-CN"/>
        </w:rPr>
        <w:t>黑水县</w:t>
      </w:r>
      <w:r>
        <w:rPr>
          <w:rFonts w:hint="eastAsia" w:ascii="仿宋" w:hAnsi="仿宋" w:eastAsia="仿宋" w:cs="仿宋"/>
          <w:sz w:val="32"/>
          <w:szCs w:val="32"/>
        </w:rPr>
        <w:t>深入贯彻落实习近平总书记关于“四好农村路”的重要指示批示精神，</w:t>
      </w:r>
      <w:r>
        <w:rPr>
          <w:rFonts w:hint="eastAsia" w:ascii="仿宋" w:hAnsi="仿宋" w:eastAsia="仿宋" w:cs="仿宋"/>
          <w:b w:val="0"/>
          <w:bCs w:val="0"/>
          <w:sz w:val="32"/>
          <w:szCs w:val="32"/>
          <w:lang w:val="en-US" w:eastAsia="zh-CN"/>
        </w:rPr>
        <w:t>在交通运输部的定点帮扶和省州的大力支持下，</w:t>
      </w:r>
      <w:r>
        <w:rPr>
          <w:rFonts w:hint="eastAsia" w:ascii="仿宋" w:hAnsi="仿宋" w:eastAsia="仿宋" w:cs="仿宋"/>
          <w:sz w:val="32"/>
          <w:szCs w:val="32"/>
          <w:lang w:val="en-US" w:eastAsia="zh-CN"/>
        </w:rPr>
        <w:t>坚定实施交通先行战略，</w:t>
      </w:r>
      <w:r>
        <w:rPr>
          <w:rFonts w:hint="eastAsia" w:ascii="仿宋" w:hAnsi="仿宋" w:eastAsia="仿宋" w:cs="仿宋"/>
          <w:sz w:val="32"/>
          <w:szCs w:val="32"/>
        </w:rPr>
        <w:t>全力打响交通硬仗，打通“大动脉”，畅通“微循环”，全面推进农村公路建管护运一体化建设，并通过“交通+民生+产业+旅游”，助力脱贫攻坚、赋能乡村振兴，</w:t>
      </w:r>
      <w:r>
        <w:rPr>
          <w:rFonts w:hint="eastAsia" w:ascii="仿宋" w:hAnsi="仿宋" w:eastAsia="仿宋" w:cs="仿宋"/>
          <w:b w:val="0"/>
          <w:bCs w:val="0"/>
          <w:sz w:val="32"/>
          <w:szCs w:val="32"/>
          <w:lang w:val="en-US" w:eastAsia="zh-CN"/>
        </w:rPr>
        <w:t>农村公路日渐成为助力黑水乡村振兴的便民路、产业路、旅游路、发展路。</w:t>
      </w:r>
      <w:r>
        <w:rPr>
          <w:rFonts w:hint="eastAsia" w:ascii="仿宋" w:hAnsi="仿宋" w:eastAsia="仿宋" w:cs="仿宋"/>
          <w:sz w:val="32"/>
          <w:szCs w:val="32"/>
          <w:lang w:eastAsia="zh-CN"/>
        </w:rPr>
        <w:t>人民群众满意度达</w:t>
      </w:r>
      <w:r>
        <w:rPr>
          <w:rFonts w:hint="eastAsia" w:ascii="仿宋" w:hAnsi="仿宋" w:eastAsia="仿宋" w:cs="仿宋"/>
          <w:sz w:val="32"/>
          <w:szCs w:val="32"/>
          <w:lang w:val="en-US" w:eastAsia="zh-CN"/>
        </w:rPr>
        <w:t>90%，达到了项目预期效果。</w:t>
      </w:r>
    </w:p>
    <w:p w14:paraId="33EC2E89">
      <w:pPr>
        <w:keepNext w:val="0"/>
        <w:keepLines w:val="0"/>
        <w:pageBreakBefore w:val="0"/>
        <w:kinsoku/>
        <w:wordWrap/>
        <w:overflowPunct/>
        <w:topLinePunct w:val="0"/>
        <w:autoSpaceDE/>
        <w:autoSpaceDN/>
        <w:bidi w:val="0"/>
        <w:adjustRightInd/>
        <w:spacing w:line="560" w:lineRule="exact"/>
        <w:ind w:firstLine="640" w:firstLineChars="200"/>
        <w:textAlignment w:val="auto"/>
        <w:rPr>
          <w:rFonts w:hint="default" w:ascii="Times New Roman" w:hAnsi="Times New Roman" w:eastAsia="仿宋" w:cs="Times New Roman"/>
          <w:b/>
          <w:bCs/>
          <w:color w:val="000000"/>
          <w:kern w:val="0"/>
          <w:sz w:val="32"/>
          <w:szCs w:val="32"/>
          <w:shd w:val="clear" w:color="auto" w:fill="FFFFFF"/>
          <w:lang w:val="zh-CN"/>
        </w:rPr>
      </w:pPr>
      <w:r>
        <w:rPr>
          <w:rFonts w:hint="default" w:ascii="Times New Roman" w:hAnsi="Times New Roman" w:eastAsia="仿宋" w:cs="Times New Roman"/>
          <w:b w:val="0"/>
          <w:bCs w:val="0"/>
          <w:color w:val="000000"/>
          <w:kern w:val="0"/>
          <w:sz w:val="32"/>
          <w:szCs w:val="32"/>
          <w:shd w:val="clear" w:color="auto" w:fill="FFFFFF"/>
          <w:lang w:val="en-US" w:eastAsia="zh-CN"/>
        </w:rPr>
        <w:t>6.</w:t>
      </w:r>
      <w:r>
        <w:rPr>
          <w:rFonts w:hint="default" w:ascii="Times New Roman" w:hAnsi="Times New Roman" w:eastAsia="仿宋" w:cs="Times New Roman"/>
          <w:b w:val="0"/>
          <w:bCs w:val="0"/>
          <w:color w:val="000000"/>
          <w:kern w:val="0"/>
          <w:sz w:val="32"/>
          <w:szCs w:val="32"/>
          <w:shd w:val="clear" w:color="auto" w:fill="FFFFFF"/>
          <w:lang w:val="zh-CN"/>
        </w:rPr>
        <w:t>绩效评价及接受监督，</w:t>
      </w:r>
      <w:r>
        <w:rPr>
          <w:rFonts w:hint="default" w:ascii="Times New Roman" w:hAnsi="Times New Roman" w:eastAsia="仿宋" w:cs="Times New Roman"/>
          <w:sz w:val="32"/>
          <w:szCs w:val="32"/>
        </w:rPr>
        <w:t>我</w:t>
      </w:r>
      <w:r>
        <w:rPr>
          <w:rFonts w:hint="default" w:ascii="Times New Roman" w:hAnsi="Times New Roman" w:eastAsia="仿宋" w:cs="Times New Roman"/>
          <w:sz w:val="32"/>
          <w:szCs w:val="32"/>
          <w:lang w:eastAsia="zh-CN"/>
        </w:rPr>
        <w:t>局</w:t>
      </w:r>
      <w:r>
        <w:rPr>
          <w:rFonts w:hint="default" w:ascii="Times New Roman" w:hAnsi="Times New Roman" w:eastAsia="仿宋" w:cs="Times New Roman"/>
          <w:sz w:val="32"/>
          <w:szCs w:val="32"/>
        </w:rPr>
        <w:t>每年按规定对本单位项目</w:t>
      </w:r>
      <w:r>
        <w:rPr>
          <w:rFonts w:hint="default" w:ascii="Times New Roman" w:hAnsi="Times New Roman" w:eastAsia="仿宋" w:cs="Times New Roman"/>
          <w:sz w:val="32"/>
          <w:szCs w:val="32"/>
          <w:lang w:val="zh-CN"/>
        </w:rPr>
        <w:t>支出</w:t>
      </w:r>
      <w:r>
        <w:rPr>
          <w:rFonts w:hint="default" w:ascii="Times New Roman" w:hAnsi="Times New Roman" w:eastAsia="仿宋" w:cs="Times New Roman"/>
          <w:sz w:val="32"/>
          <w:szCs w:val="32"/>
        </w:rPr>
        <w:t>及整体支出进行绩效评价；并依法接受财政部门监督监管。</w:t>
      </w:r>
    </w:p>
    <w:p w14:paraId="5E76614A">
      <w:pPr>
        <w:keepNext w:val="0"/>
        <w:keepLines w:val="0"/>
        <w:pageBreakBefore w:val="0"/>
        <w:kinsoku/>
        <w:wordWrap/>
        <w:topLinePunct w:val="0"/>
        <w:bidi w:val="0"/>
        <w:spacing w:line="56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四、评价结论及建议</w:t>
      </w:r>
    </w:p>
    <w:p w14:paraId="4841C14A">
      <w:pPr>
        <w:keepNext w:val="0"/>
        <w:keepLines w:val="0"/>
        <w:pageBreakBefore w:val="0"/>
        <w:kinsoku/>
        <w:wordWrap/>
        <w:topLinePunct w:val="0"/>
        <w:bidi w:val="0"/>
        <w:spacing w:line="560" w:lineRule="exact"/>
        <w:ind w:firstLine="643" w:firstLineChars="200"/>
        <w:rPr>
          <w:rFonts w:hint="eastAsia" w:ascii="楷体_GB2312" w:hAnsi="楷体_GB2312" w:eastAsia="楷体_GB2312" w:cs="楷体_GB2312"/>
          <w:b/>
          <w:bCs/>
          <w:sz w:val="32"/>
          <w:szCs w:val="32"/>
          <w:lang w:val="zh-CN"/>
        </w:rPr>
      </w:pPr>
      <w:r>
        <w:rPr>
          <w:rFonts w:hint="eastAsia" w:ascii="楷体_GB2312" w:hAnsi="楷体_GB2312" w:eastAsia="楷体_GB2312" w:cs="楷体_GB2312"/>
          <w:b/>
          <w:bCs/>
          <w:sz w:val="32"/>
          <w:szCs w:val="32"/>
          <w:lang w:val="zh-CN"/>
        </w:rPr>
        <w:t>（一）评价结论。</w:t>
      </w:r>
    </w:p>
    <w:p w14:paraId="3211060A">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left"/>
        <w:textAlignment w:val="auto"/>
        <w:outlineLvl w:val="9"/>
        <w:rPr>
          <w:rFonts w:hint="eastAsia" w:ascii="仿宋" w:hAnsi="仿宋" w:eastAsia="仿宋" w:cs="仿宋"/>
          <w:color w:val="000000"/>
          <w:kern w:val="0"/>
          <w:sz w:val="32"/>
          <w:szCs w:val="32"/>
          <w:lang w:val="en-US" w:eastAsia="zh-CN" w:bidi="ar"/>
        </w:rPr>
        <w:sectPr>
          <w:footerReference r:id="rId3" w:type="default"/>
          <w:pgSz w:w="11906" w:h="16838"/>
          <w:pgMar w:top="1440" w:right="1800" w:bottom="1440" w:left="1800" w:header="851" w:footer="992" w:gutter="0"/>
          <w:pgNumType w:fmt="decimal"/>
          <w:cols w:space="425" w:num="1"/>
          <w:docGrid w:type="lines" w:linePitch="312" w:charSpace="0"/>
        </w:sectPr>
      </w:pPr>
      <w:r>
        <w:rPr>
          <w:rFonts w:hint="eastAsia" w:ascii="仿宋" w:hAnsi="仿宋" w:eastAsia="仿宋" w:cs="仿宋"/>
          <w:color w:val="000000"/>
          <w:kern w:val="0"/>
          <w:sz w:val="32"/>
          <w:szCs w:val="32"/>
          <w:lang w:val="en-US" w:eastAsia="zh-CN" w:bidi="ar"/>
        </w:rPr>
        <w:t>我单位按要求对2025年部门整体支出开展绩效自评，从评价情况来看整体支出绩效目标基本完成，确保了各项资金的安全、有效性，实现了收支基本平衡，保障了人员经费、重点项目等基本支出和重点支出。针对2025年下达的项目</w:t>
      </w:r>
    </w:p>
    <w:p w14:paraId="37749B22">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contextualSpacing/>
        <w:jc w:val="left"/>
        <w:textAlignment w:val="auto"/>
        <w:outlineLvl w:val="9"/>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资金进行了全覆盖项目支出绩效自评，项目绩效自评平均得分为97.3分，自评结果为优。</w:t>
      </w:r>
    </w:p>
    <w:p w14:paraId="269109F5">
      <w:pPr>
        <w:pStyle w:val="5"/>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textAlignment w:val="auto"/>
        <w:rPr>
          <w:rFonts w:hint="eastAsia" w:ascii="仿宋" w:hAnsi="仿宋" w:eastAsia="仿宋" w:cs="仿宋"/>
          <w:color w:val="000000"/>
          <w:kern w:val="0"/>
          <w:sz w:val="32"/>
          <w:szCs w:val="32"/>
          <w:lang w:val="en-US" w:eastAsia="zh-CN" w:bidi="ar"/>
        </w:rPr>
      </w:pPr>
      <w:r>
        <w:rPr>
          <w:rFonts w:hint="eastAsia" w:ascii="仿宋" w:hAnsi="仿宋" w:eastAsia="仿宋" w:cs="仿宋"/>
          <w:color w:val="000000"/>
          <w:kern w:val="0"/>
          <w:sz w:val="32"/>
          <w:szCs w:val="32"/>
          <w:lang w:val="en-US" w:eastAsia="zh-CN" w:bidi="ar"/>
        </w:rPr>
        <w:t>2025年我单位部门整体支出绩效评价自评得分为96分，属于“优”级别，全年基本支出保证了部门的正常运行和日常工作开展，项目支出保障了重点工作开展，达到预期绩效目标。</w:t>
      </w:r>
    </w:p>
    <w:p w14:paraId="138447DF">
      <w:pPr>
        <w:keepNext w:val="0"/>
        <w:keepLines w:val="0"/>
        <w:pageBreakBefore w:val="0"/>
        <w:kinsoku/>
        <w:wordWrap/>
        <w:topLinePunct w:val="0"/>
        <w:bidi w:val="0"/>
        <w:spacing w:line="560" w:lineRule="exact"/>
        <w:ind w:firstLine="643" w:firstLineChars="200"/>
        <w:rPr>
          <w:rFonts w:hint="eastAsia" w:ascii="楷体_GB2312" w:hAnsi="楷体_GB2312" w:eastAsia="楷体_GB2312" w:cs="楷体_GB2312"/>
          <w:b/>
          <w:bCs/>
          <w:sz w:val="32"/>
          <w:szCs w:val="32"/>
          <w:lang w:val="zh-CN"/>
        </w:rPr>
      </w:pPr>
      <w:r>
        <w:rPr>
          <w:rFonts w:hint="eastAsia" w:ascii="楷体_GB2312" w:hAnsi="楷体_GB2312" w:eastAsia="楷体_GB2312" w:cs="楷体_GB2312"/>
          <w:b/>
          <w:bCs/>
          <w:sz w:val="32"/>
          <w:szCs w:val="32"/>
          <w:lang w:val="zh-CN"/>
        </w:rPr>
        <w:t>（二）存在问题。</w:t>
      </w:r>
    </w:p>
    <w:p w14:paraId="4786DE9E">
      <w:pPr>
        <w:keepNext w:val="0"/>
        <w:keepLines w:val="0"/>
        <w:pageBreakBefore w:val="0"/>
        <w:kinsoku/>
        <w:wordWrap/>
        <w:topLinePunct w:val="0"/>
        <w:bidi w:val="0"/>
        <w:spacing w:line="560"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绩效目标设置有待继续优化。主要是部分业务股室在理解和设定预算绩效目标方面存在一定的不足，特别是在一级指标的框架下，难以制定切实可行的二级和三级指标，这直接影响了项目绩效执行结果的准确衡量。</w:t>
      </w:r>
    </w:p>
    <w:p w14:paraId="1DA06470">
      <w:pPr>
        <w:keepNext w:val="0"/>
        <w:keepLines w:val="0"/>
        <w:pageBreakBefore w:val="0"/>
        <w:kinsoku/>
        <w:wordWrap/>
        <w:topLinePunct w:val="0"/>
        <w:bidi w:val="0"/>
        <w:spacing w:line="560"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2.绩效评价的应用效果有待进一步提升。当前的绩效评价往往在项目完结后才进行，这导致评价结果难以对预算的实际使用产生实质性影响。</w:t>
      </w:r>
    </w:p>
    <w:p w14:paraId="75B471E7">
      <w:pPr>
        <w:keepNext w:val="0"/>
        <w:keepLines w:val="0"/>
        <w:pageBreakBefore w:val="0"/>
        <w:kinsoku/>
        <w:wordWrap/>
        <w:topLinePunct w:val="0"/>
        <w:bidi w:val="0"/>
        <w:spacing w:line="560" w:lineRule="exact"/>
        <w:ind w:firstLine="643" w:firstLineChars="200"/>
        <w:rPr>
          <w:rFonts w:hint="eastAsia" w:ascii="楷体_GB2312" w:hAnsi="楷体_GB2312" w:eastAsia="楷体_GB2312" w:cs="楷体_GB2312"/>
          <w:b/>
          <w:bCs/>
          <w:sz w:val="32"/>
          <w:szCs w:val="32"/>
          <w:lang w:val="zh-CN" w:eastAsia="zh-CN"/>
        </w:rPr>
      </w:pPr>
      <w:r>
        <w:rPr>
          <w:rFonts w:hint="eastAsia" w:ascii="楷体_GB2312" w:hAnsi="楷体_GB2312" w:eastAsia="楷体_GB2312" w:cs="楷体_GB2312"/>
          <w:b/>
          <w:bCs/>
          <w:sz w:val="32"/>
          <w:szCs w:val="32"/>
          <w:lang w:val="zh-CN" w:eastAsia="zh-CN"/>
        </w:rPr>
        <w:t>（三）改进建议。</w:t>
      </w:r>
      <w:bookmarkStart w:id="1" w:name="_GoBack"/>
      <w:bookmarkEnd w:id="1"/>
    </w:p>
    <w:p w14:paraId="5283E8EE">
      <w:pPr>
        <w:keepNext w:val="0"/>
        <w:keepLines w:val="0"/>
        <w:pageBreakBefore w:val="0"/>
        <w:kinsoku/>
        <w:wordWrap/>
        <w:topLinePunct w:val="0"/>
        <w:bidi w:val="0"/>
        <w:spacing w:line="560"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细化预算编制，优化预算项目设置。不断完善部门预算编制管理，抓住预算一体化系统平台整合的契机，充分利用云平台数据，加强项目资金执行情况分析，并作为下年预算安排的依据，进一步提高预算编制的精准度和预算标准化水平。</w:t>
      </w:r>
    </w:p>
    <w:p w14:paraId="72B5B082">
      <w:pPr>
        <w:keepNext w:val="0"/>
        <w:keepLines w:val="0"/>
        <w:pageBreakBefore w:val="0"/>
        <w:kinsoku/>
        <w:wordWrap/>
        <w:topLinePunct w:val="0"/>
        <w:bidi w:val="0"/>
        <w:spacing w:line="560"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强化预算约束，实行项目进度动态管理。通过定期对项目实施和预算执行情况进行梳理，及时掌握项目进度，督促项目实施单位早启动、早实施、早验收，对符合条件的项目按照项目进度支付相关款项，将预算资金管理贯穿于项目实施全过程。</w:t>
      </w:r>
    </w:p>
    <w:p w14:paraId="0BFC3A60">
      <w:pPr>
        <w:keepNext w:val="0"/>
        <w:keepLines w:val="0"/>
        <w:pageBreakBefore w:val="0"/>
        <w:kinsoku/>
        <w:wordWrap/>
        <w:topLinePunct w:val="0"/>
        <w:bidi w:val="0"/>
        <w:spacing w:line="560"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3.强化资金使用效益。加强工程项目管理和资金管理，专项资金要专款专用。提高财政资金使用效率，尽量减少预算执行调整、结转和结余注销的情形。 </w:t>
      </w:r>
    </w:p>
    <w:p w14:paraId="679D893C">
      <w:pPr>
        <w:keepNext w:val="0"/>
        <w:keepLines w:val="0"/>
        <w:pageBreakBefore w:val="0"/>
        <w:kinsoku/>
        <w:wordWrap/>
        <w:topLinePunct w:val="0"/>
        <w:bidi w:val="0"/>
        <w:spacing w:line="560" w:lineRule="exact"/>
        <w:ind w:firstLine="640" w:firstLineChars="200"/>
        <w:rPr>
          <w:rFonts w:hint="default" w:ascii="仿宋_GB2312" w:hAnsi="仿宋_GB2312" w:eastAsia="仿宋_GB2312" w:cs="仿宋_GB2312"/>
          <w:sz w:val="32"/>
          <w:szCs w:val="32"/>
          <w:lang w:val="en-US" w:eastAsia="zh-CN"/>
        </w:rPr>
      </w:pPr>
    </w:p>
    <w:p w14:paraId="0893E417">
      <w:pPr>
        <w:keepNext w:val="0"/>
        <w:keepLines w:val="0"/>
        <w:pageBreakBefore w:val="0"/>
        <w:kinsoku/>
        <w:wordWrap/>
        <w:topLinePunct w:val="0"/>
        <w:bidi w:val="0"/>
        <w:spacing w:line="560" w:lineRule="exact"/>
        <w:ind w:firstLine="640" w:firstLineChars="200"/>
        <w:rPr>
          <w:rFonts w:ascii="仿宋_GB2312" w:hAnsi="仿宋_GB2312" w:eastAsia="仿宋_GB2312" w:cs="仿宋_GB2312"/>
          <w:sz w:val="32"/>
          <w:szCs w:val="32"/>
        </w:rPr>
      </w:pPr>
    </w:p>
    <w:p w14:paraId="457FEC9F">
      <w:pPr>
        <w:keepNext w:val="0"/>
        <w:keepLines w:val="0"/>
        <w:pageBreakBefore w:val="0"/>
        <w:widowControl/>
        <w:kinsoku/>
        <w:wordWrap/>
        <w:topLinePunct w:val="0"/>
        <w:bidi w:val="0"/>
        <w:spacing w:line="560" w:lineRule="exact"/>
        <w:ind w:firstLine="640" w:firstLineChars="200"/>
        <w:jc w:val="left"/>
        <w:rPr>
          <w:rFonts w:ascii="仿宋_GB2312" w:hAnsi="仿宋_GB2312" w:eastAsia="仿宋_GB2312" w:cs="仿宋_GB2312"/>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80F3C52" w:usb2="00000016" w:usb3="00000000" w:csb0="0004001F" w:csb1="00000000"/>
  </w:font>
  <w:font w:name="Cambria">
    <w:altName w:val="Noto Sans Syriac Eastern"/>
    <w:panose1 w:val="02040503050406030204"/>
    <w:charset w:val="00"/>
    <w:family w:val="roman"/>
    <w:pitch w:val="default"/>
    <w:sig w:usb0="00000000" w:usb1="00000000" w:usb2="00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文泉驿微米黑">
    <w:panose1 w:val="020B0606030804020204"/>
    <w:charset w:val="86"/>
    <w:family w:val="auto"/>
    <w:pitch w:val="default"/>
    <w:sig w:usb0="E10002EF" w:usb1="6BDFFCFB" w:usb2="00800036" w:usb3="00000000" w:csb0="603E01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12D2F1">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30C9D5">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130C9D5">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75B80D2"/>
    <w:multiLevelType w:val="singleLevel"/>
    <w:tmpl w:val="775B80D2"/>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YxNzI3ODVjZmUyODRiMzE4ZDBmY2FmOTBhNmNjZTEifQ=="/>
  </w:docVars>
  <w:rsids>
    <w:rsidRoot w:val="00491B22"/>
    <w:rsid w:val="00291808"/>
    <w:rsid w:val="00491B22"/>
    <w:rsid w:val="0052390C"/>
    <w:rsid w:val="08C412EB"/>
    <w:rsid w:val="11BD3272"/>
    <w:rsid w:val="1A94063B"/>
    <w:rsid w:val="1E513970"/>
    <w:rsid w:val="1E6983C9"/>
    <w:rsid w:val="1FBD49D1"/>
    <w:rsid w:val="204038CD"/>
    <w:rsid w:val="20D33D5C"/>
    <w:rsid w:val="29AF25FF"/>
    <w:rsid w:val="2D2C76B3"/>
    <w:rsid w:val="30FE1366"/>
    <w:rsid w:val="34EB1F43"/>
    <w:rsid w:val="36435EC2"/>
    <w:rsid w:val="36CC5A63"/>
    <w:rsid w:val="3BC60731"/>
    <w:rsid w:val="3E282307"/>
    <w:rsid w:val="3E2F4A20"/>
    <w:rsid w:val="417411D1"/>
    <w:rsid w:val="42704FD7"/>
    <w:rsid w:val="435A1AE5"/>
    <w:rsid w:val="43EB7E23"/>
    <w:rsid w:val="4DD97D2F"/>
    <w:rsid w:val="502D711A"/>
    <w:rsid w:val="541D3002"/>
    <w:rsid w:val="57083E53"/>
    <w:rsid w:val="58A82BCB"/>
    <w:rsid w:val="60D032A5"/>
    <w:rsid w:val="65CD2D75"/>
    <w:rsid w:val="70512559"/>
    <w:rsid w:val="760F3FA8"/>
    <w:rsid w:val="78081358"/>
    <w:rsid w:val="79F20909"/>
    <w:rsid w:val="7D8D1E4B"/>
    <w:rsid w:val="7EA06B86"/>
    <w:rsid w:val="7FA752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qFormat="1" w:unhideWhenUsed="0" w:uiPriority="0"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3">
    <w:name w:val="heading 4"/>
    <w:basedOn w:val="1"/>
    <w:next w:val="1"/>
    <w:qFormat/>
    <w:uiPriority w:val="0"/>
    <w:pPr>
      <w:keepNext w:val="0"/>
      <w:keepLines w:val="0"/>
      <w:widowControl/>
      <w:suppressLineNumbers w:val="0"/>
      <w:spacing w:before="0" w:beforeAutospacing="1" w:after="0" w:afterAutospacing="1"/>
      <w:ind w:left="0" w:right="0"/>
      <w:jc w:val="left"/>
      <w:outlineLvl w:val="3"/>
    </w:pPr>
    <w:rPr>
      <w:rFonts w:hint="eastAsia" w:ascii="宋体" w:hAnsi="宋体" w:eastAsia="宋体" w:cs="宋体"/>
      <w:b/>
      <w:bCs/>
      <w:kern w:val="0"/>
      <w:sz w:val="24"/>
      <w:szCs w:val="24"/>
      <w:lang w:val="en-US" w:eastAsia="zh-CN" w:bidi="ar"/>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Body Text Indent"/>
    <w:basedOn w:val="1"/>
    <w:next w:val="5"/>
    <w:qFormat/>
    <w:uiPriority w:val="0"/>
    <w:pPr>
      <w:spacing w:after="120"/>
      <w:ind w:left="200" w:leftChars="200"/>
    </w:pPr>
    <w:rPr>
      <w:rFonts w:ascii="仿宋_GB2312"/>
      <w:szCs w:val="32"/>
    </w:rPr>
  </w:style>
  <w:style w:type="paragraph" w:styleId="5">
    <w:name w:val="Body Text First Indent 2"/>
    <w:basedOn w:val="4"/>
    <w:next w:val="1"/>
    <w:unhideWhenUsed/>
    <w:qFormat/>
    <w:uiPriority w:val="99"/>
    <w:pPr>
      <w:ind w:firstLine="420" w:firstLineChars="200"/>
    </w:pPr>
  </w:style>
  <w:style w:type="paragraph" w:styleId="6">
    <w:name w:val="footer"/>
    <w:basedOn w:val="1"/>
    <w:link w:val="13"/>
    <w:semiHidden/>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7">
    <w:name w:val="header"/>
    <w:basedOn w:val="1"/>
    <w:link w:val="12"/>
    <w:semiHidden/>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8">
    <w:name w:val="table of figures"/>
    <w:basedOn w:val="1"/>
    <w:next w:val="1"/>
    <w:qFormat/>
    <w:uiPriority w:val="0"/>
    <w:pPr>
      <w:ind w:left="400" w:leftChars="200" w:hanging="200" w:hangingChars="200"/>
    </w:pPr>
  </w:style>
  <w:style w:type="paragraph" w:styleId="9">
    <w:name w:val="Normal (Web)"/>
    <w:basedOn w:val="1"/>
    <w:qFormat/>
    <w:uiPriority w:val="0"/>
    <w:pPr>
      <w:spacing w:before="100" w:beforeAutospacing="1" w:after="100" w:afterAutospacing="1"/>
      <w:ind w:left="0" w:right="0"/>
      <w:jc w:val="left"/>
    </w:pPr>
    <w:rPr>
      <w:kern w:val="0"/>
      <w:sz w:val="24"/>
      <w:lang w:val="en-US" w:eastAsia="zh-CN" w:bidi="ar"/>
    </w:rPr>
  </w:style>
  <w:style w:type="character" w:customStyle="1" w:styleId="12">
    <w:name w:val="页眉 Char"/>
    <w:basedOn w:val="11"/>
    <w:link w:val="7"/>
    <w:semiHidden/>
    <w:qFormat/>
    <w:uiPriority w:val="99"/>
    <w:rPr>
      <w:sz w:val="18"/>
      <w:szCs w:val="18"/>
    </w:rPr>
  </w:style>
  <w:style w:type="character" w:customStyle="1" w:styleId="13">
    <w:name w:val="页脚 Char"/>
    <w:basedOn w:val="11"/>
    <w:link w:val="6"/>
    <w:semiHidden/>
    <w:qFormat/>
    <w:uiPriority w:val="99"/>
    <w:rPr>
      <w:sz w:val="18"/>
      <w:szCs w:val="18"/>
    </w:rPr>
  </w:style>
  <w:style w:type="paragraph" w:customStyle="1" w:styleId="14">
    <w:name w:val="普通(网站) Char"/>
    <w:basedOn w:val="1"/>
    <w:next w:val="8"/>
    <w:qFormat/>
    <w:uiPriority w:val="0"/>
    <w:pPr>
      <w:keepNext w:val="0"/>
      <w:keepLines w:val="0"/>
      <w:widowControl/>
      <w:suppressLineNumbers w:val="0"/>
      <w:spacing w:before="0" w:beforeAutospacing="1" w:after="0" w:afterAutospacing="1"/>
      <w:ind w:left="0" w:right="0"/>
      <w:jc w:val="left"/>
    </w:pPr>
    <w:rPr>
      <w:rFonts w:hint="eastAsia" w:ascii="宋体" w:hAnsi="宋体" w:eastAsia="宋体" w:cs="宋体"/>
      <w:kern w:val="0"/>
      <w:sz w:val="24"/>
      <w:szCs w:val="24"/>
      <w:lang w:val="en-US" w:eastAsia="zh-CN" w:bidi="ar"/>
    </w:rPr>
  </w:style>
  <w:style w:type="paragraph" w:customStyle="1" w:styleId="15">
    <w:name w:val="正文 A"/>
    <w:basedOn w:val="1"/>
    <w:next w:val="8"/>
    <w:qFormat/>
    <w:uiPriority w:val="0"/>
    <w:pPr>
      <w:keepNext w:val="0"/>
      <w:keepLines w:val="0"/>
      <w:widowControl w:val="0"/>
      <w:suppressLineNumbers w:val="0"/>
      <w:spacing w:before="0" w:beforeAutospacing="0" w:after="0" w:afterAutospacing="0"/>
      <w:ind w:left="0" w:right="0"/>
      <w:jc w:val="both"/>
    </w:pPr>
    <w:rPr>
      <w:rFonts w:hint="default" w:ascii="Calibri" w:hAnsi="Calibri" w:eastAsia="宋体" w:cs="Times New Roman"/>
      <w:color w:val="000000"/>
      <w:kern w:val="2"/>
      <w:sz w:val="21"/>
      <w:szCs w:val="21"/>
      <w:lang w:val="en-US" w:eastAsia="zh-CN" w:bidi="ar"/>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xmlns="http://schemas.wps.cn/vas-ai-hub/contract-review">
    <reviewItem xmlns="http://schemas.wps.cn/vas-ai-hub/contract-review">
      <errorID xmlns="http://schemas.wps.cn/vas-ai-hub/contract-review">09200eff-3945-46e0-ba9f-d8659c9eb88d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6F7DCBC5</paraID>
      <start xmlns="http://schemas.wps.cn/vas-ai-hub/contract-review">28</start>
      <end xmlns="http://schemas.wps.cn/vas-ai-hub/contract-review">28</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852ffe5f-c6a5-46db-9e9a-310553f94e47</errorID>
      <errorWord xmlns="http://schemas.wps.cn/vas-ai-hub/contract-review">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步将</item>
      </candidateList>
      <explain xmlns="http://schemas.wps.cn/vas-ai-hub/contract-review"/>
      <paraID xmlns="http://schemas.wps.cn/vas-ai-hub/contract-review">7FA711E7</paraID>
      <start xmlns="http://schemas.wps.cn/vas-ai-hub/contract-review">97</start>
      <end xmlns="http://schemas.wps.cn/vas-ai-hub/contract-review">98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061cabb8-86b0-4a9b-ae05-79a781d7d5d2</errorID>
      <errorWord xmlns="http://schemas.wps.cn/vas-ai-hub/contract-review">正</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正在</item>
      </candidateList>
      <explain xmlns="http://schemas.wps.cn/vas-ai-hub/contract-review"/>
      <paraID xmlns="http://schemas.wps.cn/vas-ai-hub/contract-review">7FA711E7</paraID>
      <start xmlns="http://schemas.wps.cn/vas-ai-hub/contract-review">937</start>
      <end xmlns="http://schemas.wps.cn/vas-ai-hub/contract-review">938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377d3dee-16c4-4e0c-8be5-85671a6cda4c</errorID>
      <errorWord xmlns="http://schemas.wps.cn/vas-ai-hub/contract-review">点位波形</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电位波形</item>
      </candidateList>
      <explain xmlns="http://schemas.wps.cn/vas-ai-hub/contract-review"/>
      <paraID xmlns="http://schemas.wps.cn/vas-ai-hub/contract-review">7FA711E7</paraID>
      <start xmlns="http://schemas.wps.cn/vas-ai-hub/contract-review">1000</start>
      <end xmlns="http://schemas.wps.cn/vas-ai-hub/contract-review">1004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2485e0a6-e696-43bb-bc37-a3269a22a8f9</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7FA711E7</paraID>
      <start xmlns="http://schemas.wps.cn/vas-ai-hub/contract-review">1171</start>
      <end xmlns="http://schemas.wps.cn/vas-ai-hub/contract-review">1172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07b625c2-ef89-40ac-8d42-5715e8192afe</errorID>
      <errorWord xmlns="http://schemas.wps.cn/vas-ai-hub/contract-review">监督监管</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监督</item>
      </candidateList>
      <explain xmlns="http://schemas.wps.cn/vas-ai-hub/contract-review"/>
      <paraID xmlns="http://schemas.wps.cn/vas-ai-hub/contract-review">33EC2E89</paraID>
      <start xmlns="http://schemas.wps.cn/vas-ai-hub/contract-review">48</start>
      <end xmlns="http://schemas.wps.cn/vas-ai-hub/contract-review">52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af45247a-159c-47cd-8899-a14342ca8f4e</errorID>
      <errorWord xmlns="http://schemas.wps.cn/vas-ai-hub/contract-review">制定出切实可行</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制定切实可行</item>
      </candidateList>
      <explain xmlns="http://schemas.wps.cn/vas-ai-hub/contract-review"/>
      <paraID xmlns="http://schemas.wps.cn/vas-ai-hub/contract-review">4786DE9E</paraID>
      <start xmlns="http://schemas.wps.cn/vas-ai-hub/contract-review">61</start>
      <end xmlns="http://schemas.wps.cn/vas-ai-hub/contract-review">67</end>
      <status xmlns="http://schemas.wps.cn/vas-ai-hub/contract-review">modified</status>
      <modifiedWord xmlns="http://schemas.wps.cn/vas-ai-hub/contract-review">制定切实可行</modifiedWord>
      <trackRevisions xmlns="http://schemas.wps.cn/vas-ai-hub/contract-review">false</trackRevisions>
    </reviewItem>
    <reviewItem xmlns="http://schemas.wps.cn/vas-ai-hub/contract-review">
      <errorID xmlns="http://schemas.wps.cn/vas-ai-hub/contract-review">0421da3a-56a5-45e6-981c-494493ec35ba</errorID>
      <errorWord xmlns="http://schemas.wps.cn/vas-ai-hub/contract-review">实施全过程中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实施全过程</item>
      </candidateList>
      <explain xmlns="http://schemas.wps.cn/vas-ai-hub/contract-review"/>
      <paraID xmlns="http://schemas.wps.cn/vas-ai-hub/contract-review">72B5B082</paraID>
      <start xmlns="http://schemas.wps.cn/vas-ai-hub/contract-review">103</start>
      <end xmlns="http://schemas.wps.cn/vas-ai-hub/contract-review">108</end>
      <status xmlns="http://schemas.wps.cn/vas-ai-hub/contract-review">modified</status>
      <modifiedWord xmlns="http://schemas.wps.cn/vas-ai-hub/contract-review">实施全过程</modifiedWord>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cad1d77-9db9-4a17-a9f6-49929a6efdae}">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10</Pages>
  <Words>4808</Words>
  <Characters>5189</Characters>
  <Lines>2</Lines>
  <Paragraphs>1</Paragraphs>
  <TotalTime>6</TotalTime>
  <ScaleCrop>false</ScaleCrop>
  <LinksUpToDate>false</LinksUpToDate>
  <CharactersWithSpaces>5201</CharactersWithSpaces>
  <Application>WPS Office_12.8.2.1115_F1E327BC-269C-435d-A152-05C5408002CA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2019-08-19T09:06:00Z</dcterms:created>
  <dc:creator>Sky123.Org</dc:creator>
  <cp:lastModifiedBy>JTJ01</cp:lastModifiedBy>
  <dcterms:modified xsi:type="dcterms:W3CDTF">2026-09-03T09:00:09Z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2052-12.8.2.1115</vt:lpwstr>
  </property>
  <property fmtid="{D5CDD505-2E9C-101B-9397-08002B2CF9AE}" pid="3" name="ICV">
    <vt:lpwstr>3115989309D741DA945EE44A488D69E1</vt:lpwstr>
  </property>
  <property fmtid="{D5CDD505-2E9C-101B-9397-08002B2CF9AE}" pid="4" name="KSOTemplateDocerSaveRecord">
    <vt:lpwstr>eyJoZGlkIjoiNGVhYjJkMDBlNTdhNGJiNmQ0MWVkNTdlNGJhODI3NDUiLCJ1c2VySWQiOiI4MjY4MjM3ODIifQ==</vt:lpwstr>
  </property>
</Properties>
</file>