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1C6E30B">
      <w:pPr>
        <w:widowControl/>
        <w:spacing w:line="480" w:lineRule="atLeast"/>
        <w:ind w:firstLine="697" w:firstLineChars="218"/>
        <w:jc w:val="center"/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val="en-US" w:eastAsia="zh-CN"/>
        </w:rPr>
      </w:pP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eastAsia="zh-CN"/>
        </w:rPr>
        <w:t>黑水县妇幼保健院</w:t>
      </w:r>
    </w:p>
    <w:p w14:paraId="0D77D762">
      <w:pPr>
        <w:widowControl/>
        <w:spacing w:line="480" w:lineRule="atLeast"/>
        <w:ind w:firstLine="697" w:firstLineChars="218"/>
        <w:jc w:val="center"/>
        <w:rPr>
          <w:rFonts w:hint="eastAsia" w:ascii="仿宋_GB2312" w:hAnsi="宋体" w:eastAsia="仿宋_GB2312" w:cs="宋体"/>
          <w:color w:val="333333"/>
          <w:kern w:val="0"/>
          <w:sz w:val="32"/>
          <w:szCs w:val="32"/>
        </w:rPr>
      </w:pP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</w:rPr>
        <w:t>关于“三公”经费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eastAsia="zh-CN"/>
        </w:rPr>
        <w:t>202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val="en-US" w:eastAsia="zh-CN"/>
        </w:rPr>
        <w:t>5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</w:rPr>
        <w:t>年决算情况说明</w:t>
      </w:r>
    </w:p>
    <w:p w14:paraId="542C0ED3">
      <w:pPr>
        <w:widowControl/>
        <w:spacing w:line="480" w:lineRule="atLeast"/>
        <w:ind w:firstLine="60"/>
        <w:jc w:val="center"/>
        <w:rPr>
          <w:rFonts w:ascii="仿宋_GB2312" w:hAnsi="宋体" w:eastAsia="仿宋_GB2312" w:cs="宋体"/>
          <w:color w:val="333333"/>
          <w:kern w:val="0"/>
          <w:sz w:val="32"/>
          <w:szCs w:val="32"/>
        </w:rPr>
      </w:pPr>
    </w:p>
    <w:p w14:paraId="4EF75C32">
      <w:pPr>
        <w:widowControl/>
        <w:spacing w:line="480" w:lineRule="atLeast"/>
        <w:ind w:firstLine="697" w:firstLineChars="218"/>
        <w:rPr>
          <w:rFonts w:ascii="仿宋_GB2312" w:hAnsi="宋体" w:eastAsia="仿宋_GB2312" w:cs="宋体"/>
          <w:color w:val="333333"/>
          <w:kern w:val="0"/>
          <w:sz w:val="32"/>
          <w:szCs w:val="32"/>
        </w:rPr>
      </w:pP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</w:rPr>
        <w:t>我单位 “三公”经费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eastAsia="zh-CN"/>
        </w:rPr>
        <w:t>202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val="en-US" w:eastAsia="zh-CN"/>
        </w:rPr>
        <w:t>5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</w:rPr>
        <w:t>年决算情况如下：</w:t>
      </w:r>
    </w:p>
    <w:p w14:paraId="2F74D73C">
      <w:pPr>
        <w:widowControl/>
        <w:spacing w:line="480" w:lineRule="atLeast"/>
        <w:ind w:firstLine="60"/>
        <w:rPr>
          <w:rFonts w:ascii="黑体" w:hAnsi="宋体" w:eastAsia="黑体" w:cs="宋体"/>
          <w:color w:val="333333"/>
          <w:kern w:val="0"/>
          <w:sz w:val="32"/>
          <w:szCs w:val="32"/>
        </w:rPr>
      </w:pP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</w:rPr>
        <w:t>　　　</w:t>
      </w:r>
      <w:r>
        <w:rPr>
          <w:rFonts w:hint="eastAsia" w:ascii="黑体" w:hAnsi="宋体" w:eastAsia="黑体" w:cs="宋体"/>
          <w:color w:val="333333"/>
          <w:kern w:val="0"/>
          <w:sz w:val="32"/>
          <w:szCs w:val="32"/>
        </w:rPr>
        <w:t>一、因公出国（境）经费</w:t>
      </w:r>
    </w:p>
    <w:p w14:paraId="085FE39D">
      <w:pPr>
        <w:widowControl/>
        <w:spacing w:line="480" w:lineRule="atLeast"/>
        <w:rPr>
          <w:rFonts w:ascii="仿宋_GB2312" w:hAnsi="宋体" w:eastAsia="仿宋_GB2312" w:cs="宋体"/>
          <w:color w:val="333333"/>
          <w:kern w:val="0"/>
          <w:sz w:val="32"/>
          <w:szCs w:val="32"/>
        </w:rPr>
      </w:pP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</w:rPr>
        <w:t>　　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eastAsia="zh-CN"/>
        </w:rPr>
        <w:t>202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val="en-US" w:eastAsia="zh-CN"/>
        </w:rPr>
        <w:t>5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</w:rPr>
        <w:t xml:space="preserve">年决算支出 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val="en-US" w:eastAsia="zh-CN"/>
        </w:rPr>
        <w:t>0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</w:rPr>
        <w:t>万元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val="en-US" w:eastAsia="zh-CN"/>
        </w:rPr>
        <w:t>,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eastAsia="zh-CN"/>
        </w:rPr>
        <w:t>完成预算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val="en-US" w:eastAsia="zh-CN"/>
        </w:rPr>
        <w:t>0%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</w:rPr>
        <w:t>,较上年度决算持平。</w:t>
      </w:r>
    </w:p>
    <w:p w14:paraId="318F66D4">
      <w:pPr>
        <w:widowControl/>
        <w:spacing w:line="480" w:lineRule="atLeast"/>
        <w:ind w:firstLine="60"/>
        <w:rPr>
          <w:rFonts w:ascii="黑体" w:hAnsi="宋体" w:eastAsia="黑体" w:cs="宋体"/>
          <w:color w:val="333333"/>
          <w:kern w:val="0"/>
          <w:sz w:val="32"/>
          <w:szCs w:val="32"/>
        </w:rPr>
      </w:pP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</w:rPr>
        <w:t>　　</w:t>
      </w:r>
      <w:r>
        <w:rPr>
          <w:rFonts w:hint="eastAsia" w:ascii="黑体" w:hAnsi="宋体" w:eastAsia="黑体" w:cs="宋体"/>
          <w:color w:val="333333"/>
          <w:kern w:val="0"/>
          <w:sz w:val="32"/>
          <w:szCs w:val="32"/>
        </w:rPr>
        <w:t>二、公务接待费</w:t>
      </w:r>
    </w:p>
    <w:p w14:paraId="0D2D08E6">
      <w:pPr>
        <w:widowControl/>
        <w:spacing w:line="480" w:lineRule="atLeast"/>
        <w:rPr>
          <w:rFonts w:ascii="仿宋_GB2312" w:hAnsi="宋体" w:eastAsia="仿宋_GB2312" w:cs="宋体"/>
          <w:color w:val="333333"/>
          <w:kern w:val="0"/>
          <w:sz w:val="32"/>
          <w:szCs w:val="32"/>
        </w:rPr>
      </w:pP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</w:rPr>
        <w:t>　　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eastAsia="zh-CN"/>
        </w:rPr>
        <w:t>202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val="en-US" w:eastAsia="zh-CN"/>
        </w:rPr>
        <w:t>5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</w:rPr>
        <w:t>年决算支出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val="en-US" w:eastAsia="zh-CN"/>
        </w:rPr>
        <w:t>0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</w:rPr>
        <w:t>万元，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eastAsia="zh-CN"/>
        </w:rPr>
        <w:t>完成预算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val="en-US" w:eastAsia="zh-CN"/>
        </w:rPr>
        <w:t>0%,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</w:rPr>
        <w:t>较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eastAsia="zh-CN"/>
        </w:rPr>
        <w:t>202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val="en-US" w:eastAsia="zh-CN"/>
        </w:rPr>
        <w:t>4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</w:rPr>
        <w:t>年决算减少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val="en-US" w:eastAsia="zh-CN"/>
        </w:rPr>
        <w:t>0万元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</w:rPr>
        <w:t>，较20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val="en-US" w:eastAsia="zh-CN"/>
        </w:rPr>
        <w:t>24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</w:rPr>
        <w:t>年决算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eastAsia="zh-CN"/>
        </w:rPr>
        <w:t>下降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val="en-US" w:eastAsia="zh-CN"/>
        </w:rPr>
        <w:t>0万元。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</w:rPr>
        <w:t>其中：国内公务接待费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val="en-US" w:eastAsia="zh-CN"/>
        </w:rPr>
        <w:t>0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</w:rPr>
        <w:t>万元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eastAsia="zh-CN"/>
        </w:rPr>
        <w:t>，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</w:rPr>
        <w:t>国（境）外公务接待费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val="en-US" w:eastAsia="zh-CN"/>
        </w:rPr>
        <w:t>0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eastAsia="zh-CN"/>
        </w:rPr>
        <w:t>万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</w:rPr>
        <w:t>元。</w:t>
      </w:r>
    </w:p>
    <w:p w14:paraId="51748ACD">
      <w:pPr>
        <w:widowControl/>
        <w:spacing w:line="480" w:lineRule="atLeast"/>
        <w:ind w:firstLine="60"/>
        <w:rPr>
          <w:rFonts w:hint="eastAsia" w:ascii="黑体" w:hAnsi="宋体" w:eastAsia="黑体" w:cs="宋体"/>
          <w:color w:val="333333"/>
          <w:kern w:val="0"/>
          <w:sz w:val="32"/>
          <w:szCs w:val="32"/>
          <w:lang w:eastAsia="zh-CN"/>
        </w:rPr>
      </w:pP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</w:rPr>
        <w:t>　　</w:t>
      </w:r>
      <w:r>
        <w:rPr>
          <w:rFonts w:hint="eastAsia" w:ascii="黑体" w:hAnsi="宋体" w:eastAsia="黑体" w:cs="宋体"/>
          <w:color w:val="333333"/>
          <w:kern w:val="0"/>
          <w:sz w:val="32"/>
          <w:szCs w:val="32"/>
        </w:rPr>
        <w:t>三、公务用车购置及运行维护费</w:t>
      </w:r>
    </w:p>
    <w:p w14:paraId="3A6D680F">
      <w:pPr>
        <w:widowControl/>
        <w:spacing w:line="480" w:lineRule="atLeast"/>
        <w:ind w:firstLine="640" w:firstLineChars="200"/>
        <w:rPr>
          <w:rStyle w:val="9"/>
          <w:rFonts w:ascii="仿宋_GB2312" w:eastAsia="仿宋_GB2312"/>
          <w:sz w:val="32"/>
          <w:szCs w:val="32"/>
        </w:rPr>
      </w:pP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eastAsia="zh-CN"/>
        </w:rPr>
        <w:t>我单位无在编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val="en-US" w:eastAsia="zh-CN"/>
        </w:rPr>
        <w:t>内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eastAsia="zh-CN"/>
        </w:rPr>
        <w:t>公务用车，故公务用车购置及运行维护费为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val="en-US" w:eastAsia="zh-CN"/>
        </w:rPr>
        <w:t>0万元,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eastAsia="zh-CN"/>
        </w:rPr>
        <w:t>完成预算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val="en-US" w:eastAsia="zh-CN"/>
        </w:rPr>
        <w:t>0%。</w:t>
      </w:r>
    </w:p>
    <w:p w14:paraId="04E0A08B">
      <w:pPr>
        <w:widowControl/>
        <w:spacing w:line="480" w:lineRule="atLeast"/>
        <w:ind w:firstLine="640" w:firstLineChars="200"/>
        <w:rPr>
          <w:rFonts w:ascii="仿宋_GB2312" w:hAnsi="宋体" w:eastAsia="仿宋_GB2312" w:cs="宋体"/>
          <w:color w:val="333333"/>
          <w:kern w:val="0"/>
          <w:sz w:val="32"/>
          <w:szCs w:val="32"/>
        </w:rPr>
      </w:pP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eastAsia="zh-CN"/>
        </w:rPr>
        <w:t>我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</w:rPr>
        <w:t>单位共有公务用车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val="en-US" w:eastAsia="zh-CN"/>
        </w:rPr>
        <w:t>0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</w:rPr>
        <w:t>辆，其中：越野车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val="en-US" w:eastAsia="zh-CN"/>
        </w:rPr>
        <w:t>0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</w:rPr>
        <w:t>辆，轿车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val="en-US" w:eastAsia="zh-CN"/>
        </w:rPr>
        <w:t>0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</w:rPr>
        <w:t>辆。</w:t>
      </w:r>
    </w:p>
    <w:p w14:paraId="4A5E12EF">
      <w:pPr>
        <w:widowControl/>
        <w:spacing w:line="480" w:lineRule="atLeast"/>
        <w:ind w:firstLine="640" w:firstLineChars="200"/>
        <w:rPr>
          <w:rFonts w:ascii="仿宋_GB2312" w:hAnsi="宋体" w:eastAsia="仿宋_GB2312" w:cs="宋体"/>
          <w:color w:val="333333"/>
          <w:kern w:val="0"/>
          <w:sz w:val="32"/>
          <w:szCs w:val="32"/>
        </w:rPr>
      </w:pP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eastAsia="zh-CN"/>
        </w:rPr>
        <w:t>202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val="en-US" w:eastAsia="zh-CN"/>
        </w:rPr>
        <w:t>5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</w:rPr>
        <w:t>年安排公务用车运行维护费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val="en-US" w:eastAsia="zh-CN"/>
        </w:rPr>
        <w:t>0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</w:rPr>
        <w:t>万元。主要用于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val="en-US" w:eastAsia="zh-CN"/>
        </w:rPr>
        <w:t>0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</w:rPr>
        <w:t>。</w:t>
      </w:r>
    </w:p>
    <w:p w14:paraId="73BB61A8">
      <w:pPr>
        <w:widowControl/>
        <w:spacing w:line="480" w:lineRule="atLeast"/>
        <w:ind w:firstLine="640" w:firstLineChars="200"/>
        <w:rPr>
          <w:rFonts w:ascii="仿宋_GB2312" w:hAnsi="宋体" w:eastAsia="仿宋_GB2312" w:cs="宋体"/>
          <w:color w:val="333333"/>
          <w:kern w:val="0"/>
          <w:sz w:val="32"/>
          <w:szCs w:val="32"/>
        </w:rPr>
      </w:pP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eastAsia="zh-CN"/>
        </w:rPr>
        <w:t>202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val="en-US" w:eastAsia="zh-CN"/>
        </w:rPr>
        <w:t>5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</w:rPr>
        <w:t>年安排公务用车购置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val="en-US" w:eastAsia="zh-CN"/>
        </w:rPr>
        <w:t>0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</w:rPr>
        <w:t>辆，购置费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val="en-US" w:eastAsia="zh-CN"/>
        </w:rPr>
        <w:t>0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</w:rPr>
        <w:t>万元。</w:t>
      </w:r>
    </w:p>
    <w:p w14:paraId="36A62446">
      <w:pPr>
        <w:widowControl/>
        <w:spacing w:line="240" w:lineRule="atLeast"/>
        <w:rPr>
          <w:rFonts w:ascii="仿宋_GB2312" w:hAnsi="宋体" w:eastAsia="仿宋_GB2312" w:cs="宋体"/>
          <w:color w:val="333333"/>
          <w:kern w:val="0"/>
          <w:sz w:val="32"/>
          <w:szCs w:val="32"/>
        </w:rPr>
      </w:pPr>
    </w:p>
    <w:p w14:paraId="0B0CEBD9">
      <w:pPr>
        <w:widowControl/>
        <w:spacing w:line="240" w:lineRule="atLeast"/>
        <w:ind w:firstLine="60"/>
        <w:jc w:val="center"/>
        <w:rPr>
          <w:rFonts w:ascii="仿宋_GB2312" w:hAnsi="宋体" w:eastAsia="仿宋_GB2312" w:cs="宋体"/>
          <w:color w:val="333333"/>
          <w:kern w:val="0"/>
          <w:sz w:val="32"/>
          <w:szCs w:val="32"/>
        </w:rPr>
      </w:pPr>
    </w:p>
    <w:p w14:paraId="768D8B96">
      <w:pPr>
        <w:widowControl/>
        <w:spacing w:line="240" w:lineRule="atLeast"/>
        <w:ind w:firstLine="60"/>
        <w:jc w:val="center"/>
        <w:rPr>
          <w:rFonts w:ascii="仿宋_GB2312" w:hAnsi="宋体" w:eastAsia="仿宋_GB2312" w:cs="宋体"/>
          <w:color w:val="333333"/>
          <w:kern w:val="0"/>
          <w:sz w:val="32"/>
          <w:szCs w:val="32"/>
        </w:rPr>
      </w:pPr>
    </w:p>
    <w:p w14:paraId="5A45FB40">
      <w:pPr>
        <w:widowControl/>
        <w:spacing w:line="240" w:lineRule="atLeast"/>
        <w:ind w:firstLine="60"/>
        <w:jc w:val="center"/>
        <w:rPr>
          <w:rFonts w:ascii="仿宋_GB2312" w:hAnsi="宋体" w:eastAsia="仿宋_GB2312" w:cs="宋体"/>
          <w:color w:val="333333"/>
          <w:kern w:val="0"/>
          <w:sz w:val="32"/>
          <w:szCs w:val="32"/>
        </w:rPr>
      </w:pPr>
    </w:p>
    <w:p w14:paraId="4DB87353">
      <w:pPr>
        <w:widowControl/>
        <w:spacing w:line="240" w:lineRule="atLeast"/>
        <w:ind w:firstLine="60"/>
        <w:jc w:val="center"/>
        <w:rPr>
          <w:rFonts w:ascii="仿宋_GB2312" w:hAnsi="宋体" w:eastAsia="仿宋_GB2312" w:cs="宋体"/>
          <w:color w:val="333333"/>
          <w:kern w:val="0"/>
          <w:sz w:val="32"/>
          <w:szCs w:val="32"/>
        </w:rPr>
      </w:pP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eastAsia="zh-CN"/>
        </w:rPr>
        <w:t>黑水县妇幼保健院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</w:rPr>
        <w:t>财政拨款“三公”经费</w:t>
      </w:r>
    </w:p>
    <w:p w14:paraId="75FDE5B1">
      <w:pPr>
        <w:widowControl/>
        <w:spacing w:line="240" w:lineRule="atLeast"/>
        <w:ind w:firstLine="60"/>
        <w:jc w:val="center"/>
        <w:rPr>
          <w:rFonts w:ascii="仿宋_GB2312" w:hAnsi="宋体" w:eastAsia="仿宋_GB2312" w:cs="宋体"/>
          <w:color w:val="333333"/>
          <w:kern w:val="0"/>
          <w:sz w:val="32"/>
          <w:szCs w:val="32"/>
        </w:rPr>
      </w:pP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eastAsia="zh-CN"/>
        </w:rPr>
        <w:t>202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val="en-US" w:eastAsia="zh-CN"/>
        </w:rPr>
        <w:t>5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</w:rPr>
        <w:t>年决算情况表</w:t>
      </w:r>
    </w:p>
    <w:p w14:paraId="49EDF66E">
      <w:pPr>
        <w:widowControl/>
        <w:spacing w:line="240" w:lineRule="atLeast"/>
        <w:ind w:firstLine="60"/>
        <w:jc w:val="center"/>
        <w:rPr>
          <w:rFonts w:ascii="仿宋_GB2312" w:hAnsi="宋体" w:eastAsia="仿宋_GB2312" w:cs="宋体"/>
          <w:color w:val="333333"/>
          <w:kern w:val="0"/>
          <w:sz w:val="28"/>
          <w:szCs w:val="28"/>
        </w:rPr>
      </w:pPr>
      <w:r>
        <w:rPr>
          <w:rFonts w:hint="eastAsia" w:ascii="仿宋_GB2312" w:hAnsi="宋体" w:eastAsia="仿宋_GB2312" w:cs="宋体"/>
          <w:color w:val="333333"/>
          <w:kern w:val="0"/>
          <w:sz w:val="28"/>
          <w:szCs w:val="28"/>
        </w:rPr>
        <w:t xml:space="preserve">                                         单位：万元</w:t>
      </w:r>
    </w:p>
    <w:tbl>
      <w:tblPr>
        <w:tblStyle w:val="5"/>
        <w:tblW w:w="8424" w:type="dxa"/>
        <w:tblCellSpacing w:w="7" w:type="dxa"/>
        <w:tblInd w:w="0" w:type="dxa"/>
        <w:tblBorders>
          <w:top w:val="outset" w:color="auto" w:sz="6" w:space="0"/>
          <w:left w:val="outset" w:color="auto" w:sz="6" w:space="0"/>
          <w:bottom w:val="outset" w:color="auto" w:sz="6" w:space="0"/>
          <w:right w:val="outset" w:color="auto" w:sz="6" w:space="0"/>
          <w:insideH w:val="none" w:color="auto" w:sz="0" w:space="0"/>
          <w:insideV w:val="none" w:color="auto" w:sz="0" w:space="0"/>
        </w:tblBorders>
        <w:tblLayout w:type="fixed"/>
        <w:tblCellMar>
          <w:top w:w="30" w:type="dxa"/>
          <w:left w:w="30" w:type="dxa"/>
          <w:bottom w:w="30" w:type="dxa"/>
          <w:right w:w="30" w:type="dxa"/>
        </w:tblCellMar>
      </w:tblPr>
      <w:tblGrid>
        <w:gridCol w:w="4582"/>
        <w:gridCol w:w="3842"/>
      </w:tblGrid>
      <w:tr w14:paraId="746BB8E4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30" w:type="dxa"/>
            <w:left w:w="30" w:type="dxa"/>
            <w:bottom w:w="30" w:type="dxa"/>
            <w:right w:w="30" w:type="dxa"/>
          </w:tblCellMar>
        </w:tblPrEx>
        <w:trPr>
          <w:trHeight w:val="697" w:hRule="exact"/>
          <w:tblCellSpacing w:w="7" w:type="dxa"/>
        </w:trPr>
        <w:tc>
          <w:tcPr>
            <w:tcW w:w="4561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7386B1FD">
            <w:pPr>
              <w:widowControl/>
              <w:spacing w:line="240" w:lineRule="atLeast"/>
              <w:jc w:val="left"/>
              <w:rPr>
                <w:rFonts w:ascii="仿宋_GB2312" w:hAnsi="宋体" w:eastAsia="仿宋_GB2312" w:cs="宋体"/>
                <w:kern w:val="0"/>
                <w:sz w:val="28"/>
                <w:szCs w:val="28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8"/>
                <w:szCs w:val="28"/>
              </w:rPr>
              <w:t>　　　　　项       目</w:t>
            </w:r>
          </w:p>
        </w:tc>
        <w:tc>
          <w:tcPr>
            <w:tcW w:w="3821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6DF7595C">
            <w:pPr>
              <w:widowControl/>
              <w:spacing w:line="240" w:lineRule="atLeast"/>
              <w:jc w:val="center"/>
              <w:rPr>
                <w:rFonts w:ascii="仿宋_GB2312" w:hAnsi="宋体" w:eastAsia="仿宋_GB2312" w:cs="宋体"/>
                <w:kern w:val="0"/>
                <w:sz w:val="28"/>
                <w:szCs w:val="28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8"/>
                <w:szCs w:val="28"/>
                <w:lang w:eastAsia="zh-CN"/>
              </w:rPr>
              <w:t>202</w:t>
            </w:r>
            <w:r>
              <w:rPr>
                <w:rFonts w:hint="eastAsia" w:ascii="仿宋_GB2312" w:hAnsi="宋体" w:eastAsia="仿宋_GB2312" w:cs="宋体"/>
                <w:kern w:val="0"/>
                <w:sz w:val="28"/>
                <w:szCs w:val="28"/>
                <w:lang w:val="en-US" w:eastAsia="zh-CN"/>
              </w:rPr>
              <w:t>5</w:t>
            </w:r>
            <w:bookmarkStart w:id="0" w:name="_GoBack"/>
            <w:bookmarkEnd w:id="0"/>
            <w:r>
              <w:rPr>
                <w:rFonts w:hint="eastAsia" w:ascii="仿宋_GB2312" w:hAnsi="宋体" w:eastAsia="仿宋_GB2312" w:cs="宋体"/>
                <w:kern w:val="0"/>
                <w:sz w:val="28"/>
                <w:szCs w:val="28"/>
              </w:rPr>
              <w:t>年决算（万元）</w:t>
            </w:r>
          </w:p>
        </w:tc>
      </w:tr>
      <w:tr w14:paraId="16CFD6A4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30" w:type="dxa"/>
            <w:left w:w="30" w:type="dxa"/>
            <w:bottom w:w="30" w:type="dxa"/>
            <w:right w:w="30" w:type="dxa"/>
          </w:tblCellMar>
        </w:tblPrEx>
        <w:trPr>
          <w:tblCellSpacing w:w="7" w:type="dxa"/>
        </w:trPr>
        <w:tc>
          <w:tcPr>
            <w:tcW w:w="4561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124BC0B0">
            <w:pPr>
              <w:widowControl/>
              <w:spacing w:line="240" w:lineRule="atLeast"/>
              <w:jc w:val="left"/>
              <w:rPr>
                <w:rFonts w:ascii="仿宋_GB2312" w:hAnsi="宋体" w:eastAsia="仿宋_GB2312" w:cs="宋体"/>
                <w:kern w:val="0"/>
                <w:sz w:val="28"/>
                <w:szCs w:val="28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8"/>
                <w:szCs w:val="28"/>
              </w:rPr>
              <w:t>因公出国（境）经费</w:t>
            </w:r>
          </w:p>
        </w:tc>
        <w:tc>
          <w:tcPr>
            <w:tcW w:w="3821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2DF32971">
            <w:pPr>
              <w:widowControl/>
              <w:spacing w:line="240" w:lineRule="atLeast"/>
              <w:jc w:val="center"/>
              <w:rPr>
                <w:rFonts w:hint="eastAsia" w:ascii="仿宋_GB2312" w:hAnsi="宋体" w:eastAsia="仿宋_GB2312" w:cs="宋体"/>
                <w:kern w:val="0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8"/>
                <w:szCs w:val="28"/>
                <w:lang w:val="en-US" w:eastAsia="zh-CN"/>
              </w:rPr>
              <w:t>0</w:t>
            </w:r>
          </w:p>
        </w:tc>
      </w:tr>
      <w:tr w14:paraId="44A6042C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30" w:type="dxa"/>
            <w:left w:w="30" w:type="dxa"/>
            <w:bottom w:w="30" w:type="dxa"/>
            <w:right w:w="30" w:type="dxa"/>
          </w:tblCellMar>
        </w:tblPrEx>
        <w:trPr>
          <w:tblCellSpacing w:w="7" w:type="dxa"/>
        </w:trPr>
        <w:tc>
          <w:tcPr>
            <w:tcW w:w="4561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22C3FD3D">
            <w:pPr>
              <w:widowControl/>
              <w:spacing w:line="240" w:lineRule="atLeast"/>
              <w:jc w:val="left"/>
              <w:rPr>
                <w:rFonts w:ascii="仿宋_GB2312" w:hAnsi="宋体" w:eastAsia="仿宋_GB2312" w:cs="宋体"/>
                <w:kern w:val="0"/>
                <w:sz w:val="28"/>
                <w:szCs w:val="28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8"/>
                <w:szCs w:val="28"/>
              </w:rPr>
              <w:t>公务接待费</w:t>
            </w:r>
          </w:p>
        </w:tc>
        <w:tc>
          <w:tcPr>
            <w:tcW w:w="3821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52D42162">
            <w:pPr>
              <w:widowControl/>
              <w:spacing w:line="240" w:lineRule="atLeast"/>
              <w:jc w:val="center"/>
              <w:rPr>
                <w:rFonts w:hint="eastAsia" w:ascii="仿宋_GB2312" w:hAnsi="宋体" w:eastAsia="仿宋_GB2312" w:cs="宋体"/>
                <w:kern w:val="0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8"/>
                <w:szCs w:val="28"/>
                <w:lang w:val="en-US" w:eastAsia="zh-CN"/>
              </w:rPr>
              <w:t>0</w:t>
            </w:r>
          </w:p>
        </w:tc>
      </w:tr>
      <w:tr w14:paraId="71323330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30" w:type="dxa"/>
            <w:left w:w="30" w:type="dxa"/>
            <w:bottom w:w="30" w:type="dxa"/>
            <w:right w:w="30" w:type="dxa"/>
          </w:tblCellMar>
        </w:tblPrEx>
        <w:trPr>
          <w:tblCellSpacing w:w="7" w:type="dxa"/>
        </w:trPr>
        <w:tc>
          <w:tcPr>
            <w:tcW w:w="4561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55F465E2">
            <w:pPr>
              <w:widowControl/>
              <w:spacing w:line="240" w:lineRule="atLeast"/>
              <w:jc w:val="left"/>
              <w:rPr>
                <w:rFonts w:ascii="仿宋_GB2312" w:hAnsi="宋体" w:eastAsia="仿宋_GB2312" w:cs="宋体"/>
                <w:kern w:val="0"/>
                <w:sz w:val="28"/>
                <w:szCs w:val="28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8"/>
                <w:szCs w:val="28"/>
              </w:rPr>
              <w:t>公务用车购置及运行维护费</w:t>
            </w:r>
          </w:p>
        </w:tc>
        <w:tc>
          <w:tcPr>
            <w:tcW w:w="3821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3C31259B">
            <w:pPr>
              <w:widowControl/>
              <w:spacing w:line="240" w:lineRule="atLeast"/>
              <w:jc w:val="center"/>
              <w:rPr>
                <w:rFonts w:hint="eastAsia" w:ascii="仿宋_GB2312" w:hAnsi="宋体" w:eastAsia="仿宋_GB2312" w:cs="宋体"/>
                <w:kern w:val="0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8"/>
                <w:szCs w:val="28"/>
                <w:lang w:val="en-US" w:eastAsia="zh-CN"/>
              </w:rPr>
              <w:t>0</w:t>
            </w:r>
          </w:p>
        </w:tc>
      </w:tr>
      <w:tr w14:paraId="40690659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30" w:type="dxa"/>
            <w:left w:w="30" w:type="dxa"/>
            <w:bottom w:w="30" w:type="dxa"/>
            <w:right w:w="30" w:type="dxa"/>
          </w:tblCellMar>
        </w:tblPrEx>
        <w:trPr>
          <w:tblCellSpacing w:w="7" w:type="dxa"/>
        </w:trPr>
        <w:tc>
          <w:tcPr>
            <w:tcW w:w="4561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7EBD369A">
            <w:pPr>
              <w:widowControl/>
              <w:spacing w:line="240" w:lineRule="atLeast"/>
              <w:jc w:val="left"/>
              <w:rPr>
                <w:rFonts w:ascii="仿宋_GB2312" w:hAnsi="宋体" w:eastAsia="仿宋_GB2312" w:cs="宋体"/>
                <w:kern w:val="0"/>
                <w:sz w:val="28"/>
                <w:szCs w:val="28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8"/>
                <w:szCs w:val="28"/>
              </w:rPr>
              <w:t>　　其中：购置经费</w:t>
            </w:r>
          </w:p>
        </w:tc>
        <w:tc>
          <w:tcPr>
            <w:tcW w:w="3821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13F8EA94">
            <w:pPr>
              <w:widowControl/>
              <w:spacing w:line="240" w:lineRule="atLeast"/>
              <w:jc w:val="center"/>
              <w:rPr>
                <w:rFonts w:hint="eastAsia" w:ascii="仿宋_GB2312" w:hAnsi="宋体" w:eastAsia="仿宋_GB2312" w:cs="宋体"/>
                <w:kern w:val="0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8"/>
                <w:szCs w:val="28"/>
                <w:lang w:val="en-US" w:eastAsia="zh-CN"/>
              </w:rPr>
              <w:t>0</w:t>
            </w:r>
          </w:p>
        </w:tc>
      </w:tr>
      <w:tr w14:paraId="1FE4B594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30" w:type="dxa"/>
            <w:left w:w="30" w:type="dxa"/>
            <w:bottom w:w="30" w:type="dxa"/>
            <w:right w:w="30" w:type="dxa"/>
          </w:tblCellMar>
        </w:tblPrEx>
        <w:trPr>
          <w:tblCellSpacing w:w="7" w:type="dxa"/>
        </w:trPr>
        <w:tc>
          <w:tcPr>
            <w:tcW w:w="4561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7EA02218">
            <w:pPr>
              <w:widowControl/>
              <w:spacing w:line="240" w:lineRule="atLeast"/>
              <w:jc w:val="left"/>
              <w:rPr>
                <w:rFonts w:ascii="仿宋_GB2312" w:hAnsi="宋体" w:eastAsia="仿宋_GB2312" w:cs="宋体"/>
                <w:kern w:val="0"/>
                <w:sz w:val="28"/>
                <w:szCs w:val="28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8"/>
                <w:szCs w:val="28"/>
              </w:rPr>
              <w:t>　　　　　运行维护费</w:t>
            </w:r>
          </w:p>
        </w:tc>
        <w:tc>
          <w:tcPr>
            <w:tcW w:w="3821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16E6AAA1">
            <w:pPr>
              <w:widowControl/>
              <w:spacing w:line="240" w:lineRule="atLeast"/>
              <w:jc w:val="center"/>
              <w:rPr>
                <w:rFonts w:hint="eastAsia" w:ascii="仿宋_GB2312" w:hAnsi="宋体" w:eastAsia="仿宋_GB2312" w:cs="宋体"/>
                <w:kern w:val="0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8"/>
                <w:szCs w:val="28"/>
                <w:lang w:val="en-US" w:eastAsia="zh-CN"/>
              </w:rPr>
              <w:t>0</w:t>
            </w:r>
          </w:p>
        </w:tc>
      </w:tr>
    </w:tbl>
    <w:p w14:paraId="4B422A45">
      <w:pPr>
        <w:widowControl/>
        <w:spacing w:line="240" w:lineRule="atLeast"/>
        <w:ind w:firstLine="60"/>
        <w:jc w:val="center"/>
        <w:rPr>
          <w:rFonts w:ascii="仿宋_GB2312" w:hAnsi="宋体" w:eastAsia="仿宋_GB2312" w:cs="宋体"/>
          <w:color w:val="333333"/>
          <w:kern w:val="0"/>
          <w:sz w:val="32"/>
          <w:szCs w:val="32"/>
        </w:rPr>
      </w:pPr>
    </w:p>
    <w:p w14:paraId="0E990653">
      <w:pPr>
        <w:widowControl/>
        <w:spacing w:line="240" w:lineRule="atLeast"/>
        <w:ind w:firstLine="60"/>
        <w:jc w:val="center"/>
        <w:rPr>
          <w:rFonts w:ascii="仿宋_GB2312" w:hAnsi="宋体" w:eastAsia="仿宋_GB2312" w:cs="宋体"/>
          <w:color w:val="333333"/>
          <w:kern w:val="0"/>
          <w:sz w:val="32"/>
          <w:szCs w:val="32"/>
        </w:rPr>
      </w:pPr>
    </w:p>
    <w:p w14:paraId="6F65C879"/>
    <w:p w14:paraId="426378C3"/>
    <w:p w14:paraId="29603A64"/>
    <w:p w14:paraId="1FC2ADEF"/>
    <w:p w14:paraId="3AC9C914"/>
    <w:p w14:paraId="34F1A877"/>
    <w:p w14:paraId="497F3E47"/>
    <w:p w14:paraId="29D7394B"/>
    <w:p w14:paraId="1BD3A430"/>
    <w:p w14:paraId="498F6D6D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TgzNmEyOTFjMjZjODc0OGIyZjk3N2Q1Zjc3YWU5MjEifQ=="/>
  </w:docVars>
  <w:rsids>
    <w:rsidRoot w:val="003F1AE8"/>
    <w:rsid w:val="003F1AE8"/>
    <w:rsid w:val="007153A1"/>
    <w:rsid w:val="00784B0A"/>
    <w:rsid w:val="099472E7"/>
    <w:rsid w:val="128B3251"/>
    <w:rsid w:val="1D0B2F60"/>
    <w:rsid w:val="2FD86ECD"/>
    <w:rsid w:val="30861092"/>
    <w:rsid w:val="323E39E4"/>
    <w:rsid w:val="35D24B6F"/>
    <w:rsid w:val="37895702"/>
    <w:rsid w:val="474B4EDE"/>
    <w:rsid w:val="4E993BEB"/>
    <w:rsid w:val="58ED5699"/>
    <w:rsid w:val="60366A76"/>
    <w:rsid w:val="64835103"/>
    <w:rsid w:val="64AB7B49"/>
    <w:rsid w:val="66090EF9"/>
    <w:rsid w:val="6B264A3A"/>
    <w:rsid w:val="6C021003"/>
    <w:rsid w:val="6D5B6C1D"/>
    <w:rsid w:val="72A5093A"/>
    <w:rsid w:val="75562075"/>
    <w:rsid w:val="7B332F87"/>
    <w:rsid w:val="7C9464E9"/>
    <w:rsid w:val="7E3C03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name="header"/>
    <w:lsdException w:qFormat="1"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link w:val="9"/>
    <w:qFormat/>
    <w:uiPriority w:val="9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character" w:default="1" w:styleId="6">
    <w:name w:val="Default Paragraph Font"/>
    <w:semiHidden/>
    <w:unhideWhenUsed/>
    <w:uiPriority w:val="1"/>
  </w:style>
  <w:style w:type="table" w:default="1" w:styleId="5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footer"/>
    <w:basedOn w:val="1"/>
    <w:link w:val="8"/>
    <w:semiHidden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rFonts w:asciiTheme="minorHAnsi" w:hAnsiTheme="minorHAnsi" w:eastAsiaTheme="minorEastAsia" w:cstheme="minorBidi"/>
      <w:sz w:val="18"/>
      <w:szCs w:val="18"/>
    </w:rPr>
  </w:style>
  <w:style w:type="paragraph" w:styleId="4">
    <w:name w:val="header"/>
    <w:basedOn w:val="1"/>
    <w:link w:val="7"/>
    <w:semiHidden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rFonts w:asciiTheme="minorHAnsi" w:hAnsiTheme="minorHAnsi" w:eastAsiaTheme="minorEastAsia" w:cstheme="minorBidi"/>
      <w:sz w:val="18"/>
      <w:szCs w:val="18"/>
    </w:rPr>
  </w:style>
  <w:style w:type="character" w:customStyle="1" w:styleId="7">
    <w:name w:val="页眉 Char"/>
    <w:basedOn w:val="6"/>
    <w:link w:val="4"/>
    <w:semiHidden/>
    <w:qFormat/>
    <w:uiPriority w:val="99"/>
    <w:rPr>
      <w:sz w:val="18"/>
      <w:szCs w:val="18"/>
    </w:rPr>
  </w:style>
  <w:style w:type="character" w:customStyle="1" w:styleId="8">
    <w:name w:val="页脚 Char"/>
    <w:basedOn w:val="6"/>
    <w:link w:val="3"/>
    <w:semiHidden/>
    <w:qFormat/>
    <w:uiPriority w:val="99"/>
    <w:rPr>
      <w:sz w:val="18"/>
      <w:szCs w:val="18"/>
    </w:rPr>
  </w:style>
  <w:style w:type="character" w:customStyle="1" w:styleId="9">
    <w:name w:val="标题 1 Char"/>
    <w:basedOn w:val="6"/>
    <w:link w:val="2"/>
    <w:qFormat/>
    <w:uiPriority w:val="9"/>
    <w:rPr>
      <w:rFonts w:ascii="Times New Roman" w:hAnsi="Times New Roman" w:eastAsia="宋体" w:cs="Times New Roman"/>
      <w:b/>
      <w:bCs/>
      <w:kern w:val="44"/>
      <w:sz w:val="44"/>
      <w:szCs w:val="44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Sky123.Org</Company>
  <Pages>2</Pages>
  <Words>351</Words>
  <Characters>386</Characters>
  <Lines>3</Lines>
  <Paragraphs>1</Paragraphs>
  <TotalTime>1</TotalTime>
  <ScaleCrop>false</ScaleCrop>
  <LinksUpToDate>false</LinksUpToDate>
  <CharactersWithSpaces>459</CharactersWithSpaces>
  <Application>WPS Office_12.1.0.28043_F1E327BC-269C-435d-A152-05C5408002CA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2019-08-19T01:06:00Z</dcterms:created>
  <dc:creator>Sky123.Org</dc:creator>
  <cp:lastModifiedBy>小西炮</cp:lastModifiedBy>
  <dcterms:modified xsi:type="dcterms:W3CDTF">2026-08-19T01:34:36Z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2052-12.1.0.28043</vt:lpwstr>
  </property>
  <property fmtid="{D5CDD505-2E9C-101B-9397-08002B2CF9AE}" pid="3" name="ICV">
    <vt:lpwstr>CD6206FD7CA5494EA3A683B62672B325</vt:lpwstr>
  </property>
  <property fmtid="{D5CDD505-2E9C-101B-9397-08002B2CF9AE}" pid="4" name="KSOTemplateDocerSaveRecord">
    <vt:lpwstr>eyJoZGlkIjoiYjcwZWFjMGFkODg3MmY5MDM1NzA1ZjY0NjM1MjIzZTYiLCJ1c2VySWQiOiI0MTQwNjAwMjEifQ==</vt:lpwstr>
  </property>
</Properties>
</file>