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3C2BAF">
      <w:pPr>
        <w:spacing w:line="600" w:lineRule="exact"/>
        <w:jc w:val="center"/>
        <w:outlineLvl w:val="0"/>
        <w:rPr>
          <w:rFonts w:hint="eastAsia" w:ascii="仿宋_GB2312" w:hAnsi="黑体" w:eastAsia="仿宋_GB2312" w:cs="方正小标宋简体"/>
          <w:b/>
          <w:sz w:val="32"/>
          <w:szCs w:val="32"/>
        </w:rPr>
      </w:pPr>
      <w:bookmarkStart w:id="0" w:name="_Toc15396616"/>
      <w:r>
        <w:rPr>
          <w:rFonts w:hint="eastAsia" w:ascii="仿宋_GB2312" w:hAnsi="黑体" w:eastAsia="仿宋_GB2312" w:cs="方正小标宋简体"/>
          <w:b/>
          <w:sz w:val="32"/>
          <w:szCs w:val="32"/>
          <w:lang w:eastAsia="zh-CN"/>
        </w:rPr>
        <w:t>黑水县维古中心卫生院</w:t>
      </w:r>
      <w:r>
        <w:rPr>
          <w:rFonts w:hint="eastAsia" w:ascii="仿宋_GB2312" w:hAnsi="黑体" w:eastAsia="仿宋_GB2312" w:cs="方正小标宋简体"/>
          <w:b/>
          <w:sz w:val="32"/>
          <w:szCs w:val="32"/>
        </w:rPr>
        <w:t>20</w:t>
      </w:r>
      <w:r>
        <w:rPr>
          <w:rFonts w:hint="eastAsia" w:ascii="仿宋_GB2312" w:hAnsi="黑体" w:eastAsia="仿宋_GB2312" w:cs="方正小标宋简体"/>
          <w:b/>
          <w:sz w:val="32"/>
          <w:szCs w:val="32"/>
          <w:lang w:val="en-US" w:eastAsia="zh-CN"/>
        </w:rPr>
        <w:t>25</w:t>
      </w:r>
      <w:r>
        <w:rPr>
          <w:rFonts w:hint="eastAsia" w:ascii="仿宋_GB2312" w:hAnsi="黑体" w:eastAsia="仿宋_GB2312" w:cs="方正小标宋简体"/>
          <w:b/>
          <w:sz w:val="32"/>
          <w:szCs w:val="32"/>
        </w:rPr>
        <w:t>年部门</w:t>
      </w:r>
    </w:p>
    <w:p w14:paraId="3F817974">
      <w:pPr>
        <w:spacing w:line="600" w:lineRule="exact"/>
        <w:jc w:val="center"/>
        <w:outlineLvl w:val="0"/>
        <w:rPr>
          <w:rFonts w:ascii="仿宋_GB2312" w:hAnsi="黑体" w:eastAsia="仿宋_GB2312" w:cs="方正小标宋简体"/>
          <w:b/>
          <w:sz w:val="32"/>
          <w:szCs w:val="32"/>
        </w:rPr>
      </w:pPr>
      <w:r>
        <w:rPr>
          <w:rFonts w:hint="eastAsia" w:ascii="仿宋_GB2312" w:hAnsi="黑体" w:eastAsia="仿宋_GB2312" w:cs="方正小标宋简体"/>
          <w:b/>
          <w:sz w:val="32"/>
          <w:szCs w:val="32"/>
        </w:rPr>
        <w:t>整体支出绩效评价报告</w:t>
      </w:r>
      <w:bookmarkEnd w:id="0"/>
    </w:p>
    <w:p w14:paraId="3F38EB06">
      <w:pPr>
        <w:spacing w:line="580" w:lineRule="exact"/>
        <w:ind w:firstLine="643" w:firstLineChars="200"/>
        <w:rPr>
          <w:rFonts w:ascii="仿宋_GB2312" w:hAnsi="黑体" w:eastAsia="仿宋_GB2312" w:cs="黑体"/>
          <w:b/>
          <w:sz w:val="32"/>
          <w:szCs w:val="32"/>
        </w:rPr>
      </w:pPr>
    </w:p>
    <w:p w14:paraId="53E4D602">
      <w:pPr>
        <w:spacing w:line="580" w:lineRule="exact"/>
        <w:ind w:firstLine="640" w:firstLineChars="200"/>
        <w:rPr>
          <w:rFonts w:ascii="仿宋_GB2312" w:hAnsi="黑体" w:eastAsia="仿宋_GB2312" w:cs="黑体"/>
          <w:sz w:val="32"/>
          <w:szCs w:val="32"/>
        </w:rPr>
      </w:pPr>
      <w:r>
        <w:rPr>
          <w:rFonts w:hint="eastAsia" w:ascii="仿宋_GB2312" w:hAnsi="黑体" w:eastAsia="仿宋_GB2312" w:cs="黑体"/>
          <w:sz w:val="32"/>
          <w:szCs w:val="32"/>
        </w:rPr>
        <w:t>一、单位概况</w:t>
      </w:r>
    </w:p>
    <w:p w14:paraId="2D05074A">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（一）机构组成。</w:t>
      </w:r>
    </w:p>
    <w:p w14:paraId="7B6A4244">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textAlignment w:val="auto"/>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pPr>
      <w:r>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t>我单位是卫生健康局下属二级预算单位，在编人数21人，为事业编制。</w:t>
      </w:r>
    </w:p>
    <w:p w14:paraId="479D8E50">
      <w:pPr>
        <w:numPr>
          <w:ilvl w:val="0"/>
          <w:numId w:val="1"/>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机构职能。</w:t>
      </w:r>
    </w:p>
    <w:p w14:paraId="2FDC73CE">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textAlignment w:val="auto"/>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pPr>
      <w:r>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t>1.宣传贯彻党和政府的各项医疗卫生方针政策，协助政府实施农村医改工作。</w:t>
      </w:r>
    </w:p>
    <w:p w14:paraId="51D607AC">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textAlignment w:val="auto"/>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pPr>
      <w:r>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t>2.提供基本医疗服务，开展农村常见病、多发病以及诊断明确的慢性非传染性疾病的诊疗护理。</w:t>
      </w:r>
    </w:p>
    <w:p w14:paraId="782596F4">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textAlignment w:val="auto"/>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pPr>
      <w:r>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t>3.贯彻落实国家基本药物制度，实行网上统一采购、统一配送的基本药物采购方式，实施基本药物零差价销售。</w:t>
      </w:r>
    </w:p>
    <w:p w14:paraId="58C31ADE">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textAlignment w:val="auto"/>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pPr>
      <w:r>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t>4.协助开展突发公共卫生事件应急调查和处置工作，承担区域内公共卫生相关信息的采集和报告。</w:t>
      </w:r>
    </w:p>
    <w:p w14:paraId="6E780F61">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textAlignment w:val="auto"/>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pPr>
      <w:r>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t>5.对区域内村卫生室实行统一化管理，并指导卫生室和乡村医生的日常业务工作。</w:t>
      </w:r>
    </w:p>
    <w:p w14:paraId="1BC65553">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textAlignment w:val="auto"/>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pPr>
      <w:r>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t>6.提供公共卫生服务职能。主要是提供基本公共卫生服务，包括建立居民健康档案、健康教育、预防接种、传染病防治、高血压糖尿病等慢性病管理、重性精神病管理、儿童健康管理、孕产妇保健、老年人健康管理、卫生监管与监督、家庭签约服务等。</w:t>
      </w:r>
    </w:p>
    <w:p w14:paraId="1B9A3F09">
      <w:pPr>
        <w:pStyle w:val="5"/>
        <w:widowControl w:val="0"/>
        <w:numPr>
          <w:ilvl w:val="0"/>
          <w:numId w:val="0"/>
        </w:numPr>
        <w:jc w:val="both"/>
      </w:pPr>
    </w:p>
    <w:p w14:paraId="253BD6A7">
      <w:pPr>
        <w:pStyle w:val="5"/>
        <w:widowControl w:val="0"/>
        <w:numPr>
          <w:ilvl w:val="0"/>
          <w:numId w:val="0"/>
        </w:numPr>
        <w:jc w:val="both"/>
      </w:pPr>
    </w:p>
    <w:p w14:paraId="2ECC311E">
      <w:pPr>
        <w:numPr>
          <w:ilvl w:val="0"/>
          <w:numId w:val="1"/>
        </w:numPr>
        <w:spacing w:line="580" w:lineRule="exact"/>
        <w:ind w:left="0" w:leftChars="0"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人员概况。</w:t>
      </w:r>
    </w:p>
    <w:p w14:paraId="6C97D4BE">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firstLine="640" w:firstLineChars="200"/>
        <w:textAlignment w:val="auto"/>
        <w:rPr>
          <w:rFonts w:hint="default" w:ascii="仿宋_GB2312" w:hAnsi="仿宋" w:eastAsia="仿宋_GB2312"/>
          <w:b w:val="0"/>
          <w:bCs/>
          <w:color w:val="000000" w:themeColor="text1"/>
          <w:sz w:val="32"/>
          <w:szCs w:val="32"/>
          <w:shd w:val="clear" w:color="auto" w:fill="auto"/>
          <w:lang w:val="en-US" w:eastAsia="zh-CN"/>
          <w14:textFill>
            <w14:solidFill>
              <w14:schemeClr w14:val="tx1"/>
            </w14:solidFill>
          </w14:textFill>
        </w:rPr>
      </w:pPr>
      <w:r>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t>我单位在编人数21人，为事业编制</w:t>
      </w:r>
    </w:p>
    <w:p w14:paraId="1534BDAF">
      <w:pPr>
        <w:numPr>
          <w:numId w:val="0"/>
        </w:numPr>
        <w:spacing w:line="580" w:lineRule="exact"/>
        <w:ind w:firstLine="640" w:firstLineChars="200"/>
        <w:rPr>
          <w:rFonts w:hint="default"/>
          <w:lang w:val="en-US" w:eastAsia="zh-CN"/>
        </w:rPr>
      </w:pPr>
      <w:r>
        <w:rPr>
          <w:rFonts w:hint="eastAsia" w:ascii="仿宋_GB2312" w:hAnsi="黑体" w:eastAsia="仿宋_GB2312" w:cs="黑体"/>
          <w:sz w:val="32"/>
          <w:szCs w:val="32"/>
          <w:lang w:eastAsia="zh-CN"/>
        </w:rPr>
        <w:t>二、</w:t>
      </w:r>
      <w:r>
        <w:rPr>
          <w:rFonts w:hint="eastAsia" w:ascii="仿宋_GB2312" w:hAnsi="黑体" w:eastAsia="仿宋_GB2312" w:cs="黑体"/>
          <w:sz w:val="32"/>
          <w:szCs w:val="32"/>
        </w:rPr>
        <w:t>部门财政资金收支情况</w:t>
      </w:r>
    </w:p>
    <w:p w14:paraId="2D5D667D">
      <w:pPr>
        <w:numPr>
          <w:ilvl w:val="0"/>
          <w:numId w:val="2"/>
        </w:num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部门财政资金收入情况。</w:t>
      </w:r>
    </w:p>
    <w:p w14:paraId="23E70673">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textAlignment w:val="auto"/>
        <w:rPr>
          <w:rFonts w:hint="default" w:eastAsia="宋体"/>
          <w:lang w:val="en-US" w:eastAsia="zh-CN"/>
        </w:rPr>
      </w:pPr>
      <w:r>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t xml:space="preserve"> 2025年本年收入合计1121.96万元，其中：一般公共预算财政拨款收入1121.96万元，占100%；政府性基金预算财政拨款收入0万元，占0%；国有资本经营预算财政拨款收入0万元，占0%；事业收入0万元，占0%；经营收入0万元，占0%；附属单位上缴收入0万元，占0%；其他收入0万元，占0%。</w:t>
      </w:r>
    </w:p>
    <w:p w14:paraId="71A4187E">
      <w:pPr>
        <w:numPr>
          <w:ilvl w:val="0"/>
          <w:numId w:val="2"/>
        </w:numPr>
        <w:spacing w:line="580" w:lineRule="exact"/>
        <w:ind w:left="0" w:leftChars="0"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部门财政资金支出情况。</w:t>
      </w:r>
    </w:p>
    <w:p w14:paraId="499E657D">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textAlignment w:val="auto"/>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pPr>
      <w:r>
        <w:rPr>
          <w:rFonts w:hint="eastAsia"/>
          <w:lang w:val="en-US" w:eastAsia="zh-CN"/>
        </w:rPr>
        <w:t xml:space="preserve"> </w:t>
      </w:r>
      <w:r>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t>2025年一般公共预算财政拨款支出1121.96万元，主要用于以下方面:一般公共服务（类）支出0万元，占0%；教育支出（类）</w:t>
      </w:r>
      <w:r>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t>0万元，占</w:t>
      </w:r>
      <w:r>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t>0%；科学技术（类）支出</w:t>
      </w:r>
      <w:r>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t>0万元，占</w:t>
      </w:r>
      <w:r>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t>0%；社会保障和就业（类）支出210.52万元，占18%；卫生健康支出829.99万元，占74%；住房保障支出81.44万元，占8%。</w:t>
      </w:r>
    </w:p>
    <w:p w14:paraId="416203D3">
      <w:pPr>
        <w:numPr>
          <w:numId w:val="0"/>
        </w:numPr>
        <w:spacing w:line="580" w:lineRule="exact"/>
        <w:ind w:firstLine="320" w:firstLineChars="100"/>
        <w:rPr>
          <w:rFonts w:hint="eastAsia" w:ascii="仿宋_GB2312" w:hAnsi="黑体" w:eastAsia="仿宋_GB2312" w:cs="黑体"/>
          <w:sz w:val="32"/>
          <w:szCs w:val="32"/>
        </w:rPr>
      </w:pPr>
      <w:bookmarkStart w:id="1" w:name="_GoBack"/>
      <w:bookmarkEnd w:id="1"/>
      <w:r>
        <w:rPr>
          <w:rFonts w:hint="eastAsia" w:ascii="仿宋_GB2312" w:hAnsi="黑体" w:eastAsia="仿宋_GB2312" w:cs="黑体"/>
          <w:sz w:val="32"/>
          <w:szCs w:val="32"/>
          <w:lang w:eastAsia="zh-CN"/>
        </w:rPr>
        <w:t>三、</w:t>
      </w:r>
      <w:r>
        <w:rPr>
          <w:rFonts w:hint="eastAsia" w:ascii="仿宋_GB2312" w:hAnsi="黑体" w:eastAsia="仿宋_GB2312" w:cs="黑体"/>
          <w:sz w:val="32"/>
          <w:szCs w:val="32"/>
        </w:rPr>
        <w:t>部门整体预算绩效管理情况</w:t>
      </w:r>
    </w:p>
    <w:p w14:paraId="34E99C9F">
      <w:pPr>
        <w:numPr>
          <w:ilvl w:val="0"/>
          <w:numId w:val="0"/>
        </w:numPr>
        <w:spacing w:line="580" w:lineRule="exact"/>
        <w:ind w:leftChars="200"/>
        <w:rPr>
          <w:rFonts w:ascii="仿宋_GB2312" w:hAnsi="仿宋" w:eastAsia="仿宋_GB2312" w:cs="仿宋_GB2312"/>
          <w:sz w:val="32"/>
          <w:szCs w:val="32"/>
        </w:rPr>
      </w:pPr>
      <w:r>
        <w:rPr>
          <w:rFonts w:hint="eastAsia" w:ascii="仿宋_GB2312" w:hAnsi="仿宋" w:eastAsia="仿宋_GB2312" w:cs="仿宋_GB2312"/>
          <w:sz w:val="32"/>
          <w:szCs w:val="32"/>
        </w:rPr>
        <w:t>（一）部门预算管理。</w:t>
      </w:r>
    </w:p>
    <w:p w14:paraId="64DEFE63">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textAlignment w:val="auto"/>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pPr>
      <w:r>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t>严格按照州、县预算编制要求，按时完成了基础信息、项目库的报送工作，完成基础信息的更新，按时完成预算编制并提交部门预算草案。预算编制中，特别注意对预算编制准确性的把握，并严格按照要求进行预算执行调整。按时完成待批复提前细化。部门预算在财政部门批复后及时填报预算公示报表报财政审核在政府信息公开网上公示。</w:t>
      </w:r>
    </w:p>
    <w:p w14:paraId="73003382">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textAlignment w:val="auto"/>
        <w:rPr>
          <w:rFonts w:hint="eastAsia" w:ascii="仿宋_GB2312" w:hAnsi="仿宋" w:eastAsia="仿宋_GB2312"/>
          <w:b w:val="0"/>
          <w:bCs/>
          <w:color w:val="000000" w:themeColor="text1"/>
          <w:sz w:val="32"/>
          <w:szCs w:val="32"/>
          <w:shd w:val="clear" w:color="auto" w:fill="auto"/>
          <w14:textFill>
            <w14:solidFill>
              <w14:schemeClr w14:val="tx1"/>
            </w14:solidFill>
          </w14:textFill>
        </w:rPr>
      </w:pPr>
      <w:r>
        <w:rPr>
          <w:rFonts w:hint="eastAsia" w:ascii="仿宋_GB2312" w:hAnsi="仿宋" w:eastAsia="仿宋_GB2312"/>
          <w:b w:val="0"/>
          <w:bCs/>
          <w:color w:val="000000" w:themeColor="text1"/>
          <w:sz w:val="32"/>
          <w:szCs w:val="32"/>
          <w:shd w:val="clear" w:color="auto" w:fill="auto"/>
          <w14:textFill>
            <w14:solidFill>
              <w14:schemeClr w14:val="tx1"/>
            </w14:solidFill>
          </w14:textFill>
        </w:rPr>
        <w:t>（二）专项预算管理。</w:t>
      </w:r>
    </w:p>
    <w:p w14:paraId="0A4EEC5C">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textAlignment w:val="auto"/>
        <w:rPr>
          <w:rFonts w:hint="eastAsia" w:asciiTheme="minorEastAsia" w:hAnsiTheme="minorEastAsia" w:eastAsiaTheme="minorEastAsia" w:cstheme="minorEastAsia"/>
          <w:sz w:val="28"/>
          <w:szCs w:val="28"/>
          <w:lang w:val="en-US" w:eastAsia="zh-CN"/>
        </w:rPr>
      </w:pPr>
      <w:r>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t>严格执行“厉</w:t>
      </w:r>
      <w:r>
        <w:rPr>
          <w:rFonts w:hint="eastAsia" w:ascii="仿宋_GB2312" w:hAnsi="仿宋" w:eastAsia="仿宋_GB2312" w:cs="Times New Roman"/>
          <w:b w:val="0"/>
          <w:bCs/>
          <w:color w:val="000000" w:themeColor="text1"/>
          <w:kern w:val="2"/>
          <w:sz w:val="32"/>
          <w:szCs w:val="32"/>
          <w:shd w:val="clear" w:color="auto" w:fill="auto"/>
          <w:lang w:val="en-US" w:eastAsia="zh-CN" w:bidi="ar-SA"/>
          <w14:textFill>
            <w14:solidFill>
              <w14:schemeClr w14:val="tx1"/>
            </w14:solidFill>
          </w14:textFill>
        </w:rPr>
        <w:t>行节约、反对浪费”的规定，严格控制“三公”经费支出，加强公务用车管理，努力降低燃修费用，“三公”经费较上年有所下降。</w:t>
      </w:r>
    </w:p>
    <w:p w14:paraId="0E0369BA">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（三）结果应用情况。</w:t>
      </w:r>
    </w:p>
    <w:p w14:paraId="42AF341E">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textAlignment w:val="auto"/>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pPr>
      <w:r>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t>运行经费管理，对于资产管理做到正确核算，加强固定资产购置、使用及保管。账务及各类报表公开、准确如实反映，做到信息及时公开等。各项规章制度健全，制度执行严格合规。会计核算符合相关财务管理规定。资金管理方面，各项资金均实行专款专用，严格依法依规执行资金支付依据和开支标准,严格执行政府采购制度。</w:t>
      </w:r>
    </w:p>
    <w:p w14:paraId="64D67F4A">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textAlignment w:val="auto"/>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pPr>
      <w:r>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t>我单位预算内经费和专项基金实行“收支两条线”管理，设立了专门的出纳和会计人员，在报账处理上严格按照财经纪律制度等要求实施报账制，专项基金单独建账、专户储存、专户管理、单独核算。预算内经费和专项基金我单位按照有关法律法规和财务制度严格执行，经费组织决算及报表的审核、报送与财政部门逐一核对，确保经费预决算的严肃性、准确性。 </w:t>
      </w:r>
    </w:p>
    <w:p w14:paraId="43CD0F8D">
      <w:pPr>
        <w:spacing w:line="580" w:lineRule="exact"/>
        <w:ind w:firstLine="640" w:firstLineChars="200"/>
        <w:rPr>
          <w:rFonts w:ascii="仿宋_GB2312" w:hAnsi="黑体" w:eastAsia="仿宋_GB2312" w:cs="黑体"/>
          <w:sz w:val="32"/>
          <w:szCs w:val="32"/>
        </w:rPr>
      </w:pPr>
      <w:r>
        <w:rPr>
          <w:rFonts w:hint="eastAsia" w:ascii="仿宋_GB2312" w:hAnsi="黑体" w:eastAsia="仿宋_GB2312" w:cs="黑体"/>
          <w:sz w:val="32"/>
          <w:szCs w:val="32"/>
        </w:rPr>
        <w:t>四、评价结论及建议</w:t>
      </w:r>
    </w:p>
    <w:p w14:paraId="09EF7AE4">
      <w:pPr>
        <w:spacing w:line="580" w:lineRule="exact"/>
        <w:ind w:firstLine="640" w:firstLineChars="200"/>
        <w:rPr>
          <w:rFonts w:hint="eastAsia" w:ascii="仿宋_GB2312" w:hAnsi="仿宋" w:eastAsia="仿宋_GB2312" w:cs="仿宋_GB2312"/>
          <w:sz w:val="32"/>
          <w:szCs w:val="32"/>
        </w:rPr>
      </w:pPr>
      <w:r>
        <w:rPr>
          <w:rFonts w:hint="eastAsia" w:ascii="仿宋_GB2312" w:hAnsi="仿宋" w:eastAsia="仿宋_GB2312" w:cs="仿宋_GB2312"/>
          <w:sz w:val="32"/>
          <w:szCs w:val="32"/>
        </w:rPr>
        <w:t>（一）评价结论。</w:t>
      </w:r>
    </w:p>
    <w:p w14:paraId="1893E120">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textAlignment w:val="auto"/>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pPr>
      <w:r>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t>按照国家政策法规规定，结合本部门的实际情况，建立健全了财务管理制度和约束机制，依法、有效地使用财政资金，提高财政资金使用效率，合理分配人、财、物，完成了部门职能目标，实现了较高的工作效率和支出绩效。 </w:t>
      </w:r>
    </w:p>
    <w:p w14:paraId="75E03160">
      <w:pPr>
        <w:numPr>
          <w:ilvl w:val="0"/>
          <w:numId w:val="0"/>
        </w:numPr>
        <w:spacing w:line="580" w:lineRule="exact"/>
        <w:ind w:left="0" w:leftChars="0" w:firstLine="640" w:firstLineChars="200"/>
        <w:rPr>
          <w:rFonts w:hint="eastAsia" w:ascii="仿宋_GB2312" w:hAnsi="仿宋" w:eastAsia="仿宋_GB2312" w:cs="仿宋_GB2312"/>
          <w:sz w:val="32"/>
          <w:szCs w:val="32"/>
        </w:rPr>
      </w:pPr>
      <w:r>
        <w:rPr>
          <w:rFonts w:hint="eastAsia" w:ascii="仿宋_GB2312" w:hAnsi="仿宋" w:eastAsia="仿宋_GB2312" w:cs="仿宋_GB2312"/>
          <w:kern w:val="2"/>
          <w:sz w:val="32"/>
          <w:szCs w:val="32"/>
          <w:lang w:val="en-US" w:eastAsia="zh-CN" w:bidi="ar-SA"/>
        </w:rPr>
        <w:t>（二）</w:t>
      </w:r>
      <w:r>
        <w:rPr>
          <w:rFonts w:hint="eastAsia" w:ascii="仿宋_GB2312" w:hAnsi="仿宋" w:eastAsia="仿宋_GB2312" w:cs="仿宋_GB2312"/>
          <w:sz w:val="32"/>
          <w:szCs w:val="32"/>
        </w:rPr>
        <w:t>存在问题。</w:t>
      </w:r>
    </w:p>
    <w:p w14:paraId="4288B3DD">
      <w:pPr>
        <w:widowControl/>
        <w:adjustRightInd w:val="0"/>
        <w:snapToGrid w:val="0"/>
        <w:spacing w:line="580" w:lineRule="exact"/>
        <w:ind w:firstLine="420" w:firstLineChars="200"/>
        <w:jc w:val="left"/>
        <w:rPr>
          <w:rFonts w:hint="default" w:eastAsia="宋体"/>
          <w:lang w:val="en-US" w:eastAsia="zh-CN"/>
        </w:rPr>
      </w:pPr>
      <w:r>
        <w:rPr>
          <w:rFonts w:hint="eastAsia"/>
          <w:lang w:val="en-US" w:eastAsia="zh-CN"/>
        </w:rPr>
        <w:t xml:space="preserve">  </w:t>
      </w:r>
      <w:r>
        <w:rPr>
          <w:rFonts w:hint="eastAsia" w:ascii="仿宋_GB2312" w:hAnsi="仿宋" w:eastAsia="仿宋_GB2312" w:cs="Times New Roman"/>
          <w:b w:val="0"/>
          <w:bCs/>
          <w:color w:val="000000" w:themeColor="text1"/>
          <w:kern w:val="2"/>
          <w:sz w:val="32"/>
          <w:szCs w:val="32"/>
          <w:shd w:val="clear" w:color="auto" w:fill="auto"/>
          <w:lang w:val="en-US" w:eastAsia="zh-CN" w:bidi="ar-SA"/>
          <w14:textFill>
            <w14:solidFill>
              <w14:schemeClr w14:val="tx1"/>
            </w14:solidFill>
          </w14:textFill>
        </w:rPr>
        <w:t>单位内部各部门沟通方式有待协调改进。</w:t>
      </w:r>
    </w:p>
    <w:p w14:paraId="3E66B725">
      <w:pPr>
        <w:numPr>
          <w:ilvl w:val="0"/>
          <w:numId w:val="0"/>
        </w:numPr>
        <w:spacing w:line="580" w:lineRule="exact"/>
        <w:ind w:left="0" w:leftChars="0" w:firstLine="640" w:firstLineChars="200"/>
        <w:rPr>
          <w:rFonts w:hint="eastAsia" w:ascii="仿宋_GB2312" w:hAnsi="仿宋" w:eastAsia="仿宋_GB2312" w:cs="仿宋_GB2312"/>
          <w:sz w:val="32"/>
          <w:szCs w:val="32"/>
        </w:rPr>
      </w:pPr>
      <w:r>
        <w:rPr>
          <w:rFonts w:hint="eastAsia" w:ascii="仿宋_GB2312" w:hAnsi="仿宋" w:eastAsia="仿宋_GB2312" w:cs="仿宋_GB2312"/>
          <w:kern w:val="2"/>
          <w:sz w:val="32"/>
          <w:szCs w:val="32"/>
          <w:lang w:val="en-US" w:eastAsia="zh-CN" w:bidi="ar-SA"/>
        </w:rPr>
        <w:t>（三）</w:t>
      </w:r>
      <w:r>
        <w:rPr>
          <w:rFonts w:hint="eastAsia" w:ascii="仿宋_GB2312" w:hAnsi="仿宋" w:eastAsia="仿宋_GB2312" w:cs="仿宋_GB2312"/>
          <w:sz w:val="32"/>
          <w:szCs w:val="32"/>
        </w:rPr>
        <w:t>改进建议。</w:t>
      </w:r>
    </w:p>
    <w:p w14:paraId="3A136DF9">
      <w:pPr>
        <w:pStyle w:val="3"/>
        <w:keepNext w:val="0"/>
        <w:keepLines w:val="0"/>
        <w:pageBreakBefore w:val="0"/>
        <w:widowControl w:val="0"/>
        <w:kinsoku/>
        <w:wordWrap/>
        <w:overflowPunct/>
        <w:topLinePunct w:val="0"/>
        <w:autoSpaceDE/>
        <w:autoSpaceDN/>
        <w:bidi w:val="0"/>
        <w:adjustRightInd/>
        <w:snapToGrid/>
        <w:spacing w:after="0" w:line="580" w:lineRule="exact"/>
        <w:ind w:left="0" w:leftChars="0"/>
        <w:textAlignment w:val="auto"/>
        <w:rPr>
          <w:rFonts w:ascii="仿宋_GB2312" w:hAnsi="仿宋_GB2312" w:eastAsia="仿宋_GB2312" w:cs="仿宋_GB2312"/>
          <w:sz w:val="32"/>
          <w:szCs w:val="32"/>
        </w:rPr>
      </w:pPr>
      <w:r>
        <w:rPr>
          <w:rFonts w:hint="eastAsia" w:ascii="仿宋_GB2312" w:hAnsi="仿宋" w:eastAsia="仿宋_GB2312"/>
          <w:b w:val="0"/>
          <w:bCs/>
          <w:color w:val="000000" w:themeColor="text1"/>
          <w:sz w:val="32"/>
          <w:szCs w:val="32"/>
          <w:shd w:val="clear" w:color="auto" w:fill="auto"/>
          <w:lang w:val="en-US" w:eastAsia="zh-CN"/>
          <w14:textFill>
            <w14:solidFill>
              <w14:schemeClr w14:val="tx1"/>
            </w14:solidFill>
          </w14:textFill>
        </w:rPr>
        <w:t>对部门决算管理及报表设计的意见建议。报表设计，重复表太多，建议精简。</w:t>
      </w:r>
    </w:p>
    <w:p w14:paraId="58A4595E">
      <w:pPr>
        <w:pStyle w:val="8"/>
        <w:numPr>
          <w:ilvl w:val="0"/>
          <w:numId w:val="0"/>
        </w:numPr>
        <w:ind w:leftChars="200"/>
      </w:pPr>
    </w:p>
    <w:p w14:paraId="5C3B6554">
      <w:pPr>
        <w:spacing w:line="580" w:lineRule="exact"/>
        <w:ind w:firstLine="640" w:firstLineChars="200"/>
        <w:rPr>
          <w:rFonts w:ascii="仿宋_GB2312" w:hAnsi="仿宋_GB2312" w:eastAsia="仿宋_GB2312" w:cs="仿宋_GB2312"/>
          <w:sz w:val="32"/>
          <w:szCs w:val="32"/>
        </w:rPr>
      </w:pPr>
    </w:p>
    <w:p w14:paraId="64039A48">
      <w:pPr>
        <w:widowControl/>
        <w:jc w:val="left"/>
        <w:rPr>
          <w:rFonts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altName w:val="黑体"/>
    <w:panose1 w:val="03000509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9C8A40"/>
    <w:multiLevelType w:val="singleLevel"/>
    <w:tmpl w:val="A79C8A40"/>
    <w:lvl w:ilvl="0" w:tentative="0">
      <w:start w:val="1"/>
      <w:numFmt w:val="chineseCounting"/>
      <w:suff w:val="nothing"/>
      <w:lvlText w:val="（%1）"/>
      <w:lvlJc w:val="left"/>
      <w:rPr>
        <w:rFonts w:hint="eastAsia"/>
      </w:rPr>
    </w:lvl>
  </w:abstractNum>
  <w:abstractNum w:abstractNumId="1">
    <w:nsid w:val="20AE4063"/>
    <w:multiLevelType w:val="singleLevel"/>
    <w:tmpl w:val="20AE4063"/>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U5YmJiZmUzZDNjNzM4NTE4NDkyMjZkNzJmYWZkOWMifQ=="/>
  </w:docVars>
  <w:rsids>
    <w:rsidRoot w:val="00491B22"/>
    <w:rsid w:val="00291808"/>
    <w:rsid w:val="00491B22"/>
    <w:rsid w:val="0052390C"/>
    <w:rsid w:val="0075175F"/>
    <w:rsid w:val="030D63DF"/>
    <w:rsid w:val="03265180"/>
    <w:rsid w:val="06ED43D6"/>
    <w:rsid w:val="0A6C0264"/>
    <w:rsid w:val="0E0013EF"/>
    <w:rsid w:val="10D17073"/>
    <w:rsid w:val="168E3F15"/>
    <w:rsid w:val="17C533C4"/>
    <w:rsid w:val="18CB271A"/>
    <w:rsid w:val="1A2151AF"/>
    <w:rsid w:val="1C550F17"/>
    <w:rsid w:val="1EC71AB5"/>
    <w:rsid w:val="2079293B"/>
    <w:rsid w:val="20D1336D"/>
    <w:rsid w:val="26965813"/>
    <w:rsid w:val="2B6C7C6C"/>
    <w:rsid w:val="2BDE0276"/>
    <w:rsid w:val="30182170"/>
    <w:rsid w:val="34EB1F43"/>
    <w:rsid w:val="35BE7316"/>
    <w:rsid w:val="36435EC2"/>
    <w:rsid w:val="372C4753"/>
    <w:rsid w:val="3748158D"/>
    <w:rsid w:val="3D755C30"/>
    <w:rsid w:val="3F446ADE"/>
    <w:rsid w:val="42224789"/>
    <w:rsid w:val="4299327C"/>
    <w:rsid w:val="43EB7E23"/>
    <w:rsid w:val="44507CD3"/>
    <w:rsid w:val="47E30E5E"/>
    <w:rsid w:val="4CB16E35"/>
    <w:rsid w:val="4DB841F3"/>
    <w:rsid w:val="4DD97D2F"/>
    <w:rsid w:val="52B0193D"/>
    <w:rsid w:val="534F55FA"/>
    <w:rsid w:val="58C07BE6"/>
    <w:rsid w:val="59605E6B"/>
    <w:rsid w:val="5A346318"/>
    <w:rsid w:val="5BAF2BC1"/>
    <w:rsid w:val="5F8D1984"/>
    <w:rsid w:val="60D032A5"/>
    <w:rsid w:val="63E47698"/>
    <w:rsid w:val="643B7C00"/>
    <w:rsid w:val="64992B79"/>
    <w:rsid w:val="666619E0"/>
    <w:rsid w:val="67B408D4"/>
    <w:rsid w:val="68EA0085"/>
    <w:rsid w:val="70DE203F"/>
    <w:rsid w:val="70F96C28"/>
    <w:rsid w:val="7C1E3C37"/>
    <w:rsid w:val="7E27258E"/>
    <w:rsid w:val="7E6A3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qFormat="1" w:unhideWhenUsed="0" w:uiPriority="0" w:semiHidden="0"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footnote text"/>
    <w:basedOn w:val="1"/>
    <w:next w:val="3"/>
    <w:qFormat/>
    <w:uiPriority w:val="0"/>
    <w:pPr>
      <w:snapToGrid w:val="0"/>
      <w:jc w:val="left"/>
    </w:pPr>
    <w:rPr>
      <w:sz w:val="18"/>
      <w:szCs w:val="18"/>
    </w:rPr>
  </w:style>
  <w:style w:type="paragraph" w:styleId="3">
    <w:name w:val="Body Text First Indent 2"/>
    <w:basedOn w:val="4"/>
    <w:unhideWhenUsed/>
    <w:qFormat/>
    <w:uiPriority w:val="99"/>
    <w:pPr>
      <w:ind w:firstLine="420" w:firstLineChars="200"/>
    </w:pPr>
  </w:style>
  <w:style w:type="paragraph" w:styleId="4">
    <w:name w:val="Body Text Indent"/>
    <w:basedOn w:val="1"/>
    <w:next w:val="3"/>
    <w:qFormat/>
    <w:uiPriority w:val="0"/>
    <w:pPr>
      <w:spacing w:after="120"/>
      <w:ind w:left="200" w:leftChars="200"/>
    </w:pPr>
    <w:rPr>
      <w:rFonts w:ascii="仿宋_GB2312"/>
      <w:szCs w:val="32"/>
    </w:rPr>
  </w:style>
  <w:style w:type="paragraph" w:styleId="5">
    <w:name w:val="Normal Indent"/>
    <w:unhideWhenUsed/>
    <w:qFormat/>
    <w:uiPriority w:val="99"/>
    <w:pPr>
      <w:widowControl w:val="0"/>
      <w:ind w:firstLine="680"/>
      <w:jc w:val="both"/>
    </w:pPr>
    <w:rPr>
      <w:rFonts w:ascii="Times New Roman" w:hAnsi="Times New Roman" w:eastAsia="宋体" w:cs="Times New Roman"/>
      <w:kern w:val="2"/>
      <w:sz w:val="21"/>
      <w:szCs w:val="24"/>
      <w:lang w:val="en-US" w:eastAsia="zh-CN" w:bidi="ar-SA"/>
    </w:rPr>
  </w:style>
  <w:style w:type="paragraph" w:styleId="6">
    <w:name w:val="footer"/>
    <w:basedOn w:val="1"/>
    <w:link w:val="13"/>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2"/>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8">
    <w:name w:val="table of figures"/>
    <w:basedOn w:val="1"/>
    <w:next w:val="1"/>
    <w:unhideWhenUsed/>
    <w:qFormat/>
    <w:uiPriority w:val="99"/>
    <w:pPr>
      <w:ind w:left="200" w:leftChars="200" w:hanging="200" w:hangingChars="200"/>
    </w:pPr>
  </w:style>
  <w:style w:type="paragraph" w:styleId="9">
    <w:name w:val="Normal (Web)"/>
    <w:basedOn w:val="1"/>
    <w:qFormat/>
    <w:uiPriority w:val="0"/>
    <w:pPr>
      <w:spacing w:before="100" w:beforeAutospacing="1" w:after="100" w:afterAutospacing="1"/>
      <w:ind w:left="0" w:right="0"/>
      <w:jc w:val="left"/>
    </w:pPr>
    <w:rPr>
      <w:rFonts w:hint="default" w:ascii="宋体" w:hAnsi="宋体" w:eastAsia="宋体" w:cs="宋体"/>
      <w:kern w:val="0"/>
      <w:sz w:val="24"/>
      <w:lang w:val="en-US" w:eastAsia="zh-CN" w:bidi="ar"/>
    </w:rPr>
  </w:style>
  <w:style w:type="character" w:customStyle="1" w:styleId="12">
    <w:name w:val="页眉 Char"/>
    <w:basedOn w:val="11"/>
    <w:link w:val="7"/>
    <w:semiHidden/>
    <w:qFormat/>
    <w:uiPriority w:val="99"/>
    <w:rPr>
      <w:sz w:val="18"/>
      <w:szCs w:val="18"/>
    </w:rPr>
  </w:style>
  <w:style w:type="character" w:customStyle="1" w:styleId="13">
    <w:name w:val="页脚 Char"/>
    <w:basedOn w:val="11"/>
    <w:link w:val="6"/>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Sky123.Org</Company>
  <Pages>4</Pages>
  <Words>1433</Words>
  <Characters>1499</Characters>
  <Lines>2</Lines>
  <Paragraphs>1</Paragraphs>
  <TotalTime>1</TotalTime>
  <ScaleCrop>false</ScaleCrop>
  <LinksUpToDate>false</LinksUpToDate>
  <CharactersWithSpaces>1510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2019-08-19T01:06:00Z</dcterms:created>
  <dc:creator>Sky123.Org</dc:creator>
  <cp:lastModifiedBy>小西炮</cp:lastModifiedBy>
  <cp:lastPrinted>2025-08-24T02:02:00Z</cp:lastPrinted>
  <dcterms:modified xsi:type="dcterms:W3CDTF">2026-09-22T09:13:18Z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3115989309D741DA945EE44A488D69E1</vt:lpwstr>
  </property>
  <property fmtid="{D5CDD505-2E9C-101B-9397-08002B2CF9AE}" pid="4" name="KSOTemplateDocerSaveRecord">
    <vt:lpwstr>eyJoZGlkIjoiYjcwZWFjMGFkODg3MmY5MDM1NzA1ZjY0NjM1MjIzZTYiLCJ1c2VySWQiOiI0MTQwNjAwMjEifQ==</vt:lpwstr>
  </property>
</Properties>
</file>