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D264CC">
      <w:pPr>
        <w:spacing w:line="600" w:lineRule="exact"/>
        <w:jc w:val="center"/>
        <w:outlineLvl w:val="0"/>
        <w:rPr>
          <w:rFonts w:hint="eastAsia" w:ascii="方正小标宋_GBK" w:hAnsi="方正小标宋_GBK" w:eastAsia="方正小标宋_GBK" w:cs="方正小标宋_GBK"/>
          <w:b/>
          <w:sz w:val="44"/>
          <w:szCs w:val="44"/>
        </w:rPr>
      </w:pPr>
      <w:bookmarkStart w:id="0" w:name="_Toc15396616"/>
      <w:r>
        <w:rPr>
          <w:rFonts w:hint="eastAsia" w:ascii="方正小标宋_GBK" w:hAnsi="方正小标宋_GBK" w:eastAsia="方正小标宋_GBK" w:cs="方正小标宋_GBK"/>
          <w:b/>
          <w:sz w:val="44"/>
          <w:szCs w:val="44"/>
          <w:lang w:eastAsia="zh-CN"/>
        </w:rPr>
        <w:t>黑水县供销社</w:t>
      </w:r>
      <w:r>
        <w:rPr>
          <w:rFonts w:hint="eastAsia" w:ascii="方正小标宋_GBK" w:hAnsi="方正小标宋_GBK" w:eastAsia="方正小标宋_GBK" w:cs="方正小标宋_GBK"/>
          <w:b/>
          <w:sz w:val="44"/>
          <w:szCs w:val="44"/>
        </w:rPr>
        <w:t>20</w:t>
      </w:r>
      <w:r>
        <w:rPr>
          <w:rFonts w:hint="eastAsia" w:ascii="方正小标宋_GBK" w:hAnsi="方正小标宋_GBK" w:eastAsia="方正小标宋_GBK" w:cs="方正小标宋_GBK"/>
          <w:b/>
          <w:sz w:val="44"/>
          <w:szCs w:val="44"/>
          <w:lang w:val="en-US" w:eastAsia="zh-CN"/>
        </w:rPr>
        <w:t>25</w:t>
      </w:r>
      <w:r>
        <w:rPr>
          <w:rFonts w:hint="eastAsia" w:ascii="方正小标宋_GBK" w:hAnsi="方正小标宋_GBK" w:eastAsia="方正小标宋_GBK" w:cs="方正小标宋_GBK"/>
          <w:b/>
          <w:sz w:val="44"/>
          <w:szCs w:val="44"/>
        </w:rPr>
        <w:t>年部门</w:t>
      </w:r>
    </w:p>
    <w:p w14:paraId="3E07D099">
      <w:pPr>
        <w:spacing w:line="600" w:lineRule="exact"/>
        <w:jc w:val="center"/>
        <w:outlineLvl w:val="0"/>
        <w:rPr>
          <w:rFonts w:hint="eastAsia" w:ascii="方正小标宋_GBK" w:hAnsi="方正小标宋_GBK" w:eastAsia="方正小标宋_GBK" w:cs="方正小标宋_GBK"/>
          <w:b/>
          <w:sz w:val="44"/>
          <w:szCs w:val="44"/>
        </w:rPr>
      </w:pPr>
      <w:r>
        <w:rPr>
          <w:rFonts w:hint="eastAsia" w:ascii="方正小标宋_GBK" w:hAnsi="方正小标宋_GBK" w:eastAsia="方正小标宋_GBK" w:cs="方正小标宋_GBK"/>
          <w:b/>
          <w:sz w:val="44"/>
          <w:szCs w:val="44"/>
        </w:rPr>
        <w:t>整体支出绩效评价报告</w:t>
      </w:r>
      <w:bookmarkEnd w:id="0"/>
    </w:p>
    <w:p w14:paraId="68F64457">
      <w:pPr>
        <w:spacing w:line="580" w:lineRule="exact"/>
        <w:ind w:firstLine="643" w:firstLineChars="200"/>
        <w:rPr>
          <w:rFonts w:ascii="仿宋_GB2312" w:hAnsi="黑体" w:eastAsia="仿宋_GB2312" w:cs="黑体"/>
          <w:b/>
          <w:sz w:val="32"/>
          <w:szCs w:val="32"/>
        </w:rPr>
      </w:pPr>
    </w:p>
    <w:p w14:paraId="333AF2AF">
      <w:pPr>
        <w:spacing w:line="580" w:lineRule="exact"/>
        <w:ind w:firstLine="640" w:firstLineChars="200"/>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一、部门（单位）概况</w:t>
      </w:r>
    </w:p>
    <w:p w14:paraId="58612871">
      <w:pPr>
        <w:widowControl/>
        <w:adjustRightInd w:val="0"/>
        <w:snapToGrid w:val="0"/>
        <w:spacing w:line="578" w:lineRule="exact"/>
        <w:ind w:firstLine="643" w:firstLineChars="200"/>
        <w:contextualSpacing/>
        <w:jc w:val="left"/>
        <w:rPr>
          <w:rFonts w:ascii="仿宋_GB2312" w:hAnsi="仿宋" w:eastAsia="仿宋_GB2312" w:cs="仿宋_GB2312"/>
          <w:sz w:val="32"/>
          <w:szCs w:val="32"/>
        </w:rPr>
      </w:pPr>
      <w:r>
        <w:rPr>
          <w:rFonts w:hint="eastAsia" w:ascii="楷体_GB2312" w:hAnsi="楷体_GB2312" w:eastAsia="楷体_GB2312" w:cs="楷体_GB2312"/>
          <w:b/>
          <w:bCs/>
          <w:sz w:val="32"/>
          <w:szCs w:val="32"/>
        </w:rPr>
        <w:t>（一）机构组成。</w:t>
      </w:r>
      <w:r>
        <w:rPr>
          <w:rFonts w:hint="default" w:ascii="仿宋_GB2312" w:hAnsi="仿宋" w:eastAsia="仿宋_GB2312" w:cs="仿宋_GB2312"/>
          <w:sz w:val="32"/>
          <w:szCs w:val="32"/>
        </w:rPr>
        <w:t>黑水县供销社是属于独立核算一级单位。本单位共设置办公室、业务股、基层股、财务</w:t>
      </w:r>
      <w:r>
        <w:rPr>
          <w:rFonts w:hint="default" w:ascii="仿宋_GB2312" w:hAnsi="仿宋" w:eastAsia="仿宋_GB2312" w:cs="仿宋_GB2312"/>
          <w:sz w:val="32"/>
          <w:szCs w:val="32"/>
          <w:lang w:val="en-US" w:eastAsia="zh-CN"/>
        </w:rPr>
        <w:t>股4个</w:t>
      </w:r>
      <w:r>
        <w:rPr>
          <w:rFonts w:hint="default" w:ascii="仿宋_GB2312" w:hAnsi="仿宋" w:eastAsia="仿宋_GB2312" w:cs="仿宋_GB2312"/>
          <w:sz w:val="32"/>
          <w:szCs w:val="32"/>
        </w:rPr>
        <w:t>股室。</w:t>
      </w:r>
    </w:p>
    <w:p w14:paraId="5A23E34D">
      <w:pPr>
        <w:widowControl/>
        <w:adjustRightInd w:val="0"/>
        <w:snapToGrid w:val="0"/>
        <w:spacing w:line="578" w:lineRule="exact"/>
        <w:ind w:firstLine="643" w:firstLineChars="200"/>
        <w:contextualSpacing/>
        <w:jc w:val="left"/>
        <w:rPr>
          <w:rFonts w:hint="eastAsia" w:ascii="仿宋_GB2312" w:hAnsi="仿宋" w:eastAsia="仿宋_GB2312" w:cs="仿宋_GB2312"/>
          <w:sz w:val="32"/>
          <w:szCs w:val="32"/>
        </w:rPr>
      </w:pPr>
      <w:r>
        <w:rPr>
          <w:rFonts w:hint="eastAsia" w:ascii="楷体_GB2312" w:hAnsi="楷体_GB2312" w:eastAsia="楷体_GB2312" w:cs="楷体_GB2312"/>
          <w:b/>
          <w:bCs/>
          <w:sz w:val="32"/>
          <w:szCs w:val="32"/>
          <w:lang w:eastAsia="zh-CN"/>
        </w:rPr>
        <w:t>（二）</w:t>
      </w:r>
      <w:r>
        <w:rPr>
          <w:rFonts w:hint="eastAsia" w:ascii="楷体_GB2312" w:hAnsi="楷体_GB2312" w:eastAsia="楷体_GB2312" w:cs="楷体_GB2312"/>
          <w:b/>
          <w:bCs/>
          <w:sz w:val="32"/>
          <w:szCs w:val="32"/>
        </w:rPr>
        <w:t>机构职能。</w:t>
      </w:r>
      <w:r>
        <w:rPr>
          <w:rFonts w:hint="eastAsia" w:eastAsia="方正仿宋_GBK" w:cs="Times New Roman"/>
          <w:sz w:val="32"/>
          <w:szCs w:val="32"/>
          <w:lang w:val="en-US" w:eastAsia="zh-CN"/>
        </w:rPr>
        <w:t>1.</w:t>
      </w:r>
      <w:r>
        <w:rPr>
          <w:rFonts w:hint="default" w:ascii="Times New Roman" w:hAnsi="Times New Roman" w:eastAsia="方正仿宋_GBK" w:cs="Times New Roman"/>
          <w:sz w:val="32"/>
          <w:szCs w:val="32"/>
        </w:rPr>
        <w:t>宣传贯彻中央“三农”工作方针政策和</w:t>
      </w:r>
      <w:r>
        <w:rPr>
          <w:rFonts w:hint="default" w:ascii="Times New Roman" w:hAnsi="Times New Roman" w:eastAsia="方正仿宋_GBK" w:cs="Times New Roman"/>
          <w:sz w:val="32"/>
          <w:szCs w:val="32"/>
          <w:lang w:eastAsia="zh-CN"/>
        </w:rPr>
        <w:t>县</w:t>
      </w:r>
      <w:r>
        <w:rPr>
          <w:rFonts w:hint="default" w:ascii="Times New Roman" w:hAnsi="Times New Roman" w:eastAsia="方正仿宋_GBK" w:cs="Times New Roman"/>
          <w:sz w:val="32"/>
          <w:szCs w:val="32"/>
        </w:rPr>
        <w:t>委、</w:t>
      </w:r>
      <w:r>
        <w:rPr>
          <w:rFonts w:hint="default" w:ascii="Times New Roman" w:hAnsi="Times New Roman" w:eastAsia="方正仿宋_GBK" w:cs="Times New Roman"/>
          <w:sz w:val="32"/>
          <w:szCs w:val="32"/>
          <w:lang w:eastAsia="zh-CN"/>
        </w:rPr>
        <w:t>县</w:t>
      </w:r>
      <w:r>
        <w:rPr>
          <w:rFonts w:hint="default" w:ascii="Times New Roman" w:hAnsi="Times New Roman" w:eastAsia="方正仿宋_GBK" w:cs="Times New Roman"/>
          <w:sz w:val="32"/>
          <w:szCs w:val="32"/>
        </w:rPr>
        <w:t>政府有关决策部署，</w:t>
      </w:r>
      <w:r>
        <w:rPr>
          <w:rFonts w:hint="eastAsia" w:ascii="Times New Roman" w:hAnsi="Times New Roman" w:eastAsia="方正仿宋_GBK" w:cs="Times New Roman"/>
          <w:sz w:val="32"/>
          <w:szCs w:val="32"/>
          <w:lang w:val="en-US" w:eastAsia="zh-CN"/>
        </w:rPr>
        <w:t>负责全县事业供销合作事业发展</w:t>
      </w:r>
      <w:r>
        <w:rPr>
          <w:rFonts w:hint="default" w:ascii="Times New Roman" w:hAnsi="Times New Roman" w:eastAsia="方正仿宋_GBK" w:cs="Times New Roman"/>
          <w:sz w:val="32"/>
          <w:szCs w:val="32"/>
          <w:lang w:val="en-US" w:eastAsia="zh-CN"/>
        </w:rPr>
        <w:t>。</w:t>
      </w:r>
      <w:r>
        <w:rPr>
          <w:rFonts w:hint="eastAsia" w:eastAsia="方正仿宋_GBK" w:cs="Times New Roman"/>
          <w:color w:val="000000"/>
          <w:sz w:val="32"/>
          <w:szCs w:val="32"/>
          <w:lang w:val="en-US" w:eastAsia="zh-CN"/>
        </w:rPr>
        <w:t>2.</w:t>
      </w:r>
      <w:r>
        <w:rPr>
          <w:rFonts w:hint="default" w:ascii="Times New Roman" w:hAnsi="Times New Roman" w:eastAsia="方正仿宋_GBK" w:cs="Times New Roman"/>
          <w:color w:val="000000"/>
          <w:sz w:val="32"/>
          <w:szCs w:val="32"/>
        </w:rPr>
        <w:t>负责研究制定</w:t>
      </w:r>
      <w:r>
        <w:rPr>
          <w:rFonts w:hint="default" w:ascii="Times New Roman" w:hAnsi="Times New Roman" w:eastAsia="方正仿宋_GBK" w:cs="Times New Roman"/>
          <w:color w:val="000000"/>
          <w:sz w:val="32"/>
          <w:szCs w:val="32"/>
          <w:lang w:eastAsia="zh-CN"/>
        </w:rPr>
        <w:t>县</w:t>
      </w:r>
      <w:r>
        <w:rPr>
          <w:rFonts w:hint="default" w:ascii="Times New Roman" w:hAnsi="Times New Roman" w:eastAsia="方正仿宋_GBK" w:cs="Times New Roman"/>
          <w:color w:val="000000"/>
          <w:sz w:val="32"/>
          <w:szCs w:val="32"/>
        </w:rPr>
        <w:t>供销合作社发展规划并组织实施，指导服务</w:t>
      </w:r>
      <w:r>
        <w:rPr>
          <w:rFonts w:hint="default" w:ascii="Times New Roman" w:hAnsi="Times New Roman" w:eastAsia="方正仿宋_GBK" w:cs="Times New Roman"/>
          <w:color w:val="000000"/>
          <w:sz w:val="32"/>
          <w:szCs w:val="32"/>
          <w:lang w:eastAsia="zh-CN"/>
        </w:rPr>
        <w:t>基层</w:t>
      </w:r>
      <w:r>
        <w:rPr>
          <w:rFonts w:hint="default" w:ascii="Times New Roman" w:hAnsi="Times New Roman" w:eastAsia="方正仿宋_GBK" w:cs="Times New Roman"/>
          <w:color w:val="000000"/>
          <w:sz w:val="32"/>
          <w:szCs w:val="32"/>
        </w:rPr>
        <w:t>合作社系统改革发展。</w:t>
      </w:r>
      <w:r>
        <w:rPr>
          <w:rFonts w:hint="eastAsia" w:eastAsia="方正仿宋_GBK" w:cs="Times New Roman"/>
          <w:sz w:val="32"/>
          <w:szCs w:val="32"/>
          <w:lang w:val="en-US" w:eastAsia="zh-CN"/>
        </w:rPr>
        <w:t>3.</w:t>
      </w:r>
      <w:r>
        <w:rPr>
          <w:rFonts w:hint="default" w:ascii="Times New Roman" w:hAnsi="Times New Roman" w:eastAsia="方正仿宋_GBK" w:cs="Times New Roman"/>
          <w:sz w:val="32"/>
          <w:szCs w:val="32"/>
        </w:rPr>
        <w:t>履行社有资产运营指导和监督管理职责，发展社有企业，确保社有企业为农服务方向，落实社有资产保值增值和安全责任。</w:t>
      </w:r>
      <w:r>
        <w:rPr>
          <w:rFonts w:hint="eastAsia" w:eastAsia="方正仿宋_GBK" w:cs="Times New Roman"/>
          <w:sz w:val="32"/>
          <w:szCs w:val="32"/>
          <w:lang w:val="en-US" w:eastAsia="zh-CN"/>
        </w:rPr>
        <w:t>4.</w:t>
      </w:r>
      <w:r>
        <w:rPr>
          <w:rFonts w:hint="default" w:ascii="Times New Roman" w:hAnsi="Times New Roman" w:eastAsia="方正仿宋_GBK" w:cs="Times New Roman"/>
          <w:sz w:val="32"/>
          <w:szCs w:val="32"/>
        </w:rPr>
        <w:t>根据授权对重要生产生活资料的经营、储备进行组织、协调和管理，承担政府委托的公益性服务和其他任务。</w:t>
      </w:r>
      <w:r>
        <w:rPr>
          <w:rFonts w:hint="eastAsia" w:eastAsia="方正仿宋_GBK" w:cs="Times New Roman"/>
          <w:sz w:val="32"/>
          <w:szCs w:val="32"/>
          <w:lang w:val="en-US" w:eastAsia="zh-CN"/>
        </w:rPr>
        <w:t>5.</w:t>
      </w:r>
      <w:r>
        <w:rPr>
          <w:rFonts w:hint="default" w:ascii="Times New Roman" w:hAnsi="Times New Roman" w:eastAsia="方正仿宋_GBK" w:cs="Times New Roman"/>
          <w:sz w:val="32"/>
          <w:szCs w:val="32"/>
        </w:rPr>
        <w:t>开展农业生产经营服务、城乡消费品流通服务、再生资源回收利用服务和生产、供销、信用“三位一体”综合合作等业务活动。</w:t>
      </w:r>
      <w:r>
        <w:rPr>
          <w:rFonts w:hint="eastAsia" w:eastAsia="方正仿宋_GBK" w:cs="Times New Roman"/>
          <w:sz w:val="32"/>
          <w:szCs w:val="32"/>
          <w:lang w:val="en-US" w:eastAsia="zh-CN"/>
        </w:rPr>
        <w:t>6.</w:t>
      </w:r>
      <w:r>
        <w:rPr>
          <w:rFonts w:hint="default" w:ascii="Times New Roman" w:hAnsi="Times New Roman" w:eastAsia="方正仿宋_GBK" w:cs="Times New Roman"/>
          <w:sz w:val="32"/>
          <w:szCs w:val="32"/>
        </w:rPr>
        <w:t>领办创办农民专业合作社，发展基层供销合作社，更好履行为农服务职责。</w:t>
      </w:r>
      <w:r>
        <w:rPr>
          <w:rFonts w:hint="eastAsia" w:eastAsia="方正仿宋_GBK" w:cs="Times New Roman"/>
          <w:sz w:val="32"/>
          <w:szCs w:val="32"/>
          <w:lang w:val="en-US" w:eastAsia="zh-CN"/>
        </w:rPr>
        <w:t>7.</w:t>
      </w:r>
      <w:r>
        <w:rPr>
          <w:rFonts w:hint="default" w:ascii="Times New Roman" w:hAnsi="Times New Roman" w:eastAsia="方正仿宋_GBK" w:cs="Times New Roman"/>
          <w:sz w:val="32"/>
          <w:szCs w:val="32"/>
        </w:rPr>
        <w:t>推进供销合作社法治建设，研究提出促进农村经济社会和行业发展的政策法规建议，维护</w:t>
      </w:r>
      <w:r>
        <w:rPr>
          <w:rFonts w:hint="default" w:ascii="Times New Roman" w:hAnsi="Times New Roman" w:eastAsia="方正仿宋_GBK" w:cs="Times New Roman"/>
          <w:sz w:val="32"/>
          <w:szCs w:val="32"/>
          <w:lang w:val="en-US" w:eastAsia="zh-CN"/>
        </w:rPr>
        <w:t>黑水</w:t>
      </w:r>
      <w:r>
        <w:rPr>
          <w:rFonts w:hint="default" w:ascii="Times New Roman" w:hAnsi="Times New Roman" w:eastAsia="方正仿宋_GBK" w:cs="Times New Roman"/>
          <w:sz w:val="32"/>
          <w:szCs w:val="32"/>
          <w:lang w:eastAsia="zh-CN"/>
        </w:rPr>
        <w:t>县</w:t>
      </w:r>
      <w:r>
        <w:rPr>
          <w:rFonts w:hint="default" w:ascii="Times New Roman" w:hAnsi="Times New Roman" w:eastAsia="方正仿宋_GBK" w:cs="Times New Roman"/>
          <w:sz w:val="32"/>
          <w:szCs w:val="32"/>
        </w:rPr>
        <w:t>供销合作社的合法权益。</w:t>
      </w:r>
      <w:r>
        <w:rPr>
          <w:rFonts w:hint="eastAsia" w:eastAsia="方正仿宋_GBK" w:cs="Times New Roman"/>
          <w:sz w:val="32"/>
          <w:szCs w:val="32"/>
          <w:lang w:val="en-US" w:eastAsia="zh-CN"/>
        </w:rPr>
        <w:t>8.</w:t>
      </w:r>
      <w:r>
        <w:rPr>
          <w:rFonts w:hint="default" w:ascii="Times New Roman" w:hAnsi="Times New Roman" w:eastAsia="方正仿宋_GBK" w:cs="Times New Roman"/>
          <w:sz w:val="32"/>
          <w:szCs w:val="32"/>
        </w:rPr>
        <w:t>组织县供销社参与和推进农业产业经营，培育农产品市场，组织发展专业合作社、消费合作社等中介服务组织，培育产业化龙头企业，加强商品供求、市场、信息服务体系建设。</w:t>
      </w:r>
      <w:r>
        <w:rPr>
          <w:rFonts w:hint="eastAsia" w:eastAsia="方正仿宋_GBK" w:cs="Times New Roman"/>
          <w:sz w:val="32"/>
          <w:szCs w:val="32"/>
          <w:lang w:val="en-US" w:eastAsia="zh-CN"/>
        </w:rPr>
        <w:t>9.</w:t>
      </w:r>
      <w:r>
        <w:rPr>
          <w:rFonts w:hint="default" w:ascii="Times New Roman" w:hAnsi="Times New Roman" w:eastAsia="方正仿宋_GBK" w:cs="Times New Roman"/>
          <w:sz w:val="32"/>
          <w:szCs w:val="32"/>
          <w:lang w:eastAsia="zh-CN"/>
        </w:rPr>
        <w:t>管理和指导乡镇基层社。</w:t>
      </w:r>
      <w:r>
        <w:rPr>
          <w:rFonts w:hint="eastAsia" w:eastAsia="方正仿宋_GBK" w:cs="Times New Roman"/>
          <w:sz w:val="32"/>
          <w:szCs w:val="32"/>
          <w:lang w:val="en-US" w:eastAsia="zh-CN"/>
        </w:rPr>
        <w:t>10.</w:t>
      </w:r>
      <w:r>
        <w:rPr>
          <w:rFonts w:hint="default" w:ascii="Times New Roman" w:hAnsi="Times New Roman" w:eastAsia="方正仿宋_GBK" w:cs="Times New Roman"/>
          <w:sz w:val="32"/>
          <w:szCs w:val="32"/>
        </w:rPr>
        <w:t>完成</w:t>
      </w:r>
      <w:r>
        <w:rPr>
          <w:rFonts w:hint="default" w:ascii="Times New Roman" w:hAnsi="Times New Roman" w:eastAsia="方正仿宋_GBK" w:cs="Times New Roman"/>
          <w:sz w:val="32"/>
          <w:szCs w:val="32"/>
          <w:lang w:eastAsia="zh-CN"/>
        </w:rPr>
        <w:t>县</w:t>
      </w:r>
      <w:r>
        <w:rPr>
          <w:rFonts w:hint="default" w:ascii="Times New Roman" w:hAnsi="Times New Roman" w:eastAsia="方正仿宋_GBK" w:cs="Times New Roman"/>
          <w:sz w:val="32"/>
          <w:szCs w:val="32"/>
        </w:rPr>
        <w:t>委、</w:t>
      </w:r>
      <w:r>
        <w:rPr>
          <w:rFonts w:hint="default" w:ascii="Times New Roman" w:hAnsi="Times New Roman" w:eastAsia="方正仿宋_GBK" w:cs="Times New Roman"/>
          <w:sz w:val="32"/>
          <w:szCs w:val="32"/>
          <w:lang w:eastAsia="zh-CN"/>
        </w:rPr>
        <w:t>县</w:t>
      </w:r>
      <w:r>
        <w:rPr>
          <w:rFonts w:hint="default" w:ascii="Times New Roman" w:hAnsi="Times New Roman" w:eastAsia="方正仿宋_GBK" w:cs="Times New Roman"/>
          <w:sz w:val="32"/>
          <w:szCs w:val="32"/>
        </w:rPr>
        <w:t>政府交办的其他任务。</w:t>
      </w:r>
    </w:p>
    <w:p w14:paraId="657FA075">
      <w:pPr>
        <w:snapToGrid w:val="0"/>
        <w:spacing w:line="360" w:lineRule="auto"/>
        <w:ind w:firstLine="643" w:firstLineChars="200"/>
        <w:rPr>
          <w:szCs w:val="32"/>
        </w:rPr>
      </w:pPr>
      <w:r>
        <w:rPr>
          <w:rFonts w:hint="eastAsia" w:ascii="楷体_GB2312" w:hAnsi="楷体_GB2312" w:eastAsia="楷体_GB2312" w:cs="楷体_GB2312"/>
          <w:b/>
          <w:bCs/>
          <w:sz w:val="32"/>
          <w:szCs w:val="32"/>
          <w:lang w:val="zh-CN" w:eastAsia="zh-CN"/>
        </w:rPr>
        <w:t>（三）人员概况。</w:t>
      </w:r>
      <w:r>
        <w:rPr>
          <w:rFonts w:hint="default" w:ascii="Times New Roman" w:hAnsi="Times New Roman" w:eastAsia="方正仿宋_GBK" w:cs="Times New Roman"/>
          <w:sz w:val="32"/>
          <w:szCs w:val="32"/>
        </w:rPr>
        <w:t>截至202</w:t>
      </w:r>
      <w:r>
        <w:rPr>
          <w:rFonts w:hint="eastAsia" w:ascii="Times New Roman" w:hAnsi="Times New Roman" w:eastAsia="方正仿宋_GBK" w:cs="Times New Roman"/>
          <w:sz w:val="32"/>
          <w:szCs w:val="32"/>
          <w:lang w:val="en-US" w:eastAsia="zh-CN"/>
        </w:rPr>
        <w:t>5</w:t>
      </w:r>
      <w:r>
        <w:rPr>
          <w:rFonts w:hint="default" w:ascii="Times New Roman" w:hAnsi="Times New Roman" w:eastAsia="方正仿宋_GBK" w:cs="Times New Roman"/>
          <w:sz w:val="32"/>
          <w:szCs w:val="32"/>
        </w:rPr>
        <w:t>年末，</w:t>
      </w:r>
      <w:r>
        <w:rPr>
          <w:rFonts w:hint="eastAsia" w:ascii="Times New Roman" w:hAnsi="Times New Roman" w:eastAsia="方正仿宋_GBK" w:cs="Times New Roman"/>
          <w:sz w:val="32"/>
          <w:szCs w:val="32"/>
          <w:lang w:eastAsia="zh-CN"/>
        </w:rPr>
        <w:t>黑水县供销社</w:t>
      </w:r>
      <w:r>
        <w:rPr>
          <w:rFonts w:hint="eastAsia" w:ascii="Times New Roman" w:hAnsi="Times New Roman" w:eastAsia="方正仿宋_GBK" w:cs="Times New Roman"/>
          <w:sz w:val="32"/>
          <w:szCs w:val="32"/>
        </w:rPr>
        <w:t xml:space="preserve">总编制 </w:t>
      </w:r>
      <w:r>
        <w:rPr>
          <w:rFonts w:hint="eastAsia" w:ascii="Times New Roman" w:hAnsi="Times New Roman" w:eastAsia="方正仿宋_GBK" w:cs="Times New Roman"/>
          <w:sz w:val="32"/>
          <w:szCs w:val="32"/>
          <w:lang w:val="en-US" w:eastAsia="zh-CN"/>
        </w:rPr>
        <w:t>12</w:t>
      </w:r>
      <w:r>
        <w:rPr>
          <w:rFonts w:hint="eastAsia" w:ascii="Times New Roman" w:hAnsi="Times New Roman" w:eastAsia="方正仿宋_GBK" w:cs="Times New Roman"/>
          <w:sz w:val="32"/>
          <w:szCs w:val="32"/>
        </w:rPr>
        <w:t>名</w:t>
      </w:r>
      <w:r>
        <w:rPr>
          <w:rFonts w:hint="eastAsia" w:ascii="Times New Roman" w:hAnsi="Times New Roman" w:eastAsia="方正仿宋_GBK" w:cs="Times New Roman"/>
          <w:sz w:val="32"/>
          <w:szCs w:val="32"/>
          <w:lang w:eastAsia="zh-CN"/>
        </w:rPr>
        <w:t>，</w:t>
      </w:r>
      <w:r>
        <w:rPr>
          <w:rFonts w:hint="eastAsia" w:ascii="Times New Roman" w:hAnsi="Times New Roman" w:eastAsia="方正仿宋_GBK" w:cs="Times New Roman"/>
          <w:sz w:val="32"/>
          <w:szCs w:val="32"/>
        </w:rPr>
        <w:t>其中</w:t>
      </w:r>
      <w:r>
        <w:rPr>
          <w:rFonts w:hint="eastAsia" w:ascii="Times New Roman" w:hAnsi="Times New Roman" w:eastAsia="方正仿宋_GBK" w:cs="Times New Roman"/>
          <w:sz w:val="32"/>
          <w:szCs w:val="32"/>
          <w:lang w:eastAsia="zh-CN"/>
        </w:rPr>
        <w:t>：</w:t>
      </w:r>
      <w:r>
        <w:rPr>
          <w:rFonts w:hint="eastAsia" w:ascii="Times New Roman" w:hAnsi="Times New Roman" w:eastAsia="方正仿宋_GBK" w:cs="Times New Roman"/>
          <w:sz w:val="32"/>
          <w:szCs w:val="32"/>
        </w:rPr>
        <w:t>参公编制</w:t>
      </w:r>
      <w:r>
        <w:rPr>
          <w:rFonts w:hint="eastAsia" w:ascii="Times New Roman" w:hAnsi="Times New Roman" w:eastAsia="方正仿宋_GBK" w:cs="Times New Roman"/>
          <w:sz w:val="32"/>
          <w:szCs w:val="32"/>
          <w:lang w:val="en-US" w:eastAsia="zh-CN"/>
        </w:rPr>
        <w:t>12</w:t>
      </w:r>
      <w:r>
        <w:rPr>
          <w:rFonts w:hint="eastAsia" w:ascii="Times New Roman" w:hAnsi="Times New Roman" w:eastAsia="方正仿宋_GBK" w:cs="Times New Roman"/>
          <w:sz w:val="32"/>
          <w:szCs w:val="32"/>
        </w:rPr>
        <w:t>名</w:t>
      </w:r>
      <w:r>
        <w:rPr>
          <w:rFonts w:hint="eastAsia" w:ascii="Times New Roman" w:hAnsi="Times New Roman" w:eastAsia="方正仿宋_GBK" w:cs="Times New Roman"/>
          <w:sz w:val="32"/>
          <w:szCs w:val="32"/>
          <w:lang w:eastAsia="zh-CN"/>
        </w:rPr>
        <w:t>。</w:t>
      </w:r>
      <w:r>
        <w:rPr>
          <w:rFonts w:hint="eastAsia" w:ascii="Times New Roman" w:hAnsi="Times New Roman" w:eastAsia="方正仿宋_GBK" w:cs="Times New Roman"/>
          <w:sz w:val="32"/>
          <w:szCs w:val="32"/>
          <w:lang w:val="en-US" w:eastAsia="zh-CN"/>
        </w:rPr>
        <w:t>2025年年末</w:t>
      </w:r>
      <w:r>
        <w:rPr>
          <w:rFonts w:hint="eastAsia" w:ascii="Times New Roman" w:hAnsi="Times New Roman" w:eastAsia="方正仿宋_GBK" w:cs="Times New Roman"/>
          <w:sz w:val="32"/>
          <w:szCs w:val="32"/>
        </w:rPr>
        <w:t>在职人员</w:t>
      </w:r>
      <w:r>
        <w:rPr>
          <w:rFonts w:hint="eastAsia" w:ascii="Times New Roman" w:hAnsi="Times New Roman" w:eastAsia="方正仿宋_GBK" w:cs="Times New Roman"/>
          <w:sz w:val="32"/>
          <w:szCs w:val="32"/>
          <w:lang w:val="en-US" w:eastAsia="zh-CN"/>
        </w:rPr>
        <w:t>12名，与</w:t>
      </w:r>
      <w:r>
        <w:rPr>
          <w:rFonts w:hint="eastAsia" w:ascii="Times New Roman" w:hAnsi="Times New Roman" w:eastAsia="方正仿宋_GBK" w:cs="Times New Roman"/>
          <w:sz w:val="32"/>
          <w:szCs w:val="32"/>
        </w:rPr>
        <w:t>比上年</w:t>
      </w:r>
      <w:r>
        <w:rPr>
          <w:rFonts w:hint="eastAsia" w:ascii="Times New Roman" w:hAnsi="Times New Roman" w:eastAsia="方正仿宋_GBK" w:cs="Times New Roman"/>
          <w:sz w:val="32"/>
          <w:szCs w:val="32"/>
          <w:lang w:eastAsia="zh-CN"/>
        </w:rPr>
        <w:t>对比</w:t>
      </w:r>
      <w:r>
        <w:rPr>
          <w:rFonts w:hint="eastAsia" w:ascii="Times New Roman" w:hAnsi="Times New Roman" w:eastAsia="方正仿宋_GBK" w:cs="Times New Roman"/>
          <w:sz w:val="32"/>
          <w:szCs w:val="32"/>
          <w:lang w:val="en-US" w:eastAsia="zh-CN"/>
        </w:rPr>
        <w:t>增加2名</w:t>
      </w:r>
      <w:r>
        <w:rPr>
          <w:rFonts w:hint="eastAsia" w:ascii="Times New Roman" w:hAnsi="Times New Roman" w:eastAsia="方正仿宋_GBK" w:cs="Times New Roman"/>
          <w:sz w:val="32"/>
          <w:szCs w:val="32"/>
        </w:rPr>
        <w:t>。</w:t>
      </w:r>
    </w:p>
    <w:p w14:paraId="15C82114">
      <w:pPr>
        <w:spacing w:line="580" w:lineRule="exact"/>
        <w:ind w:firstLine="640" w:firstLineChars="200"/>
        <w:rPr>
          <w:rFonts w:ascii="仿宋_GB2312" w:hAnsi="黑体" w:eastAsia="仿宋_GB2312" w:cs="黑体"/>
          <w:sz w:val="32"/>
          <w:szCs w:val="32"/>
        </w:rPr>
      </w:pPr>
      <w:r>
        <w:rPr>
          <w:rFonts w:hint="eastAsia" w:ascii="仿宋_GB2312" w:hAnsi="黑体" w:eastAsia="仿宋_GB2312" w:cs="黑体"/>
          <w:sz w:val="32"/>
          <w:szCs w:val="32"/>
        </w:rPr>
        <w:t>二、部门财政资金收支情况</w:t>
      </w:r>
    </w:p>
    <w:p w14:paraId="6BFA55CF">
      <w:pPr>
        <w:spacing w:line="580" w:lineRule="exact"/>
        <w:ind w:firstLine="643" w:firstLineChars="200"/>
        <w:rPr>
          <w:rFonts w:ascii="仿宋_GB2312" w:hAnsi="仿宋" w:eastAsia="仿宋_GB2312" w:cs="仿宋_GB2312"/>
          <w:sz w:val="32"/>
          <w:szCs w:val="32"/>
        </w:rPr>
      </w:pPr>
      <w:r>
        <w:rPr>
          <w:rFonts w:hint="eastAsia" w:ascii="楷体_GB2312" w:hAnsi="楷体_GB2312" w:eastAsia="楷体_GB2312" w:cs="楷体_GB2312"/>
          <w:b/>
          <w:bCs/>
          <w:sz w:val="32"/>
          <w:szCs w:val="32"/>
        </w:rPr>
        <w:t>（一）部门财政资金收入情况。</w:t>
      </w:r>
      <w:r>
        <w:rPr>
          <w:rFonts w:hint="eastAsia" w:ascii="仿宋_GB2312" w:hAnsi="仿宋" w:eastAsia="仿宋_GB2312" w:cs="仿宋_GB2312"/>
          <w:sz w:val="32"/>
          <w:szCs w:val="32"/>
          <w:lang w:eastAsia="zh-CN"/>
        </w:rPr>
        <w:t>黑水县供销社</w:t>
      </w:r>
      <w:r>
        <w:rPr>
          <w:rFonts w:hint="eastAsia" w:ascii="仿宋_GB2312" w:hAnsi="仿宋" w:eastAsia="仿宋_GB2312" w:cs="仿宋_GB2312"/>
          <w:sz w:val="32"/>
          <w:szCs w:val="32"/>
          <w:lang w:val="en-US" w:eastAsia="zh-CN"/>
        </w:rPr>
        <w:t>2025年年初预算收入241.78万元、</w:t>
      </w:r>
      <w:r>
        <w:rPr>
          <w:rFonts w:hint="eastAsia" w:ascii="仿宋_GB2312" w:hAnsi="仿宋" w:eastAsia="仿宋_GB2312" w:cs="仿宋_GB2312"/>
          <w:sz w:val="32"/>
          <w:szCs w:val="32"/>
          <w:lang w:eastAsia="zh-CN"/>
        </w:rPr>
        <w:t>黑水县供销社</w:t>
      </w:r>
      <w:r>
        <w:rPr>
          <w:rFonts w:hint="eastAsia" w:ascii="仿宋_GB2312" w:hAnsi="仿宋" w:eastAsia="仿宋_GB2312" w:cs="仿宋_GB2312"/>
          <w:sz w:val="32"/>
          <w:szCs w:val="32"/>
        </w:rPr>
        <w:t>部门财政资金</w:t>
      </w:r>
      <w:r>
        <w:rPr>
          <w:rFonts w:hint="eastAsia" w:ascii="仿宋_GB2312" w:hAnsi="仿宋" w:eastAsia="仿宋_GB2312" w:cs="仿宋_GB2312"/>
          <w:sz w:val="32"/>
          <w:szCs w:val="32"/>
          <w:lang w:val="en-US" w:eastAsia="zh-CN"/>
        </w:rPr>
        <w:t>决算报表收</w:t>
      </w:r>
      <w:r>
        <w:rPr>
          <w:rFonts w:hint="eastAsia" w:ascii="仿宋_GB2312" w:hAnsi="仿宋" w:eastAsia="仿宋_GB2312" w:cs="仿宋_GB2312"/>
          <w:sz w:val="32"/>
          <w:szCs w:val="32"/>
          <w:lang w:val="en-US" w:eastAsia="zh-CN"/>
        </w:rPr>
        <w:t>入365.92</w:t>
      </w:r>
      <w:r>
        <w:rPr>
          <w:rFonts w:hint="eastAsia" w:ascii="仿宋_GB2312" w:hAnsi="仿宋" w:eastAsia="仿宋_GB2312" w:cs="仿宋_GB2312"/>
          <w:sz w:val="32"/>
          <w:szCs w:val="32"/>
        </w:rPr>
        <w:t>万元</w:t>
      </w:r>
      <w:r>
        <w:rPr>
          <w:rFonts w:hint="eastAsia" w:ascii="仿宋_GB2312" w:hAnsi="仿宋" w:eastAsia="仿宋_GB2312" w:cs="仿宋_GB2312"/>
          <w:sz w:val="32"/>
          <w:szCs w:val="32"/>
          <w:lang w:eastAsia="zh-CN"/>
        </w:rPr>
        <w:t>，</w:t>
      </w:r>
      <w:r>
        <w:rPr>
          <w:rFonts w:hint="eastAsia" w:ascii="仿宋_GB2312" w:hAnsi="仿宋" w:eastAsia="仿宋_GB2312" w:cs="仿宋_GB2312"/>
          <w:sz w:val="32"/>
          <w:szCs w:val="32"/>
        </w:rPr>
        <w:t>其中当年财政拨款收入：</w:t>
      </w:r>
      <w:r>
        <w:rPr>
          <w:rFonts w:hint="eastAsia" w:ascii="仿宋_GB2312" w:hAnsi="仿宋" w:eastAsia="仿宋_GB2312" w:cs="仿宋_GB2312"/>
          <w:sz w:val="32"/>
          <w:szCs w:val="32"/>
          <w:lang w:val="en-US" w:eastAsia="zh-CN"/>
        </w:rPr>
        <w:t>365.92</w:t>
      </w:r>
      <w:r>
        <w:rPr>
          <w:rFonts w:hint="eastAsia" w:ascii="仿宋_GB2312" w:hAnsi="仿宋" w:eastAsia="仿宋_GB2312" w:cs="仿宋_GB2312"/>
          <w:sz w:val="32"/>
          <w:szCs w:val="32"/>
        </w:rPr>
        <w:t>万元，占总收入</w:t>
      </w:r>
      <w:r>
        <w:rPr>
          <w:rFonts w:hint="eastAsia" w:ascii="仿宋_GB2312" w:hAnsi="仿宋" w:eastAsia="仿宋_GB2312" w:cs="仿宋_GB2312"/>
          <w:sz w:val="32"/>
          <w:szCs w:val="32"/>
          <w:lang w:val="en-US" w:eastAsia="zh-CN"/>
        </w:rPr>
        <w:t>100%。</w:t>
      </w:r>
    </w:p>
    <w:p w14:paraId="799207FC">
      <w:pPr>
        <w:widowControl/>
        <w:adjustRightInd w:val="0"/>
        <w:snapToGrid w:val="0"/>
        <w:spacing w:line="578" w:lineRule="exact"/>
        <w:ind w:firstLine="643" w:firstLineChars="200"/>
        <w:contextualSpacing/>
        <w:jc w:val="left"/>
        <w:rPr>
          <w:rFonts w:ascii="仿宋_GB2312" w:hAnsi="仿宋" w:eastAsia="仿宋_GB2312" w:cs="仿宋_GB2312"/>
          <w:sz w:val="32"/>
          <w:szCs w:val="32"/>
        </w:rPr>
      </w:pPr>
      <w:r>
        <w:rPr>
          <w:rFonts w:hint="eastAsia" w:ascii="楷体_GB2312" w:hAnsi="楷体_GB2312" w:eastAsia="楷体_GB2312" w:cs="楷体_GB2312"/>
          <w:b/>
          <w:bCs/>
          <w:sz w:val="32"/>
          <w:szCs w:val="32"/>
        </w:rPr>
        <w:t>（二）部门财政资金支出情况。</w:t>
      </w:r>
      <w:r>
        <w:rPr>
          <w:rFonts w:hint="eastAsia" w:ascii="仿宋_GB2312" w:hAnsi="仿宋" w:eastAsia="仿宋_GB2312" w:cs="仿宋_GB2312"/>
          <w:sz w:val="32"/>
          <w:szCs w:val="32"/>
        </w:rPr>
        <w:t>黑水县供销社202</w:t>
      </w:r>
      <w:r>
        <w:rPr>
          <w:rFonts w:hint="eastAsia" w:ascii="仿宋_GB2312" w:hAnsi="仿宋" w:eastAsia="仿宋_GB2312" w:cs="仿宋_GB2312"/>
          <w:sz w:val="32"/>
          <w:szCs w:val="32"/>
          <w:lang w:val="en-US" w:eastAsia="zh-CN"/>
        </w:rPr>
        <w:t>5</w:t>
      </w:r>
      <w:r>
        <w:rPr>
          <w:rFonts w:hint="eastAsia" w:ascii="仿宋_GB2312" w:hAnsi="仿宋" w:eastAsia="仿宋_GB2312" w:cs="仿宋_GB2312"/>
          <w:sz w:val="32"/>
          <w:szCs w:val="32"/>
        </w:rPr>
        <w:t>年年初预算支出为</w:t>
      </w:r>
      <w:r>
        <w:rPr>
          <w:rFonts w:hint="eastAsia" w:ascii="仿宋_GB2312" w:hAnsi="仿宋" w:eastAsia="仿宋_GB2312" w:cs="仿宋_GB2312"/>
          <w:sz w:val="32"/>
          <w:szCs w:val="32"/>
          <w:lang w:val="en-US" w:eastAsia="zh-CN"/>
        </w:rPr>
        <w:t>241.78</w:t>
      </w:r>
      <w:r>
        <w:rPr>
          <w:rFonts w:hint="eastAsia" w:ascii="仿宋_GB2312" w:hAnsi="仿宋" w:eastAsia="仿宋_GB2312" w:cs="仿宋_GB2312"/>
          <w:sz w:val="32"/>
          <w:szCs w:val="32"/>
        </w:rPr>
        <w:t>万元、黑水县供销社202</w:t>
      </w:r>
      <w:r>
        <w:rPr>
          <w:rFonts w:hint="eastAsia" w:ascii="仿宋_GB2312" w:hAnsi="仿宋" w:eastAsia="仿宋_GB2312" w:cs="仿宋_GB2312"/>
          <w:sz w:val="32"/>
          <w:szCs w:val="32"/>
          <w:lang w:val="en-US" w:eastAsia="zh-CN"/>
        </w:rPr>
        <w:t>5</w:t>
      </w:r>
      <w:r>
        <w:rPr>
          <w:rFonts w:hint="eastAsia" w:ascii="仿宋_GB2312" w:hAnsi="仿宋" w:eastAsia="仿宋_GB2312" w:cs="仿宋_GB2312"/>
          <w:sz w:val="32"/>
          <w:szCs w:val="32"/>
        </w:rPr>
        <w:t>年度部门财政资金总支出</w:t>
      </w:r>
      <w:r>
        <w:rPr>
          <w:rFonts w:hint="eastAsia" w:ascii="仿宋_GB2312" w:hAnsi="仿宋" w:eastAsia="仿宋_GB2312" w:cs="仿宋_GB2312"/>
          <w:sz w:val="32"/>
          <w:szCs w:val="32"/>
          <w:lang w:val="en-US" w:eastAsia="zh-CN"/>
        </w:rPr>
        <w:t>365.92</w:t>
      </w:r>
      <w:r>
        <w:rPr>
          <w:rFonts w:hint="eastAsia" w:ascii="仿宋_GB2312" w:hAnsi="仿宋" w:eastAsia="仿宋_GB2312" w:cs="仿宋_GB2312"/>
          <w:sz w:val="32"/>
          <w:szCs w:val="32"/>
        </w:rPr>
        <w:t>万元（其中基本支出</w:t>
      </w:r>
      <w:r>
        <w:rPr>
          <w:rFonts w:hint="eastAsia" w:ascii="仿宋_GB2312" w:hAnsi="仿宋" w:eastAsia="仿宋_GB2312" w:cs="仿宋_GB2312"/>
          <w:sz w:val="32"/>
          <w:szCs w:val="32"/>
          <w:lang w:val="en-US" w:eastAsia="zh-CN"/>
        </w:rPr>
        <w:t>313.07</w:t>
      </w:r>
      <w:r>
        <w:rPr>
          <w:rFonts w:hint="eastAsia" w:ascii="仿宋_GB2312" w:hAnsi="仿宋" w:eastAsia="仿宋_GB2312" w:cs="仿宋_GB2312"/>
          <w:sz w:val="32"/>
          <w:szCs w:val="32"/>
        </w:rPr>
        <w:t>万元、项目支出</w:t>
      </w:r>
      <w:r>
        <w:rPr>
          <w:rFonts w:hint="eastAsia" w:ascii="仿宋_GB2312" w:hAnsi="仿宋" w:eastAsia="仿宋_GB2312" w:cs="仿宋_GB2312"/>
          <w:sz w:val="32"/>
          <w:szCs w:val="32"/>
          <w:lang w:val="en-US" w:eastAsia="zh-CN"/>
        </w:rPr>
        <w:t>52.85</w:t>
      </w:r>
      <w:r>
        <w:rPr>
          <w:rFonts w:hint="eastAsia" w:ascii="仿宋_GB2312" w:hAnsi="仿宋" w:eastAsia="仿宋_GB2312" w:cs="仿宋_GB2312"/>
          <w:sz w:val="32"/>
          <w:szCs w:val="32"/>
        </w:rPr>
        <w:t>万元）具体为工资福利支出</w:t>
      </w:r>
      <w:r>
        <w:rPr>
          <w:rFonts w:hint="eastAsia" w:ascii="仿宋_GB2312" w:hAnsi="仿宋" w:eastAsia="仿宋_GB2312" w:cs="仿宋_GB2312"/>
          <w:sz w:val="32"/>
          <w:szCs w:val="32"/>
          <w:lang w:val="en-US" w:eastAsia="zh-CN"/>
        </w:rPr>
        <w:t>270.32</w:t>
      </w:r>
      <w:r>
        <w:rPr>
          <w:rFonts w:hint="eastAsia" w:ascii="仿宋_GB2312" w:hAnsi="仿宋" w:eastAsia="仿宋_GB2312" w:cs="仿宋_GB2312"/>
          <w:sz w:val="32"/>
          <w:szCs w:val="32"/>
        </w:rPr>
        <w:t>万元，占总支出</w:t>
      </w:r>
      <w:r>
        <w:rPr>
          <w:rFonts w:hint="eastAsia" w:ascii="仿宋_GB2312" w:hAnsi="仿宋" w:eastAsia="仿宋_GB2312" w:cs="仿宋_GB2312"/>
          <w:sz w:val="32"/>
          <w:szCs w:val="32"/>
          <w:lang w:val="en-US" w:eastAsia="zh-CN"/>
        </w:rPr>
        <w:t>73.87</w:t>
      </w:r>
      <w:r>
        <w:rPr>
          <w:rFonts w:hint="eastAsia" w:ascii="仿宋_GB2312" w:hAnsi="仿宋" w:eastAsia="仿宋_GB2312" w:cs="仿宋_GB2312"/>
          <w:sz w:val="32"/>
          <w:szCs w:val="32"/>
        </w:rPr>
        <w:t>%，商品服务支出</w:t>
      </w:r>
      <w:r>
        <w:rPr>
          <w:rFonts w:hint="eastAsia" w:ascii="仿宋_GB2312" w:hAnsi="仿宋" w:eastAsia="仿宋_GB2312" w:cs="仿宋_GB2312"/>
          <w:sz w:val="32"/>
          <w:szCs w:val="32"/>
          <w:lang w:val="en-US" w:eastAsia="zh-CN"/>
        </w:rPr>
        <w:t>46.41</w:t>
      </w:r>
      <w:r>
        <w:rPr>
          <w:rFonts w:hint="eastAsia" w:ascii="仿宋_GB2312" w:hAnsi="仿宋" w:eastAsia="仿宋_GB2312" w:cs="仿宋_GB2312"/>
          <w:sz w:val="32"/>
          <w:szCs w:val="32"/>
        </w:rPr>
        <w:t>万元，占总支出</w:t>
      </w:r>
      <w:r>
        <w:rPr>
          <w:rFonts w:hint="eastAsia" w:ascii="仿宋_GB2312" w:hAnsi="仿宋" w:eastAsia="仿宋_GB2312" w:cs="仿宋_GB2312"/>
          <w:sz w:val="32"/>
          <w:szCs w:val="32"/>
          <w:lang w:val="en-US" w:eastAsia="zh-CN"/>
        </w:rPr>
        <w:t>12.68</w:t>
      </w:r>
      <w:r>
        <w:rPr>
          <w:rFonts w:hint="eastAsia" w:ascii="仿宋_GB2312" w:hAnsi="仿宋" w:eastAsia="仿宋_GB2312" w:cs="仿宋_GB2312"/>
          <w:sz w:val="32"/>
          <w:szCs w:val="32"/>
        </w:rPr>
        <w:t>%，对个人家庭补助支出</w:t>
      </w:r>
      <w:r>
        <w:rPr>
          <w:rFonts w:hint="eastAsia" w:ascii="仿宋_GB2312" w:hAnsi="仿宋" w:eastAsia="仿宋_GB2312" w:cs="仿宋_GB2312"/>
          <w:sz w:val="32"/>
          <w:szCs w:val="32"/>
          <w:lang w:val="en-US" w:eastAsia="zh-CN"/>
        </w:rPr>
        <w:t>32.82</w:t>
      </w:r>
      <w:r>
        <w:rPr>
          <w:rFonts w:hint="eastAsia" w:ascii="仿宋_GB2312" w:hAnsi="仿宋" w:eastAsia="仿宋_GB2312" w:cs="仿宋_GB2312"/>
          <w:sz w:val="32"/>
          <w:szCs w:val="32"/>
        </w:rPr>
        <w:t>万元，占总支出</w:t>
      </w:r>
      <w:r>
        <w:rPr>
          <w:rFonts w:hint="eastAsia" w:ascii="仿宋_GB2312" w:hAnsi="仿宋" w:eastAsia="仿宋_GB2312" w:cs="仿宋_GB2312"/>
          <w:sz w:val="32"/>
          <w:szCs w:val="32"/>
          <w:lang w:val="en-US" w:eastAsia="zh-CN"/>
        </w:rPr>
        <w:t>8.97</w:t>
      </w:r>
      <w:r>
        <w:rPr>
          <w:rFonts w:hint="eastAsia" w:ascii="仿宋_GB2312" w:hAnsi="仿宋" w:eastAsia="仿宋_GB2312" w:cs="仿宋_GB2312"/>
          <w:sz w:val="32"/>
          <w:szCs w:val="32"/>
        </w:rPr>
        <w:t>%。资本性支出</w:t>
      </w:r>
      <w:r>
        <w:rPr>
          <w:rFonts w:hint="eastAsia" w:ascii="仿宋_GB2312" w:hAnsi="仿宋" w:eastAsia="仿宋_GB2312" w:cs="仿宋_GB2312"/>
          <w:sz w:val="32"/>
          <w:szCs w:val="32"/>
          <w:lang w:val="en-US" w:eastAsia="zh-CN"/>
        </w:rPr>
        <w:t>16.38</w:t>
      </w:r>
      <w:r>
        <w:rPr>
          <w:rFonts w:hint="eastAsia" w:ascii="仿宋_GB2312" w:hAnsi="仿宋" w:eastAsia="仿宋_GB2312" w:cs="仿宋_GB2312"/>
          <w:sz w:val="32"/>
          <w:szCs w:val="32"/>
        </w:rPr>
        <w:t>万元，占总支出</w:t>
      </w:r>
      <w:r>
        <w:rPr>
          <w:rFonts w:hint="eastAsia" w:ascii="仿宋_GB2312" w:hAnsi="仿宋" w:eastAsia="仿宋_GB2312" w:cs="仿宋_GB2312"/>
          <w:sz w:val="32"/>
          <w:szCs w:val="32"/>
          <w:lang w:val="en-US" w:eastAsia="zh-CN"/>
        </w:rPr>
        <w:t>4.48</w:t>
      </w:r>
      <w:r>
        <w:rPr>
          <w:rFonts w:hint="eastAsia" w:ascii="仿宋_GB2312" w:hAnsi="仿宋" w:eastAsia="仿宋_GB2312" w:cs="仿宋_GB2312"/>
          <w:sz w:val="32"/>
          <w:szCs w:val="32"/>
        </w:rPr>
        <w:t>%。</w:t>
      </w:r>
    </w:p>
    <w:p w14:paraId="76DBC63A">
      <w:pPr>
        <w:spacing w:line="580" w:lineRule="exact"/>
        <w:ind w:firstLine="640" w:firstLineChars="200"/>
        <w:rPr>
          <w:rFonts w:ascii="仿宋_GB2312" w:hAnsi="黑体" w:eastAsia="仿宋_GB2312" w:cs="黑体"/>
          <w:sz w:val="32"/>
          <w:szCs w:val="32"/>
        </w:rPr>
      </w:pPr>
      <w:r>
        <w:rPr>
          <w:rFonts w:hint="eastAsia" w:ascii="仿宋_GB2312" w:hAnsi="黑体" w:eastAsia="仿宋_GB2312" w:cs="黑体"/>
          <w:sz w:val="32"/>
          <w:szCs w:val="32"/>
        </w:rPr>
        <w:t>三、部门整体预算绩效管理情况（根据适用指标体系进行调整）</w:t>
      </w:r>
    </w:p>
    <w:p w14:paraId="74AD0D6E">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（一）部门预算管理。</w:t>
      </w:r>
    </w:p>
    <w:p w14:paraId="420C7A11">
      <w:pPr>
        <w:pStyle w:val="2"/>
        <w:pageBreakBefore w:val="0"/>
        <w:kinsoku/>
        <w:wordWrap/>
        <w:overflowPunct/>
        <w:topLinePunct w:val="0"/>
        <w:autoSpaceDE/>
        <w:autoSpaceDN/>
        <w:bidi w:val="0"/>
        <w:adjustRightInd/>
        <w:spacing w:line="578" w:lineRule="exact"/>
        <w:ind w:firstLine="640" w:firstLineChars="200"/>
        <w:textAlignment w:val="auto"/>
        <w:rPr>
          <w:rFonts w:hint="eastAsia" w:ascii="仿宋_GB2312" w:hAnsi="仿宋" w:eastAsia="仿宋_GB2312" w:cs="仿宋_GB2312"/>
          <w:b w:val="0"/>
          <w:kern w:val="2"/>
          <w:sz w:val="32"/>
          <w:szCs w:val="32"/>
          <w:lang w:val="en-US" w:eastAsia="zh-CN" w:bidi="ar-SA"/>
        </w:rPr>
      </w:pPr>
      <w:r>
        <w:rPr>
          <w:rFonts w:hint="eastAsia" w:ascii="仿宋_GB2312" w:hAnsi="仿宋" w:eastAsia="仿宋_GB2312" w:cs="仿宋_GB2312"/>
          <w:b w:val="0"/>
          <w:kern w:val="2"/>
          <w:sz w:val="32"/>
          <w:szCs w:val="32"/>
          <w:lang w:val="en-US" w:eastAsia="zh-CN" w:bidi="ar-SA"/>
        </w:rPr>
        <w:t>严格按照州、县预算编制要求，按时完成了基础信息、项目库的报送工作，完成基础信息的更新，按时完成预算编制并提交部门预算草案。预算编制中，特别注意对预算编制准确性的把握，并严格按照要求进行预算执行调整。按时完成待批复提前细化。部门预算在财政部门批复后及时填报预算公示报表报财政审核在政府信息公开网上公示。</w:t>
      </w:r>
    </w:p>
    <w:p w14:paraId="328799EA">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（二）专项预算管理。</w:t>
      </w:r>
    </w:p>
    <w:p w14:paraId="14CDE103">
      <w:pPr>
        <w:pageBreakBefore w:val="0"/>
        <w:kinsoku/>
        <w:wordWrap/>
        <w:overflowPunct/>
        <w:topLinePunct w:val="0"/>
        <w:autoSpaceDE/>
        <w:autoSpaceDN/>
        <w:bidi w:val="0"/>
        <w:adjustRightInd/>
        <w:spacing w:line="578" w:lineRule="exact"/>
        <w:ind w:firstLine="640" w:firstLineChars="200"/>
        <w:textAlignment w:val="auto"/>
        <w:rPr>
          <w:rFonts w:hint="eastAsia" w:ascii="仿宋_GB2312" w:hAnsi="仿宋" w:eastAsia="仿宋_GB2312" w:cs="仿宋_GB2312"/>
          <w:sz w:val="32"/>
          <w:szCs w:val="32"/>
        </w:rPr>
      </w:pPr>
      <w:r>
        <w:rPr>
          <w:rFonts w:hint="eastAsia" w:ascii="仿宋_GB2312" w:hAnsi="仿宋" w:eastAsia="仿宋_GB2312" w:cs="仿宋_GB2312"/>
          <w:sz w:val="32"/>
          <w:szCs w:val="32"/>
        </w:rPr>
        <w:t>资产管理做到正确核算，加强固定资产购置、使用及保管。账务及各类报表公开、准确如实反映，做到信息及时公开等。各项规章制度健全，制度执行严格合规。会计核算符合相关财务管理规定。资金管理方面，各项资金均实行专款专用，严格依法依规执行资金支付依据和开支标准,严格执行政府采购制度。</w:t>
      </w:r>
    </w:p>
    <w:p w14:paraId="0946B9F6">
      <w:pPr>
        <w:pageBreakBefore w:val="0"/>
        <w:kinsoku/>
        <w:wordWrap/>
        <w:overflowPunct/>
        <w:topLinePunct w:val="0"/>
        <w:autoSpaceDE/>
        <w:autoSpaceDN/>
        <w:bidi w:val="0"/>
        <w:adjustRightInd/>
        <w:spacing w:line="578" w:lineRule="exact"/>
        <w:ind w:firstLine="640" w:firstLineChars="200"/>
        <w:textAlignment w:val="auto"/>
        <w:rPr>
          <w:rFonts w:hint="eastAsia" w:ascii="仿宋_GB2312" w:hAnsi="仿宋" w:eastAsia="仿宋_GB2312" w:cs="仿宋_GB2312"/>
          <w:sz w:val="32"/>
          <w:szCs w:val="32"/>
        </w:rPr>
      </w:pPr>
      <w:r>
        <w:rPr>
          <w:rFonts w:hint="eastAsia" w:ascii="仿宋_GB2312" w:hAnsi="仿宋" w:eastAsia="仿宋_GB2312" w:cs="仿宋_GB2312"/>
          <w:sz w:val="32"/>
          <w:szCs w:val="32"/>
        </w:rPr>
        <w:t>我单位预算内经费和专项基金实行“收支两条线”管理，设立了专门的出纳和会计人员，在报账处理上严格按照财经纪律制度等要求实施报账制，专项基金单独建账、专户储存、专户管理、单独核算。预算内经费和专项基金我单位按照有关法律法规和财务制度严格执行，经费组织决算及报表的审核、报送与财政部门逐一核对，确保经费预决算的严肃性、准确性。</w:t>
      </w:r>
    </w:p>
    <w:p w14:paraId="3B64F853">
      <w:pPr>
        <w:pageBreakBefore w:val="0"/>
        <w:kinsoku/>
        <w:wordWrap/>
        <w:overflowPunct/>
        <w:topLinePunct w:val="0"/>
        <w:autoSpaceDE/>
        <w:autoSpaceDN/>
        <w:bidi w:val="0"/>
        <w:adjustRightInd/>
        <w:spacing w:line="578" w:lineRule="exact"/>
        <w:ind w:firstLine="640" w:firstLineChars="200"/>
        <w:textAlignment w:val="auto"/>
        <w:rPr>
          <w:rFonts w:ascii="仿宋_GB2312" w:hAnsi="仿宋" w:eastAsia="仿宋_GB2312" w:cs="仿宋_GB2312"/>
          <w:sz w:val="32"/>
          <w:szCs w:val="32"/>
        </w:rPr>
      </w:pPr>
      <w:r>
        <w:rPr>
          <w:rFonts w:hint="eastAsia" w:ascii="仿宋_GB2312" w:hAnsi="仿宋" w:eastAsia="仿宋_GB2312" w:cs="仿宋_GB2312"/>
          <w:sz w:val="32"/>
          <w:szCs w:val="32"/>
        </w:rPr>
        <w:t>通过县巡查组，本单位无违规记录</w:t>
      </w:r>
    </w:p>
    <w:p w14:paraId="3FCBE581">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（三）结果应用情况。</w:t>
      </w:r>
    </w:p>
    <w:p w14:paraId="15715C40">
      <w:pPr>
        <w:pageBreakBefore w:val="0"/>
        <w:kinsoku/>
        <w:wordWrap/>
        <w:overflowPunct/>
        <w:topLinePunct w:val="0"/>
        <w:autoSpaceDE/>
        <w:autoSpaceDN/>
        <w:bidi w:val="0"/>
        <w:adjustRightInd/>
        <w:spacing w:line="578" w:lineRule="exact"/>
        <w:ind w:firstLine="640" w:firstLineChars="200"/>
        <w:textAlignment w:val="auto"/>
        <w:rPr>
          <w:rFonts w:hint="eastAsia" w:ascii="仿宋_GB2312" w:hAnsi="仿宋" w:eastAsia="仿宋_GB2312" w:cs="仿宋_GB2312"/>
          <w:sz w:val="32"/>
          <w:szCs w:val="32"/>
        </w:rPr>
      </w:pPr>
      <w:r>
        <w:rPr>
          <w:rFonts w:hint="eastAsia" w:ascii="仿宋_GB2312" w:hAnsi="仿宋" w:eastAsia="仿宋_GB2312" w:cs="仿宋_GB2312"/>
          <w:sz w:val="32"/>
          <w:szCs w:val="32"/>
        </w:rPr>
        <w:t>本年本单位在执行公务过程中严格执行“厉行节约、反对浪费”的规定，严格控制“三公”经费支出，加强公务用车管理，努力降低燃修费用。</w:t>
      </w:r>
    </w:p>
    <w:p w14:paraId="6220AC23">
      <w:pPr>
        <w:pageBreakBefore w:val="0"/>
        <w:kinsoku/>
        <w:wordWrap/>
        <w:overflowPunct/>
        <w:topLinePunct w:val="0"/>
        <w:autoSpaceDE/>
        <w:autoSpaceDN/>
        <w:bidi w:val="0"/>
        <w:adjustRightInd/>
        <w:spacing w:line="578" w:lineRule="exact"/>
        <w:ind w:firstLine="640" w:firstLineChars="200"/>
        <w:textAlignment w:val="auto"/>
        <w:rPr>
          <w:rFonts w:ascii="仿宋_GB2312" w:hAnsi="仿宋" w:eastAsia="仿宋_GB2312" w:cs="仿宋_GB2312"/>
          <w:sz w:val="32"/>
          <w:szCs w:val="32"/>
        </w:rPr>
      </w:pPr>
      <w:r>
        <w:rPr>
          <w:rFonts w:hint="eastAsia" w:ascii="仿宋_GB2312" w:hAnsi="仿宋" w:eastAsia="仿宋_GB2312" w:cs="仿宋_GB2312"/>
          <w:sz w:val="32"/>
          <w:szCs w:val="32"/>
        </w:rPr>
        <w:t>部门预算决算在财政部门批复后及时填报预算公开资料、决算公开资料报表报财政审核后在政府信息公开网上公示。</w:t>
      </w:r>
    </w:p>
    <w:p w14:paraId="546F9712">
      <w:pPr>
        <w:numPr>
          <w:ilvl w:val="0"/>
          <w:numId w:val="1"/>
        </w:num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rPr>
        <w:t>评价结论及建议</w:t>
      </w:r>
    </w:p>
    <w:p w14:paraId="495D8434">
      <w:pPr>
        <w:pageBreakBefore w:val="0"/>
        <w:kinsoku/>
        <w:wordWrap/>
        <w:overflowPunct/>
        <w:topLinePunct w:val="0"/>
        <w:autoSpaceDE/>
        <w:autoSpaceDN/>
        <w:bidi w:val="0"/>
        <w:adjustRightInd/>
        <w:spacing w:line="578" w:lineRule="exact"/>
        <w:ind w:firstLine="640" w:firstLineChars="200"/>
        <w:textAlignment w:val="auto"/>
      </w:pPr>
      <w:r>
        <w:rPr>
          <w:rFonts w:hint="eastAsia" w:ascii="仿宋_GB2312" w:hAnsi="仿宋" w:eastAsia="仿宋_GB2312" w:cs="仿宋_GB2312"/>
          <w:sz w:val="32"/>
          <w:szCs w:val="32"/>
        </w:rPr>
        <w:t>（一）评价结论</w:t>
      </w:r>
    </w:p>
    <w:p w14:paraId="6B943EB6">
      <w:pPr>
        <w:pageBreakBefore w:val="0"/>
        <w:kinsoku/>
        <w:wordWrap/>
        <w:overflowPunct/>
        <w:topLinePunct w:val="0"/>
        <w:autoSpaceDE/>
        <w:autoSpaceDN/>
        <w:bidi w:val="0"/>
        <w:adjustRightInd/>
        <w:spacing w:line="578" w:lineRule="exact"/>
        <w:ind w:firstLine="640" w:firstLineChars="200"/>
        <w:textAlignment w:val="auto"/>
        <w:rPr>
          <w:rFonts w:hint="eastAsia" w:ascii="仿宋_GB2312" w:hAnsi="黑体" w:eastAsia="仿宋_GB2312" w:cs="黑体"/>
          <w:b w:val="0"/>
          <w:kern w:val="2"/>
          <w:sz w:val="32"/>
          <w:szCs w:val="32"/>
          <w:lang w:val="en-US" w:eastAsia="zh-CN" w:bidi="ar-SA"/>
        </w:rPr>
      </w:pPr>
      <w:r>
        <w:rPr>
          <w:rFonts w:hint="eastAsia" w:ascii="仿宋_GB2312" w:hAnsi="黑体" w:eastAsia="仿宋_GB2312" w:cs="黑体"/>
          <w:b w:val="0"/>
          <w:kern w:val="2"/>
          <w:sz w:val="32"/>
          <w:szCs w:val="32"/>
          <w:lang w:val="en-US" w:eastAsia="zh-CN" w:bidi="ar-SA"/>
        </w:rPr>
        <w:t>按照国家政策法规规定，结合本部门的实际情况，建立健全了财务管理制度和约束机制，依法、有效地使用财政资金，提高财政资金使用效率，合理分配人、财、物，完成了部门职能目标，实现了较高的工作效率和支出绩效。 </w:t>
      </w:r>
    </w:p>
    <w:p w14:paraId="2310FC24">
      <w:pPr>
        <w:pageBreakBefore w:val="0"/>
        <w:kinsoku/>
        <w:wordWrap/>
        <w:overflowPunct/>
        <w:topLinePunct w:val="0"/>
        <w:autoSpaceDE/>
        <w:autoSpaceDN/>
        <w:bidi w:val="0"/>
        <w:adjustRightInd/>
        <w:spacing w:line="578" w:lineRule="exact"/>
        <w:ind w:firstLine="640" w:firstLineChars="200"/>
        <w:textAlignment w:val="auto"/>
        <w:rPr>
          <w:rFonts w:hint="eastAsia" w:ascii="仿宋_GB2312" w:hAnsi="黑体" w:eastAsia="仿宋_GB2312" w:cs="黑体"/>
          <w:b w:val="0"/>
          <w:kern w:val="2"/>
          <w:sz w:val="32"/>
          <w:szCs w:val="32"/>
          <w:lang w:val="en-US" w:eastAsia="zh-CN" w:bidi="ar-SA"/>
        </w:rPr>
      </w:pPr>
      <w:r>
        <w:rPr>
          <w:rFonts w:hint="eastAsia" w:ascii="仿宋_GB2312" w:hAnsi="黑体" w:eastAsia="仿宋_GB2312" w:cs="黑体"/>
          <w:b w:val="0"/>
          <w:kern w:val="2"/>
          <w:sz w:val="32"/>
          <w:szCs w:val="32"/>
          <w:lang w:val="en-US" w:eastAsia="zh-CN" w:bidi="ar-SA"/>
        </w:rPr>
        <w:t>预算支出在保障本单位工作运转、履行职能职责上整体情况良好。具体有：2025</w:t>
      </w:r>
      <w:bookmarkStart w:id="1" w:name="_GoBack"/>
      <w:bookmarkEnd w:id="1"/>
      <w:r>
        <w:rPr>
          <w:rFonts w:hint="eastAsia" w:ascii="仿宋_GB2312" w:hAnsi="黑体" w:eastAsia="仿宋_GB2312" w:cs="黑体"/>
          <w:b w:val="0"/>
          <w:kern w:val="2"/>
          <w:sz w:val="32"/>
          <w:szCs w:val="32"/>
          <w:lang w:val="en-US" w:eastAsia="zh-CN" w:bidi="ar-SA"/>
        </w:rPr>
        <w:t>年度支出绩效较好，预算编制比较精确、合理;动态优化了年度预算安排，保障了在经费压缩情况下的高效运转;各项目经费的支出有力保障了办公设备购置等项目所需，推动了改革和各类便民措施的实行;提高了管理工作的规范化、信息化水平;强化机关公用经费及日常运行经费管理，对于各股室日常公用经费按照相关政策进行管理，对于办公日常运行维护费用加强审核力度，公用经费及水、电等日常运行经费均有一定下降。 </w:t>
      </w:r>
    </w:p>
    <w:p w14:paraId="2AD67CB6">
      <w:pPr>
        <w:pStyle w:val="2"/>
        <w:pageBreakBefore w:val="0"/>
        <w:kinsoku/>
        <w:wordWrap/>
        <w:overflowPunct/>
        <w:topLinePunct w:val="0"/>
        <w:autoSpaceDE/>
        <w:autoSpaceDN/>
        <w:bidi w:val="0"/>
        <w:adjustRightInd/>
        <w:spacing w:line="578" w:lineRule="exact"/>
        <w:ind w:firstLine="640" w:firstLineChars="200"/>
        <w:textAlignment w:val="auto"/>
        <w:rPr>
          <w:rFonts w:hint="eastAsia" w:ascii="仿宋_GB2312" w:hAnsi="黑体" w:eastAsia="仿宋_GB2312" w:cs="黑体"/>
          <w:b w:val="0"/>
          <w:kern w:val="2"/>
          <w:sz w:val="32"/>
          <w:szCs w:val="32"/>
          <w:lang w:val="en-US" w:eastAsia="zh-CN" w:bidi="ar-SA"/>
        </w:rPr>
      </w:pPr>
      <w:r>
        <w:rPr>
          <w:rFonts w:hint="eastAsia" w:ascii="仿宋_GB2312" w:hAnsi="黑体" w:eastAsia="仿宋_GB2312" w:cs="黑体"/>
          <w:b w:val="0"/>
          <w:kern w:val="2"/>
          <w:sz w:val="32"/>
          <w:szCs w:val="32"/>
          <w:lang w:val="en-US" w:eastAsia="zh-CN" w:bidi="ar-SA"/>
        </w:rPr>
        <w:t>结合评价得分评价结果为良好。</w:t>
      </w:r>
    </w:p>
    <w:p w14:paraId="7DDEBC43">
      <w:pPr>
        <w:pageBreakBefore w:val="0"/>
        <w:numPr>
          <w:ilvl w:val="0"/>
          <w:numId w:val="2"/>
        </w:numPr>
        <w:kinsoku/>
        <w:wordWrap/>
        <w:overflowPunct/>
        <w:topLinePunct w:val="0"/>
        <w:autoSpaceDE/>
        <w:autoSpaceDN/>
        <w:bidi w:val="0"/>
        <w:adjustRightInd/>
        <w:spacing w:line="578" w:lineRule="exact"/>
        <w:ind w:firstLine="640" w:firstLineChars="200"/>
        <w:textAlignment w:val="auto"/>
        <w:rPr>
          <w:rFonts w:hint="eastAsia" w:ascii="仿宋_GB2312" w:hAnsi="仿宋" w:eastAsia="仿宋_GB2312" w:cs="仿宋_GB2312"/>
          <w:sz w:val="32"/>
          <w:szCs w:val="32"/>
        </w:rPr>
      </w:pPr>
      <w:r>
        <w:rPr>
          <w:rFonts w:hint="eastAsia" w:ascii="仿宋_GB2312" w:hAnsi="仿宋" w:eastAsia="仿宋_GB2312" w:cs="仿宋_GB2312"/>
          <w:sz w:val="32"/>
          <w:szCs w:val="32"/>
        </w:rPr>
        <w:t>存在问题。</w:t>
      </w:r>
    </w:p>
    <w:p w14:paraId="161A2E8D">
      <w:pPr>
        <w:pStyle w:val="2"/>
        <w:pageBreakBefore w:val="0"/>
        <w:kinsoku/>
        <w:wordWrap/>
        <w:overflowPunct/>
        <w:topLinePunct w:val="0"/>
        <w:autoSpaceDE/>
        <w:autoSpaceDN/>
        <w:bidi w:val="0"/>
        <w:adjustRightInd/>
        <w:spacing w:line="578" w:lineRule="exact"/>
        <w:ind w:firstLine="640" w:firstLineChars="200"/>
        <w:textAlignment w:val="auto"/>
        <w:rPr>
          <w:rFonts w:hint="eastAsia" w:ascii="仿宋_GB2312" w:hAnsi="黑体" w:eastAsia="仿宋_GB2312" w:cs="黑体"/>
          <w:b w:val="0"/>
          <w:kern w:val="2"/>
          <w:sz w:val="32"/>
          <w:szCs w:val="32"/>
          <w:lang w:val="en-US" w:eastAsia="zh-CN" w:bidi="ar-SA"/>
        </w:rPr>
      </w:pPr>
      <w:r>
        <w:rPr>
          <w:rFonts w:hint="eastAsia" w:ascii="仿宋_GB2312" w:hAnsi="黑体" w:eastAsia="仿宋_GB2312" w:cs="黑体"/>
          <w:b w:val="0"/>
          <w:kern w:val="2"/>
          <w:sz w:val="32"/>
          <w:szCs w:val="32"/>
          <w:lang w:val="en-US" w:eastAsia="zh-CN" w:bidi="ar-SA"/>
        </w:rPr>
        <w:t>开展整体绩效评价工作分工不够明确，评价效率较低，整体绩效工作没有完全细化到最末级等。</w:t>
      </w:r>
    </w:p>
    <w:p w14:paraId="67F8F6E0">
      <w:pPr>
        <w:pageBreakBefore w:val="0"/>
        <w:numPr>
          <w:ilvl w:val="0"/>
          <w:numId w:val="2"/>
        </w:numPr>
        <w:kinsoku/>
        <w:wordWrap/>
        <w:overflowPunct/>
        <w:topLinePunct w:val="0"/>
        <w:autoSpaceDE/>
        <w:autoSpaceDN/>
        <w:bidi w:val="0"/>
        <w:adjustRightInd/>
        <w:spacing w:line="578" w:lineRule="exact"/>
        <w:ind w:left="0" w:leftChars="0" w:firstLine="640" w:firstLineChars="200"/>
        <w:textAlignment w:val="auto"/>
        <w:rPr>
          <w:rFonts w:hint="eastAsia" w:ascii="仿宋_GB2312" w:hAnsi="仿宋" w:eastAsia="仿宋_GB2312" w:cs="仿宋_GB2312"/>
          <w:sz w:val="32"/>
          <w:szCs w:val="32"/>
        </w:rPr>
      </w:pPr>
      <w:r>
        <w:rPr>
          <w:rFonts w:hint="eastAsia" w:ascii="仿宋_GB2312" w:hAnsi="仿宋" w:eastAsia="仿宋_GB2312" w:cs="仿宋_GB2312"/>
          <w:sz w:val="32"/>
          <w:szCs w:val="32"/>
        </w:rPr>
        <w:t>改进建议。</w:t>
      </w:r>
    </w:p>
    <w:p w14:paraId="49288C15">
      <w:pPr>
        <w:pageBreakBefore w:val="0"/>
        <w:numPr>
          <w:ilvl w:val="0"/>
          <w:numId w:val="0"/>
        </w:numPr>
        <w:kinsoku/>
        <w:wordWrap/>
        <w:overflowPunct/>
        <w:topLinePunct w:val="0"/>
        <w:autoSpaceDE/>
        <w:autoSpaceDN/>
        <w:bidi w:val="0"/>
        <w:adjustRightInd/>
        <w:spacing w:line="578" w:lineRule="exact"/>
        <w:ind w:firstLine="640" w:firstLineChars="200"/>
        <w:textAlignment w:val="auto"/>
        <w:rPr>
          <w:rFonts w:hint="default"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我们将进一步重视绩效自评工作，在工作开展之前明确分工，并制定相关工作开展制度，提高绩效评价工作效率，同时使工作更加明确细化。</w:t>
      </w:r>
    </w:p>
    <w:p w14:paraId="2AF9A0BA">
      <w:pPr>
        <w:pStyle w:val="2"/>
        <w:pageBreakBefore w:val="0"/>
        <w:numPr>
          <w:ilvl w:val="0"/>
          <w:numId w:val="0"/>
        </w:numPr>
        <w:kinsoku/>
        <w:wordWrap/>
        <w:overflowPunct/>
        <w:topLinePunct w:val="0"/>
        <w:autoSpaceDE/>
        <w:autoSpaceDN/>
        <w:bidi w:val="0"/>
        <w:adjustRightInd/>
        <w:spacing w:line="578" w:lineRule="exact"/>
        <w:ind w:leftChars="200" w:firstLine="482" w:firstLineChars="200"/>
        <w:textAlignment w:val="auto"/>
      </w:pPr>
    </w:p>
    <w:p w14:paraId="2907B177">
      <w:pPr>
        <w:spacing w:line="580" w:lineRule="exact"/>
        <w:ind w:firstLine="640" w:firstLineChars="200"/>
        <w:rPr>
          <w:rFonts w:ascii="仿宋_GB2312" w:hAnsi="仿宋_GB2312" w:eastAsia="仿宋_GB2312" w:cs="仿宋_GB2312"/>
          <w:sz w:val="32"/>
          <w:szCs w:val="32"/>
        </w:rPr>
      </w:pPr>
    </w:p>
    <w:p w14:paraId="6C08F4EE">
      <w:pPr>
        <w:widowControl/>
        <w:jc w:val="left"/>
        <w:rPr>
          <w:rFonts w:ascii="仿宋_GB2312" w:hAnsi="仿宋_GB2312" w:eastAsia="仿宋_GB2312" w:cs="仿宋_GB2312"/>
          <w:sz w:val="32"/>
          <w:szCs w:val="32"/>
        </w:rPr>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Times New Roman"/>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小标宋_GBK">
    <w:panose1 w:val="02000000000000000000"/>
    <w:charset w:val="86"/>
    <w:family w:val="auto"/>
    <w:pitch w:val="default"/>
    <w:sig w:usb0="00000001" w:usb1="08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文泉驿微米黑">
    <w:panose1 w:val="020B0606030804020204"/>
    <w:charset w:val="86"/>
    <w:family w:val="auto"/>
    <w:pitch w:val="default"/>
    <w:sig w:usb0="E10002EF" w:usb1="6BDFFCFB" w:usb2="00800036" w:usb3="00000000" w:csb0="603E01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E166C8"/>
    <w:multiLevelType w:val="singleLevel"/>
    <w:tmpl w:val="A5E166C8"/>
    <w:lvl w:ilvl="0" w:tentative="0">
      <w:start w:val="2"/>
      <w:numFmt w:val="chineseCounting"/>
      <w:suff w:val="nothing"/>
      <w:lvlText w:val="（%1）"/>
      <w:lvlJc w:val="left"/>
      <w:rPr>
        <w:rFonts w:hint="eastAsia"/>
      </w:rPr>
    </w:lvl>
  </w:abstractNum>
  <w:abstractNum w:abstractNumId="1">
    <w:nsid w:val="7B7E27A9"/>
    <w:multiLevelType w:val="singleLevel"/>
    <w:tmpl w:val="7B7E27A9"/>
    <w:lvl w:ilvl="0" w:tentative="0">
      <w:start w:val="4"/>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gzNmEyOTFjMjZjODc0OGIyZjk3N2Q1Zjc3YWU5MjEifQ=="/>
  </w:docVars>
  <w:rsids>
    <w:rsidRoot w:val="00491B22"/>
    <w:rsid w:val="00291808"/>
    <w:rsid w:val="00491B22"/>
    <w:rsid w:val="0052390C"/>
    <w:rsid w:val="34EB1F43"/>
    <w:rsid w:val="36435EC2"/>
    <w:rsid w:val="43EB7E23"/>
    <w:rsid w:val="4DD97D2F"/>
    <w:rsid w:val="60D032A5"/>
    <w:rsid w:val="7079109E"/>
    <w:rsid w:val="7FBC6F6D"/>
    <w:rsid w:val="7FFE5A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customStyle="1" w:styleId="2">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paragraph" w:styleId="4">
    <w:name w:val="footer"/>
    <w:basedOn w:val="1"/>
    <w:link w:val="9"/>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5">
    <w:name w:val="header"/>
    <w:basedOn w:val="1"/>
    <w:link w:val="8"/>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8">
    <w:name w:val="页眉 Char"/>
    <w:basedOn w:val="7"/>
    <w:link w:val="5"/>
    <w:semiHidden/>
    <w:qFormat/>
    <w:uiPriority w:val="99"/>
    <w:rPr>
      <w:sz w:val="18"/>
      <w:szCs w:val="18"/>
    </w:rPr>
  </w:style>
  <w:style w:type="character" w:customStyle="1" w:styleId="9">
    <w:name w:val="页脚 Char"/>
    <w:basedOn w:val="7"/>
    <w:link w:val="4"/>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Sky123.Org</Company>
  <Pages>5</Pages>
  <Words>332</Words>
  <Characters>337</Characters>
  <Lines>2</Lines>
  <Paragraphs>1</Paragraphs>
  <TotalTime>0</TotalTime>
  <ScaleCrop>false</ScaleCrop>
  <LinksUpToDate>false</LinksUpToDate>
  <CharactersWithSpaces>337</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2019-08-19T17:06:00Z</dcterms:created>
  <dc:creator>Sky123.Org</dc:creator>
  <cp:lastModifiedBy>永恒？信任？</cp:lastModifiedBy>
  <dcterms:modified xsi:type="dcterms:W3CDTF">2026-08-21T09:34:53Z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2578683B54F299B83DDC7B6A3192E761</vt:lpwstr>
  </property>
</Properties>
</file>