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outlineLvl w:val="0"/>
        <w:rPr>
          <w:rFonts w:hint="eastAsia" w:ascii="方正小标宋简体" w:hAnsi="方正小标宋简体" w:eastAsia="仿宋_GB2312" w:cs="方正小标宋简体"/>
          <w:b w:val="0"/>
          <w:bCs/>
          <w:color w:val="auto"/>
          <w:sz w:val="32"/>
          <w:szCs w:val="32"/>
          <w:lang w:eastAsia="zh-CN"/>
        </w:rPr>
      </w:pPr>
      <w:bookmarkStart w:id="0" w:name="_Toc15396616"/>
      <w:r>
        <w:rPr>
          <w:rFonts w:hint="eastAsia" w:ascii="方正小标宋简体" w:hAnsi="方正小标宋简体" w:eastAsia="方正小标宋简体" w:cs="方正小标宋简体"/>
          <w:b w:val="0"/>
          <w:bCs/>
          <w:color w:val="auto"/>
          <w:sz w:val="44"/>
          <w:szCs w:val="44"/>
          <w:lang w:eastAsia="zh-CN"/>
        </w:rPr>
        <w:drawing>
          <wp:inline distT="0" distB="0" distL="114300" distR="114300">
            <wp:extent cx="5607685" cy="1195070"/>
            <wp:effectExtent l="0" t="0" r="12065" b="5080"/>
            <wp:docPr id="4" name="图片 4" descr="红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红头"/>
                    <pic:cNvPicPr>
                      <a:picLocks noChangeAspect="1"/>
                    </pic:cNvPicPr>
                  </pic:nvPicPr>
                  <pic:blipFill>
                    <a:blip r:embed="rId6"/>
                    <a:stretch>
                      <a:fillRect/>
                    </a:stretch>
                  </pic:blipFill>
                  <pic:spPr>
                    <a:xfrm>
                      <a:off x="0" y="0"/>
                      <a:ext cx="5607685" cy="1195070"/>
                    </a:xfrm>
                    <a:prstGeom prst="rect">
                      <a:avLst/>
                    </a:prstGeom>
                  </pic:spPr>
                </pic:pic>
              </a:graphicData>
            </a:graphic>
          </wp:inline>
        </w:drawing>
      </w:r>
      <w:r>
        <w:rPr>
          <w:rFonts w:hint="eastAsia" w:ascii="仿宋_GB2312" w:hAnsi="仿宋_GB2312" w:eastAsia="仿宋_GB2312" w:cs="仿宋_GB2312"/>
          <w:sz w:val="32"/>
          <w:szCs w:val="32"/>
        </w:rPr>
        <w:t>黑残〔20</w:t>
      </w:r>
      <w:r>
        <w:rPr>
          <w:rFonts w:hint="eastAsia" w:ascii="仿宋_GB2312" w:hAnsi="仿宋_GB2312" w:eastAsia="仿宋_GB2312" w:cs="仿宋_GB2312"/>
          <w:sz w:val="32"/>
          <w:szCs w:val="32"/>
          <w:lang w:val="en-US" w:eastAsia="zh-CN"/>
        </w:rPr>
        <w:t>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cs="仿宋_GB2312"/>
          <w:sz w:val="32"/>
          <w:szCs w:val="32"/>
          <w:lang w:val="en-US" w:eastAsia="zh-CN"/>
        </w:rPr>
        <w:t>16</w:t>
      </w:r>
      <w:r>
        <w:rPr>
          <w:rFonts w:hint="eastAsia" w:ascii="仿宋_GB2312" w:hAnsi="仿宋_GB2312" w:eastAsia="仿宋_GB2312" w:cs="仿宋_GB2312"/>
          <w:sz w:val="32"/>
          <w:szCs w:val="32"/>
        </w:rPr>
        <w:t>号</w:t>
      </w:r>
    </w:p>
    <w:p>
      <w:pPr>
        <w:spacing w:line="600" w:lineRule="exact"/>
        <w:jc w:val="center"/>
        <w:outlineLvl w:val="0"/>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eastAsia="方正小标宋简体"/>
          <w:sz w:val="44"/>
          <w:szCs w:val="44"/>
        </w:rPr>
        <mc:AlternateContent>
          <mc:Choice Requires="wps">
            <w:drawing>
              <wp:anchor distT="0" distB="0" distL="114300" distR="114300" simplePos="0" relativeHeight="251660288" behindDoc="0" locked="0" layoutInCell="1" allowOverlap="1">
                <wp:simplePos x="0" y="0"/>
                <wp:positionH relativeFrom="column">
                  <wp:posOffset>140335</wp:posOffset>
                </wp:positionH>
                <wp:positionV relativeFrom="paragraph">
                  <wp:posOffset>140970</wp:posOffset>
                </wp:positionV>
                <wp:extent cx="5257800" cy="0"/>
                <wp:effectExtent l="0" t="19050" r="0" b="19050"/>
                <wp:wrapNone/>
                <wp:docPr id="3" name="直接连接符 3"/>
                <wp:cNvGraphicFramePr/>
                <a:graphic xmlns:a="http://schemas.openxmlformats.org/drawingml/2006/main">
                  <a:graphicData uri="http://schemas.microsoft.com/office/word/2010/wordprocessingShape">
                    <wps:wsp>
                      <wps:cNvCnPr/>
                      <wps:spPr>
                        <a:xfrm>
                          <a:off x="0" y="0"/>
                          <a:ext cx="5257800" cy="0"/>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1.05pt;margin-top:11.1pt;height:0pt;width:414pt;z-index:251660288;mso-width-relative:page;mso-height-relative:page;" filled="f" stroked="t" coordsize="21600,21600" o:gfxdata="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BaS29b2AAAAAgBAAAPAAAAAAAAAAEAIAAA&#10;ADgAAABkcnMvZG93bnJldi54bWxQSwECFAAUAAAACACHTuJAkWz9DvYBAADlAwAADgAAAAAAAAAB&#10;ACAAAAA9AQAAZHJzL2Uyb0RvYy54bWxQSwUGAAAAAAYABgBZAQAApQUAAAAA&#10;">
                <v:fill on="f" focussize="0,0"/>
                <v:stroke weight="3pt" color="#FF0000" joinstyle="round"/>
                <v:imagedata o:title=""/>
                <o:lock v:ext="edit" aspectratio="f"/>
              </v:line>
            </w:pict>
          </mc:Fallback>
        </mc:AlternateContent>
      </w:r>
    </w:p>
    <w:p>
      <w:pPr>
        <w:spacing w:line="600" w:lineRule="exact"/>
        <w:jc w:val="center"/>
        <w:outlineLvl w:val="0"/>
        <w:rPr>
          <w:rFonts w:hint="eastAsia" w:ascii="方正小标宋_GBK" w:hAnsi="方正小标宋_GBK" w:eastAsia="方正小标宋_GBK" w:cs="方正小标宋_GBK"/>
          <w:b w:val="0"/>
          <w:bCs/>
          <w:color w:val="auto"/>
          <w:sz w:val="44"/>
          <w:szCs w:val="44"/>
          <w:lang w:eastAsia="zh-CN"/>
        </w:rPr>
      </w:pPr>
      <w:r>
        <w:rPr>
          <w:rFonts w:hint="eastAsia" w:ascii="方正小标宋_GBK" w:hAnsi="方正小标宋_GBK" w:eastAsia="方正小标宋_GBK" w:cs="方正小标宋_GBK"/>
          <w:b w:val="0"/>
          <w:bCs/>
          <w:color w:val="auto"/>
          <w:sz w:val="44"/>
          <w:szCs w:val="44"/>
          <w:lang w:eastAsia="zh-CN"/>
        </w:rPr>
        <w:t>黑水县残疾人联合会</w:t>
      </w:r>
    </w:p>
    <w:p>
      <w:pPr>
        <w:spacing w:line="600" w:lineRule="exact"/>
        <w:ind w:firstLine="1760" w:firstLineChars="400"/>
        <w:jc w:val="both"/>
        <w:outlineLvl w:val="0"/>
        <w:rPr>
          <w:rFonts w:hint="eastAsia" w:ascii="方正小标宋_GBK" w:hAnsi="方正小标宋_GBK" w:eastAsia="方正小标宋_GBK" w:cs="方正小标宋_GBK"/>
          <w:b w:val="0"/>
          <w:bCs/>
          <w:color w:val="auto"/>
          <w:sz w:val="44"/>
          <w:szCs w:val="44"/>
        </w:rPr>
      </w:pPr>
      <w:r>
        <w:rPr>
          <w:rFonts w:hint="eastAsia" w:ascii="方正小标宋_GBK" w:hAnsi="方正小标宋_GBK" w:eastAsia="方正小标宋_GBK" w:cs="方正小标宋_GBK"/>
          <w:b w:val="0"/>
          <w:bCs/>
          <w:color w:val="auto"/>
          <w:sz w:val="44"/>
          <w:szCs w:val="44"/>
        </w:rPr>
        <w:t>20</w:t>
      </w:r>
      <w:r>
        <w:rPr>
          <w:rFonts w:hint="eastAsia" w:ascii="方正小标宋_GBK" w:hAnsi="方正小标宋_GBK" w:eastAsia="方正小标宋_GBK" w:cs="方正小标宋_GBK"/>
          <w:b w:val="0"/>
          <w:bCs/>
          <w:color w:val="auto"/>
          <w:sz w:val="44"/>
          <w:szCs w:val="44"/>
          <w:lang w:val="en-US" w:eastAsia="zh-CN"/>
        </w:rPr>
        <w:t>25</w:t>
      </w:r>
      <w:r>
        <w:rPr>
          <w:rFonts w:hint="eastAsia" w:ascii="方正小标宋_GBK" w:hAnsi="方正小标宋_GBK" w:eastAsia="方正小标宋_GBK" w:cs="方正小标宋_GBK"/>
          <w:b w:val="0"/>
          <w:bCs/>
          <w:color w:val="auto"/>
          <w:sz w:val="44"/>
          <w:szCs w:val="44"/>
        </w:rPr>
        <w:t>年部门</w:t>
      </w:r>
      <w:r>
        <w:rPr>
          <w:rFonts w:hint="eastAsia" w:ascii="方正小标宋_GBK" w:hAnsi="方正小标宋_GBK" w:eastAsia="方正小标宋_GBK" w:cs="方正小标宋_GBK"/>
          <w:b w:val="0"/>
          <w:bCs/>
          <w:color w:val="auto"/>
          <w:sz w:val="44"/>
          <w:szCs w:val="44"/>
          <w:lang w:eastAsia="zh-CN"/>
        </w:rPr>
        <w:t>预算</w:t>
      </w:r>
      <w:r>
        <w:rPr>
          <w:rFonts w:hint="eastAsia" w:ascii="方正小标宋_GBK" w:hAnsi="方正小标宋_GBK" w:eastAsia="方正小标宋_GBK" w:cs="方正小标宋_GBK"/>
          <w:b w:val="0"/>
          <w:bCs/>
          <w:color w:val="auto"/>
          <w:sz w:val="44"/>
          <w:szCs w:val="44"/>
        </w:rPr>
        <w:t>绩效评价报告</w:t>
      </w:r>
      <w:bookmarkEnd w:id="0"/>
    </w:p>
    <w:p>
      <w:pPr>
        <w:pStyle w:val="13"/>
        <w:rPr>
          <w:rFonts w:hint="default"/>
        </w:rPr>
      </w:pP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r>
        <w:rPr>
          <w:rFonts w:hint="eastAsia" w:eastAsia="黑体" w:cs="Times New Roman"/>
          <w:color w:val="000000"/>
          <w:kern w:val="0"/>
          <w:szCs w:val="32"/>
          <w:highlight w:val="none"/>
          <w:shd w:val="clear" w:color="auto" w:fill="FFFFFF"/>
          <w:lang w:val="zh-CN"/>
        </w:rPr>
        <w:t>一、</w:t>
      </w:r>
      <w:r>
        <w:rPr>
          <w:rFonts w:hint="default" w:ascii="Times New Roman" w:hAnsi="Times New Roman" w:eastAsia="黑体" w:cs="Times New Roman"/>
          <w:color w:val="000000"/>
          <w:kern w:val="0"/>
          <w:szCs w:val="32"/>
          <w:highlight w:val="none"/>
          <w:shd w:val="clear" w:color="auto" w:fill="FFFFFF"/>
          <w:lang w:val="zh-CN"/>
        </w:rPr>
        <w:t>部门（单位）基本情况</w:t>
      </w:r>
    </w:p>
    <w:p>
      <w:pPr>
        <w:snapToGrid w:val="0"/>
        <w:spacing w:line="520" w:lineRule="exact"/>
        <w:ind w:firstLine="642" w:firstLineChars="200"/>
        <w:rPr>
          <w:rFonts w:hint="default" w:ascii="Times New Roman" w:hAnsi="Times New Roman" w:eastAsia="楷体_GB2312" w:cs="Times New Roman"/>
          <w:b/>
          <w:bCs/>
          <w:color w:val="000000"/>
          <w:kern w:val="0"/>
          <w:szCs w:val="32"/>
          <w:highlight w:val="none"/>
          <w:shd w:val="clear" w:color="auto" w:fill="FFFFFF"/>
          <w:lang w:val="zh-CN"/>
        </w:rPr>
      </w:pPr>
      <w:r>
        <w:rPr>
          <w:rFonts w:hint="eastAsia" w:eastAsia="楷体_GB2312" w:cs="Times New Roman"/>
          <w:b/>
          <w:bCs/>
          <w:color w:val="000000"/>
          <w:kern w:val="0"/>
          <w:szCs w:val="32"/>
          <w:highlight w:val="none"/>
          <w:shd w:val="clear" w:color="auto" w:fill="FFFFFF"/>
          <w:lang w:val="zh-CN"/>
        </w:rPr>
        <w:t>（一）</w:t>
      </w:r>
      <w:r>
        <w:rPr>
          <w:rFonts w:hint="default" w:ascii="Times New Roman" w:hAnsi="Times New Roman" w:eastAsia="楷体_GB2312" w:cs="Times New Roman"/>
          <w:b/>
          <w:bCs/>
          <w:color w:val="000000"/>
          <w:kern w:val="0"/>
          <w:szCs w:val="32"/>
          <w:highlight w:val="none"/>
          <w:shd w:val="clear" w:color="auto" w:fill="FFFFFF"/>
          <w:lang w:val="zh-CN"/>
        </w:rPr>
        <w:t>机构组成</w:t>
      </w:r>
    </w:p>
    <w:p>
      <w:pPr>
        <w:snapToGrid w:val="0"/>
        <w:spacing w:line="520" w:lineRule="exact"/>
        <w:ind w:firstLine="640" w:firstLineChars="200"/>
        <w:rPr>
          <w:rFonts w:hint="default" w:ascii="Times New Roman" w:hAnsi="Times New Roman" w:cs="Times New Roman"/>
          <w:szCs w:val="32"/>
        </w:rPr>
      </w:pPr>
      <w:r>
        <w:rPr>
          <w:rFonts w:hint="eastAsia" w:ascii="仿宋_GB2312" w:hAnsi="仿宋_GB2312" w:eastAsia="仿宋_GB2312" w:cs="仿宋_GB2312"/>
          <w:color w:val="auto"/>
          <w:sz w:val="32"/>
          <w:szCs w:val="32"/>
        </w:rPr>
        <w:t>黑水县残疾人联合会是一级预算单位，是参照公务员管理的事业单位。1992年从民政局单列，升为正科级单位，内设办公室、</w:t>
      </w:r>
      <w:r>
        <w:rPr>
          <w:rFonts w:hint="eastAsia" w:ascii="仿宋_GB2312" w:hAnsi="仿宋_GB2312" w:cs="仿宋_GB2312"/>
          <w:color w:val="auto"/>
          <w:sz w:val="32"/>
          <w:szCs w:val="32"/>
          <w:lang w:eastAsia="zh-CN"/>
        </w:rPr>
        <w:t>康复股、</w:t>
      </w:r>
      <w:r>
        <w:rPr>
          <w:rFonts w:hint="eastAsia" w:ascii="仿宋_GB2312" w:hAnsi="仿宋_GB2312" w:eastAsia="仿宋_GB2312" w:cs="仿宋_GB2312"/>
          <w:color w:val="auto"/>
          <w:sz w:val="32"/>
          <w:szCs w:val="32"/>
        </w:rPr>
        <w:t>教育就业扶贫股及县</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个乡镇和1</w:t>
      </w:r>
      <w:r>
        <w:rPr>
          <w:rFonts w:hint="eastAsia" w:ascii="仿宋_GB2312" w:hAnsi="仿宋_GB2312" w:eastAsia="仿宋_GB2312" w:cs="仿宋_GB2312"/>
          <w:color w:val="auto"/>
          <w:sz w:val="32"/>
          <w:szCs w:val="32"/>
          <w:lang w:val="en-US" w:eastAsia="zh-CN"/>
        </w:rPr>
        <w:t>04</w:t>
      </w:r>
      <w:r>
        <w:rPr>
          <w:rFonts w:hint="eastAsia" w:ascii="仿宋_GB2312" w:hAnsi="仿宋_GB2312" w:eastAsia="仿宋_GB2312" w:cs="仿宋_GB2312"/>
          <w:color w:val="auto"/>
          <w:sz w:val="32"/>
          <w:szCs w:val="32"/>
        </w:rPr>
        <w:t>个行政村的残疾人协会，我会系黑水县直接管辖。</w:t>
      </w:r>
    </w:p>
    <w:p>
      <w:pPr>
        <w:numPr>
          <w:ilvl w:val="0"/>
          <w:numId w:val="1"/>
        </w:numPr>
        <w:spacing w:line="560" w:lineRule="exact"/>
        <w:ind w:firstLine="642" w:firstLineChars="200"/>
        <w:rPr>
          <w:rFonts w:hint="eastAsia"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机构职能</w:t>
      </w:r>
    </w:p>
    <w:p>
      <w:pPr>
        <w:numPr>
          <w:ilvl w:val="0"/>
          <w:numId w:val="0"/>
        </w:numPr>
        <w:spacing w:line="560" w:lineRule="exact"/>
        <w:ind w:firstLine="640" w:firstLineChars="200"/>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仿宋_GB2312" w:hAnsi="仿宋_GB2312" w:eastAsia="仿宋_GB2312" w:cs="仿宋_GB2312"/>
          <w:color w:val="auto"/>
          <w:sz w:val="32"/>
          <w:szCs w:val="32"/>
        </w:rPr>
        <w:t>根据黑府办发（1997）52号文件规定，主要职责是：开展和促进残疾人康复、扶贫、教育、劳动就业、文化生活、福利、社会服务，扶助残疾人平等参与社会生活；贯彻执行助残法律、法规，协助政府研究、制定和实施本县残疾人事业的发展规划和措施，对有关业务领域进行指导和管理；反映残疾人需求，维护残疾人合法权益。</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2" w:firstLineChars="200"/>
        <w:textAlignment w:val="auto"/>
        <w:rPr>
          <w:rFonts w:hint="eastAsia"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人员概况</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auto"/>
          <w:sz w:val="32"/>
          <w:szCs w:val="32"/>
        </w:rPr>
      </w:pPr>
      <w:r>
        <w:rPr>
          <w:rFonts w:hint="default" w:ascii="仿宋_GB2312" w:hAnsi="仿宋_GB2312" w:eastAsia="仿宋_GB2312" w:cs="仿宋_GB2312"/>
          <w:color w:val="auto"/>
          <w:sz w:val="32"/>
          <w:szCs w:val="32"/>
        </w:rPr>
        <w:t>截至</w:t>
      </w:r>
      <w:r>
        <w:rPr>
          <w:rFonts w:hint="eastAsia" w:ascii="仿宋_GB2312" w:hAnsi="仿宋_GB2312" w:cs="仿宋_GB2312"/>
          <w:color w:val="auto"/>
          <w:sz w:val="32"/>
          <w:szCs w:val="32"/>
          <w:lang w:eastAsia="zh-CN"/>
        </w:rPr>
        <w:t>2025</w:t>
      </w:r>
      <w:r>
        <w:rPr>
          <w:rFonts w:hint="default" w:ascii="仿宋_GB2312" w:hAnsi="仿宋_GB2312" w:eastAsia="仿宋_GB2312" w:cs="仿宋_GB2312"/>
          <w:color w:val="auto"/>
          <w:sz w:val="32"/>
          <w:szCs w:val="32"/>
        </w:rPr>
        <w:t>年末，</w:t>
      </w:r>
      <w:r>
        <w:rPr>
          <w:rFonts w:hint="eastAsia" w:ascii="仿宋_GB2312" w:hAnsi="仿宋_GB2312" w:eastAsia="仿宋_GB2312" w:cs="仿宋_GB2312"/>
          <w:color w:val="auto"/>
          <w:sz w:val="32"/>
          <w:szCs w:val="32"/>
        </w:rPr>
        <w:t>黑水县残疾人联合会总编制</w:t>
      </w:r>
      <w:r>
        <w:rPr>
          <w:rFonts w:hint="eastAsia" w:ascii="仿宋_GB2312" w:hAnsi="仿宋_GB2312" w:cs="仿宋_GB2312"/>
          <w:color w:val="auto"/>
          <w:sz w:val="32"/>
          <w:szCs w:val="32"/>
          <w:lang w:val="en-US" w:eastAsia="zh-CN"/>
        </w:rPr>
        <w:t>7</w:t>
      </w:r>
      <w:r>
        <w:rPr>
          <w:rFonts w:hint="eastAsia" w:ascii="仿宋_GB2312" w:hAnsi="仿宋_GB2312" w:eastAsia="仿宋_GB2312" w:cs="仿宋_GB2312"/>
          <w:color w:val="auto"/>
          <w:sz w:val="32"/>
          <w:szCs w:val="32"/>
        </w:rPr>
        <w:t>名。在职人员总数</w:t>
      </w:r>
      <w:r>
        <w:rPr>
          <w:rFonts w:hint="eastAsia" w:ascii="仿宋_GB2312" w:hAnsi="仿宋_GB2312" w:cs="仿宋_GB2312"/>
          <w:color w:val="auto"/>
          <w:sz w:val="32"/>
          <w:szCs w:val="32"/>
          <w:lang w:val="en-US" w:eastAsia="zh-CN"/>
        </w:rPr>
        <w:t>8</w:t>
      </w:r>
      <w:r>
        <w:rPr>
          <w:rFonts w:hint="eastAsia" w:ascii="仿宋_GB2312" w:hAnsi="仿宋_GB2312" w:eastAsia="仿宋_GB2312" w:cs="仿宋_GB2312"/>
          <w:color w:val="auto"/>
          <w:sz w:val="32"/>
          <w:szCs w:val="32"/>
        </w:rPr>
        <w:t>人，其中：参公人员</w:t>
      </w:r>
      <w:r>
        <w:rPr>
          <w:rFonts w:hint="eastAsia" w:ascii="仿宋_GB2312" w:hAnsi="仿宋_GB2312" w:cs="仿宋_GB2312"/>
          <w:color w:val="auto"/>
          <w:sz w:val="32"/>
          <w:szCs w:val="32"/>
          <w:lang w:val="en-US" w:eastAsia="zh-CN"/>
        </w:rPr>
        <w:t>7</w:t>
      </w:r>
      <w:r>
        <w:rPr>
          <w:rFonts w:hint="eastAsia" w:ascii="仿宋_GB2312" w:hAnsi="仿宋_GB2312" w:eastAsia="仿宋_GB2312" w:cs="仿宋_GB2312"/>
          <w:color w:val="auto"/>
          <w:sz w:val="32"/>
          <w:szCs w:val="32"/>
        </w:rPr>
        <w:t>人，工勤人员1名。</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rPr>
        <w:t>二、</w:t>
      </w:r>
      <w:r>
        <w:rPr>
          <w:rFonts w:hint="default" w:ascii="Times New Roman" w:hAnsi="Times New Roman" w:eastAsia="黑体" w:cs="Times New Roman"/>
          <w:color w:val="000000"/>
          <w:kern w:val="0"/>
          <w:szCs w:val="32"/>
          <w:highlight w:val="none"/>
          <w:shd w:val="clear" w:color="auto" w:fill="FFFFFF"/>
          <w:lang w:eastAsia="zh-CN"/>
        </w:rPr>
        <w:t>部门</w:t>
      </w:r>
      <w:r>
        <w:rPr>
          <w:rFonts w:hint="default" w:ascii="Times New Roman" w:hAnsi="Times New Roman" w:eastAsia="黑体" w:cs="Times New Roman"/>
          <w:color w:val="000000"/>
          <w:kern w:val="0"/>
          <w:szCs w:val="32"/>
          <w:highlight w:val="none"/>
          <w:shd w:val="clear" w:color="auto" w:fill="FFFFFF"/>
        </w:rPr>
        <w:t>资金收支情况</w:t>
      </w:r>
    </w:p>
    <w:p>
      <w:pPr>
        <w:keepNext w:val="0"/>
        <w:keepLines w:val="0"/>
        <w:pageBreakBefore w:val="0"/>
        <w:widowControl w:val="0"/>
        <w:kinsoku/>
        <w:wordWrap/>
        <w:overflowPunct/>
        <w:topLinePunct w:val="0"/>
        <w:autoSpaceDE/>
        <w:autoSpaceDN/>
        <w:bidi w:val="0"/>
        <w:adjustRightInd/>
        <w:snapToGrid w:val="0"/>
        <w:spacing w:line="560" w:lineRule="exact"/>
        <w:ind w:firstLine="642" w:firstLineChars="200"/>
        <w:jc w:val="left"/>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收入情况</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bookmarkStart w:id="1" w:name="OLE_LINK6"/>
      <w:r>
        <w:rPr>
          <w:rFonts w:hint="eastAsia" w:ascii="仿宋_GB2312" w:hAnsi="仿宋_GB2312" w:eastAsia="仿宋_GB2312" w:cs="仿宋_GB2312"/>
          <w:sz w:val="32"/>
          <w:szCs w:val="32"/>
        </w:rPr>
        <w:t>本单位</w:t>
      </w:r>
      <w:r>
        <w:rPr>
          <w:rFonts w:hint="eastAsia" w:ascii="仿宋_GB2312" w:hAnsi="仿宋_GB2312" w:cs="仿宋_GB2312"/>
          <w:sz w:val="32"/>
          <w:szCs w:val="32"/>
          <w:lang w:eastAsia="zh-CN"/>
        </w:rPr>
        <w:t>2025</w:t>
      </w:r>
      <w:r>
        <w:rPr>
          <w:rFonts w:hint="eastAsia" w:ascii="仿宋_GB2312" w:hAnsi="仿宋_GB2312" w:eastAsia="仿宋_GB2312" w:cs="仿宋_GB2312"/>
          <w:sz w:val="32"/>
          <w:szCs w:val="32"/>
        </w:rPr>
        <w:t>年年初预算安排收入</w:t>
      </w:r>
      <w:r>
        <w:rPr>
          <w:rFonts w:hint="eastAsia" w:ascii="仿宋_GB2312" w:hAnsi="仿宋_GB2312" w:cs="仿宋_GB2312"/>
          <w:sz w:val="32"/>
          <w:szCs w:val="32"/>
          <w:lang w:val="en-US" w:eastAsia="zh-CN"/>
        </w:rPr>
        <w:t>258.23</w:t>
      </w:r>
      <w:r>
        <w:rPr>
          <w:rFonts w:hint="eastAsia" w:ascii="仿宋_GB2312" w:hAnsi="仿宋_GB2312" w:eastAsia="仿宋_GB2312" w:cs="仿宋_GB2312"/>
          <w:sz w:val="32"/>
          <w:szCs w:val="32"/>
        </w:rPr>
        <w:t>万元，本年</w:t>
      </w:r>
      <w:r>
        <w:rPr>
          <w:rFonts w:hint="eastAsia" w:ascii="仿宋_GB2312" w:hAnsi="仿宋_GB2312" w:eastAsia="仿宋_GB2312" w:cs="仿宋_GB2312"/>
          <w:sz w:val="32"/>
          <w:szCs w:val="32"/>
          <w:lang w:eastAsia="zh-CN"/>
        </w:rPr>
        <w:t>决算表</w:t>
      </w:r>
      <w:r>
        <w:rPr>
          <w:rFonts w:hint="eastAsia" w:ascii="仿宋_GB2312" w:hAnsi="仿宋_GB2312" w:eastAsia="仿宋_GB2312" w:cs="仿宋_GB2312"/>
          <w:sz w:val="32"/>
          <w:szCs w:val="32"/>
        </w:rPr>
        <w:t>收入</w:t>
      </w:r>
      <w:r>
        <w:rPr>
          <w:rFonts w:hint="eastAsia" w:ascii="仿宋_GB2312" w:hAnsi="仿宋_GB2312" w:cs="仿宋_GB2312"/>
          <w:sz w:val="32"/>
          <w:szCs w:val="32"/>
          <w:lang w:val="en-US" w:eastAsia="zh-CN"/>
        </w:rPr>
        <w:t>395.94</w:t>
      </w:r>
      <w:r>
        <w:rPr>
          <w:rFonts w:hint="eastAsia" w:ascii="仿宋_GB2312" w:hAnsi="仿宋_GB2312" w:eastAsia="仿宋_GB2312" w:cs="仿宋_GB2312"/>
          <w:sz w:val="32"/>
          <w:szCs w:val="32"/>
        </w:rPr>
        <w:t>万元</w:t>
      </w:r>
      <w:bookmarkEnd w:id="1"/>
      <w:r>
        <w:rPr>
          <w:rFonts w:hint="eastAsia" w:ascii="仿宋_GB2312" w:hAnsi="仿宋_GB2312" w:eastAsia="仿宋_GB2312" w:cs="仿宋_GB2312"/>
          <w:sz w:val="32"/>
          <w:szCs w:val="32"/>
        </w:rPr>
        <w:t>，本年</w:t>
      </w:r>
      <w:r>
        <w:rPr>
          <w:rFonts w:hint="eastAsia" w:ascii="仿宋_GB2312" w:hAnsi="仿宋_GB2312" w:eastAsia="仿宋_GB2312" w:cs="仿宋_GB2312"/>
          <w:sz w:val="32"/>
          <w:szCs w:val="32"/>
          <w:lang w:eastAsia="zh-CN"/>
        </w:rPr>
        <w:t>决算表</w:t>
      </w:r>
      <w:r>
        <w:rPr>
          <w:rFonts w:hint="eastAsia" w:ascii="仿宋_GB2312" w:hAnsi="仿宋_GB2312" w:eastAsia="仿宋_GB2312" w:cs="仿宋_GB2312"/>
          <w:sz w:val="32"/>
          <w:szCs w:val="32"/>
        </w:rPr>
        <w:t>收入与年初预算增加</w:t>
      </w:r>
      <w:r>
        <w:rPr>
          <w:rFonts w:hint="eastAsia" w:ascii="仿宋_GB2312" w:hAnsi="仿宋_GB2312" w:cs="仿宋_GB2312"/>
          <w:sz w:val="32"/>
          <w:szCs w:val="32"/>
          <w:lang w:val="en-US" w:eastAsia="zh-CN"/>
        </w:rPr>
        <w:t>137.71</w:t>
      </w:r>
      <w:r>
        <w:rPr>
          <w:rFonts w:hint="eastAsia" w:ascii="仿宋_GB2312" w:hAnsi="仿宋_GB2312" w:eastAsia="仿宋_GB2312" w:cs="仿宋_GB2312"/>
          <w:sz w:val="32"/>
          <w:szCs w:val="32"/>
        </w:rPr>
        <w:t>万元，差异率</w:t>
      </w:r>
      <w:r>
        <w:rPr>
          <w:rFonts w:hint="eastAsia" w:ascii="仿宋_GB2312" w:hAnsi="仿宋_GB2312" w:cs="仿宋_GB2312"/>
          <w:sz w:val="32"/>
          <w:szCs w:val="32"/>
          <w:lang w:val="en-US" w:eastAsia="zh-CN"/>
        </w:rPr>
        <w:t>53.33</w:t>
      </w:r>
      <w:r>
        <w:rPr>
          <w:rFonts w:hint="eastAsia" w:ascii="仿宋_GB2312" w:hAnsi="仿宋_GB2312" w:eastAsia="仿宋_GB2312" w:cs="仿宋_GB2312"/>
          <w:sz w:val="32"/>
          <w:szCs w:val="32"/>
        </w:rPr>
        <w:t>%。差异原因是预算详实、准确，人员经费增加。</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w:t>
      </w:r>
      <w:bookmarkStart w:id="2" w:name="OLE_LINK7"/>
      <w:r>
        <w:rPr>
          <w:rFonts w:hint="eastAsia" w:ascii="仿宋_GB2312" w:hAnsi="仿宋_GB2312" w:eastAsia="仿宋_GB2312" w:cs="仿宋_GB2312"/>
          <w:sz w:val="32"/>
          <w:szCs w:val="32"/>
        </w:rPr>
        <w:t>本年收入</w:t>
      </w:r>
      <w:r>
        <w:rPr>
          <w:rFonts w:hint="eastAsia" w:ascii="仿宋_GB2312" w:hAnsi="仿宋_GB2312" w:cs="仿宋_GB2312"/>
          <w:sz w:val="32"/>
          <w:szCs w:val="32"/>
          <w:lang w:val="en-US" w:eastAsia="zh-CN"/>
        </w:rPr>
        <w:t>395.94</w:t>
      </w:r>
      <w:r>
        <w:rPr>
          <w:rFonts w:hint="eastAsia" w:ascii="仿宋_GB2312" w:hAnsi="仿宋_GB2312" w:eastAsia="仿宋_GB2312" w:cs="仿宋_GB2312"/>
          <w:sz w:val="32"/>
          <w:szCs w:val="32"/>
        </w:rPr>
        <w:t>元，其中财政拨款收入</w:t>
      </w:r>
      <w:r>
        <w:rPr>
          <w:rFonts w:hint="eastAsia" w:ascii="仿宋_GB2312" w:hAnsi="仿宋_GB2312" w:cs="仿宋_GB2312"/>
          <w:sz w:val="32"/>
          <w:szCs w:val="32"/>
          <w:lang w:val="en-US" w:eastAsia="zh-CN"/>
        </w:rPr>
        <w:t>394.62</w:t>
      </w:r>
      <w:r>
        <w:rPr>
          <w:rFonts w:hint="eastAsia" w:ascii="仿宋_GB2312" w:hAnsi="仿宋_GB2312" w:eastAsia="仿宋_GB2312" w:cs="仿宋_GB2312"/>
          <w:sz w:val="32"/>
          <w:szCs w:val="32"/>
        </w:rPr>
        <w:t>万元，占本年收入</w:t>
      </w:r>
      <w:r>
        <w:rPr>
          <w:rFonts w:hint="eastAsia" w:ascii="仿宋_GB2312" w:hAnsi="仿宋_GB2312" w:cs="仿宋_GB2312"/>
          <w:sz w:val="32"/>
          <w:szCs w:val="32"/>
          <w:lang w:val="en-US" w:eastAsia="zh-CN"/>
        </w:rPr>
        <w:t>99.66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sz w:val="32"/>
          <w:szCs w:val="32"/>
        </w:rPr>
        <w:t>政府性基金预算财政拨款收入</w:t>
      </w:r>
      <w:r>
        <w:rPr>
          <w:rFonts w:hint="eastAsia" w:ascii="仿宋_GB2312" w:hAnsi="仿宋_GB2312" w:cs="仿宋_GB2312"/>
          <w:color w:val="000000"/>
          <w:sz w:val="32"/>
          <w:szCs w:val="32"/>
          <w:lang w:val="en-US" w:eastAsia="zh-CN"/>
        </w:rPr>
        <w:t>1.32</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，占年收入</w:t>
      </w:r>
      <w:r>
        <w:rPr>
          <w:rFonts w:hint="eastAsia" w:ascii="仿宋_GB2312" w:hAnsi="仿宋_GB2312" w:cs="仿宋_GB2312"/>
          <w:color w:val="000000"/>
          <w:sz w:val="32"/>
          <w:szCs w:val="32"/>
          <w:lang w:val="en-US" w:eastAsia="zh-CN"/>
        </w:rPr>
        <w:t>0.34%。</w:t>
      </w:r>
    </w:p>
    <w:bookmarkEnd w:id="2"/>
    <w:p>
      <w:pPr>
        <w:keepNext w:val="0"/>
        <w:keepLines w:val="0"/>
        <w:pageBreakBefore w:val="0"/>
        <w:widowControl/>
        <w:numPr>
          <w:ilvl w:val="0"/>
          <w:numId w:val="2"/>
        </w:numPr>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eastAsia="楷体_GB2312" w:cs="Times New Roman"/>
          <w:b/>
          <w:bCs/>
          <w:color w:val="000000"/>
          <w:kern w:val="0"/>
          <w:szCs w:val="32"/>
          <w:highlight w:val="none"/>
          <w:shd w:val="clear" w:color="auto" w:fill="FFFFFF"/>
          <w:lang w:val="zh-CN"/>
        </w:rPr>
        <w:t>支出情况</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1．本年预算支出</w:t>
      </w:r>
      <w:r>
        <w:rPr>
          <w:rFonts w:hint="eastAsia" w:ascii="仿宋_GB2312" w:hAnsi="仿宋_GB2312" w:cs="仿宋_GB2312"/>
          <w:sz w:val="32"/>
          <w:szCs w:val="32"/>
          <w:lang w:val="en-US" w:eastAsia="zh-CN"/>
        </w:rPr>
        <w:t>258.23</w:t>
      </w:r>
      <w:r>
        <w:rPr>
          <w:rFonts w:hint="eastAsia" w:ascii="仿宋_GB2312" w:hAnsi="仿宋_GB2312" w:eastAsia="仿宋_GB2312" w:cs="仿宋_GB2312"/>
          <w:sz w:val="32"/>
          <w:szCs w:val="32"/>
        </w:rPr>
        <w:t>万元，本年决算数支出</w:t>
      </w:r>
      <w:r>
        <w:rPr>
          <w:rFonts w:hint="eastAsia" w:ascii="仿宋_GB2312" w:hAnsi="仿宋_GB2312" w:cs="仿宋_GB2312"/>
          <w:sz w:val="32"/>
          <w:szCs w:val="32"/>
          <w:lang w:val="en-US" w:eastAsia="zh-CN"/>
        </w:rPr>
        <w:t>395.94</w:t>
      </w:r>
      <w:r>
        <w:rPr>
          <w:rFonts w:hint="eastAsia" w:ascii="仿宋_GB2312" w:hAnsi="仿宋_GB2312" w:eastAsia="仿宋_GB2312" w:cs="仿宋_GB2312"/>
          <w:sz w:val="32"/>
          <w:szCs w:val="32"/>
        </w:rPr>
        <w:t>万元，本年实际支出比预算支出增加</w:t>
      </w:r>
      <w:r>
        <w:rPr>
          <w:rFonts w:hint="eastAsia" w:ascii="仿宋_GB2312" w:hAnsi="仿宋_GB2312" w:cs="仿宋_GB2312"/>
          <w:sz w:val="32"/>
          <w:szCs w:val="32"/>
          <w:lang w:val="en-US" w:eastAsia="zh-CN"/>
        </w:rPr>
        <w:t>137.71</w:t>
      </w:r>
      <w:r>
        <w:rPr>
          <w:rFonts w:hint="eastAsia" w:ascii="仿宋_GB2312" w:hAnsi="仿宋_GB2312" w:eastAsia="仿宋_GB2312" w:cs="仿宋_GB2312"/>
          <w:sz w:val="32"/>
          <w:szCs w:val="32"/>
        </w:rPr>
        <w:t>万元，差异率</w:t>
      </w:r>
      <w:r>
        <w:rPr>
          <w:rFonts w:hint="eastAsia" w:ascii="仿宋_GB2312" w:hAnsi="仿宋_GB2312" w:cs="仿宋_GB2312"/>
          <w:sz w:val="32"/>
          <w:szCs w:val="32"/>
          <w:lang w:val="en-US" w:eastAsia="zh-CN"/>
        </w:rPr>
        <w:t>53.33</w:t>
      </w:r>
      <w:r>
        <w:rPr>
          <w:rFonts w:hint="eastAsia" w:ascii="仿宋_GB2312" w:hAnsi="仿宋_GB2312" w:eastAsia="仿宋_GB2312" w:cs="仿宋_GB2312"/>
          <w:sz w:val="32"/>
          <w:szCs w:val="32"/>
        </w:rPr>
        <w:t xml:space="preserve">%。增加主要原因是因为本年人员调资，社保缴费提高等人员经费增加。 </w:t>
      </w:r>
    </w:p>
    <w:p>
      <w:pPr>
        <w:spacing w:line="600" w:lineRule="exact"/>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w:t>
      </w:r>
      <w:r>
        <w:rPr>
          <w:rFonts w:hint="eastAsia" w:ascii="仿宋_GB2312" w:hAnsi="仿宋"/>
          <w:color w:val="000000"/>
          <w:sz w:val="32"/>
          <w:szCs w:val="32"/>
          <w:lang w:eastAsia="zh-CN"/>
        </w:rPr>
        <w:t>2025</w:t>
      </w:r>
      <w:r>
        <w:rPr>
          <w:rFonts w:hint="eastAsia" w:ascii="仿宋_GB2312" w:hAnsi="仿宋" w:eastAsia="仿宋_GB2312"/>
          <w:color w:val="000000"/>
          <w:sz w:val="32"/>
          <w:szCs w:val="32"/>
        </w:rPr>
        <w:t>年一般公共预算财</w:t>
      </w:r>
      <w:r>
        <w:rPr>
          <w:rFonts w:hint="eastAsia" w:ascii="仿宋_GB2312" w:hAnsi="仿宋" w:eastAsia="仿宋_GB2312"/>
          <w:color w:val="000000" w:themeColor="text1"/>
          <w:sz w:val="32"/>
          <w:szCs w:val="32"/>
          <w14:textFill>
            <w14:solidFill>
              <w14:schemeClr w14:val="tx1"/>
            </w14:solidFill>
          </w14:textFill>
        </w:rPr>
        <w:t>政拨款支出</w:t>
      </w:r>
      <w:r>
        <w:rPr>
          <w:rFonts w:hint="eastAsia" w:ascii="仿宋_GB2312" w:hAnsi="仿宋"/>
          <w:color w:val="000000" w:themeColor="text1"/>
          <w:sz w:val="32"/>
          <w:szCs w:val="32"/>
          <w:lang w:val="en-US" w:eastAsia="zh-CN"/>
          <w14:textFill>
            <w14:solidFill>
              <w14:schemeClr w14:val="tx1"/>
            </w14:solidFill>
          </w14:textFill>
        </w:rPr>
        <w:t>395.94</w:t>
      </w:r>
      <w:r>
        <w:rPr>
          <w:rFonts w:hint="eastAsia" w:ascii="仿宋_GB2312" w:hAnsi="仿宋" w:eastAsia="仿宋_GB2312"/>
          <w:color w:val="000000" w:themeColor="text1"/>
          <w:sz w:val="32"/>
          <w:szCs w:val="32"/>
          <w14:textFill>
            <w14:solidFill>
              <w14:schemeClr w14:val="tx1"/>
            </w14:solidFill>
          </w14:textFill>
        </w:rPr>
        <w:t>万元，主要用于以下方面:</w:t>
      </w:r>
      <w:r>
        <w:rPr>
          <w:rFonts w:hint="eastAsia" w:ascii="仿宋_GB2312" w:hAnsi="仿宋_GB2312" w:eastAsia="仿宋_GB2312" w:cs="仿宋_GB2312"/>
          <w:b/>
          <w:bCs/>
          <w:sz w:val="32"/>
          <w:szCs w:val="32"/>
        </w:rPr>
        <w:t>社会保障和就业</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类）</w:t>
      </w:r>
      <w:r>
        <w:rPr>
          <w:rFonts w:hint="eastAsia" w:ascii="仿宋_GB2312" w:hAnsi="仿宋_GB2312" w:eastAsia="仿宋_GB2312" w:cs="仿宋_GB2312"/>
          <w:sz w:val="32"/>
          <w:szCs w:val="32"/>
        </w:rPr>
        <w:t>支出为</w:t>
      </w:r>
      <w:r>
        <w:rPr>
          <w:rFonts w:hint="eastAsia" w:ascii="仿宋_GB2312" w:hAnsi="仿宋_GB2312" w:cs="仿宋_GB2312"/>
          <w:sz w:val="32"/>
          <w:szCs w:val="32"/>
          <w:lang w:val="en-US" w:eastAsia="zh-CN"/>
        </w:rPr>
        <w:t>367.49</w:t>
      </w:r>
      <w:r>
        <w:rPr>
          <w:rFonts w:hint="eastAsia" w:ascii="仿宋_GB2312" w:hAnsi="仿宋_GB2312" w:eastAsia="仿宋_GB2312" w:cs="仿宋_GB2312"/>
          <w:sz w:val="32"/>
          <w:szCs w:val="32"/>
        </w:rPr>
        <w:t>万元，占比</w:t>
      </w:r>
      <w:r>
        <w:rPr>
          <w:rFonts w:hint="eastAsia" w:ascii="仿宋_GB2312" w:hAnsi="仿宋_GB2312" w:cs="仿宋_GB2312"/>
          <w:sz w:val="32"/>
          <w:szCs w:val="32"/>
          <w:lang w:val="en-US" w:eastAsia="zh-CN"/>
        </w:rPr>
        <w:t>92.81</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卫生健康</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类）</w:t>
      </w:r>
      <w:r>
        <w:rPr>
          <w:rFonts w:hint="eastAsia" w:ascii="仿宋_GB2312" w:hAnsi="仿宋_GB2312" w:eastAsia="仿宋_GB2312" w:cs="仿宋_GB2312"/>
          <w:sz w:val="32"/>
          <w:szCs w:val="32"/>
        </w:rPr>
        <w:t>支出为</w:t>
      </w:r>
      <w:r>
        <w:rPr>
          <w:rFonts w:hint="eastAsia" w:ascii="仿宋_GB2312" w:hAnsi="仿宋_GB2312" w:cs="仿宋_GB2312"/>
          <w:sz w:val="32"/>
          <w:szCs w:val="32"/>
          <w:lang w:val="en-US" w:eastAsia="zh-CN"/>
        </w:rPr>
        <w:t>11.14</w:t>
      </w:r>
      <w:r>
        <w:rPr>
          <w:rFonts w:hint="eastAsia" w:ascii="仿宋_GB2312" w:hAnsi="仿宋_GB2312" w:eastAsia="仿宋_GB2312" w:cs="仿宋_GB2312"/>
          <w:sz w:val="32"/>
          <w:szCs w:val="32"/>
        </w:rPr>
        <w:t>万元，占比</w:t>
      </w:r>
      <w:r>
        <w:rPr>
          <w:rFonts w:hint="eastAsia" w:ascii="仿宋_GB2312" w:hAnsi="仿宋_GB2312" w:cs="仿宋_GB2312"/>
          <w:sz w:val="32"/>
          <w:szCs w:val="32"/>
          <w:lang w:val="en-US" w:eastAsia="zh-CN"/>
        </w:rPr>
        <w:t>2.81</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住房保障</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类）</w:t>
      </w:r>
      <w:r>
        <w:rPr>
          <w:rFonts w:hint="eastAsia" w:ascii="仿宋_GB2312" w:hAnsi="仿宋_GB2312" w:eastAsia="仿宋_GB2312" w:cs="仿宋_GB2312"/>
          <w:sz w:val="32"/>
          <w:szCs w:val="32"/>
        </w:rPr>
        <w:t>支出为</w:t>
      </w:r>
      <w:r>
        <w:rPr>
          <w:rFonts w:hint="eastAsia" w:ascii="仿宋_GB2312" w:hAnsi="仿宋_GB2312" w:cs="仿宋_GB2312"/>
          <w:sz w:val="32"/>
          <w:szCs w:val="32"/>
          <w:lang w:val="en-US" w:eastAsia="zh-CN"/>
        </w:rPr>
        <w:t>15.99</w:t>
      </w:r>
      <w:r>
        <w:rPr>
          <w:rFonts w:hint="eastAsia" w:ascii="仿宋_GB2312" w:hAnsi="仿宋_GB2312" w:eastAsia="仿宋_GB2312" w:cs="仿宋_GB2312"/>
          <w:sz w:val="32"/>
          <w:szCs w:val="32"/>
        </w:rPr>
        <w:t>万元，占比</w:t>
      </w:r>
      <w:r>
        <w:rPr>
          <w:rFonts w:hint="eastAsia" w:ascii="仿宋_GB2312" w:hAnsi="仿宋_GB2312" w:cs="仿宋_GB2312"/>
          <w:sz w:val="32"/>
          <w:szCs w:val="32"/>
          <w:lang w:val="en-US" w:eastAsia="zh-CN"/>
        </w:rPr>
        <w:t>4.04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lang w:eastAsia="zh-CN"/>
        </w:rPr>
        <w:t>其他支出</w:t>
      </w:r>
      <w:r>
        <w:rPr>
          <w:rFonts w:hint="eastAsia" w:ascii="仿宋_GB2312" w:hAnsi="仿宋_GB2312" w:eastAsia="仿宋_GB2312" w:cs="仿宋_GB2312"/>
          <w:b w:val="0"/>
          <w:bCs w:val="0"/>
          <w:sz w:val="32"/>
          <w:szCs w:val="32"/>
          <w:lang w:eastAsia="zh-CN"/>
        </w:rPr>
        <w:t>为</w:t>
      </w:r>
      <w:r>
        <w:rPr>
          <w:rFonts w:hint="eastAsia" w:ascii="仿宋_GB2312" w:hAnsi="仿宋_GB2312" w:cs="仿宋_GB2312"/>
          <w:b w:val="0"/>
          <w:bCs w:val="0"/>
          <w:sz w:val="32"/>
          <w:szCs w:val="32"/>
          <w:lang w:val="en-US" w:eastAsia="zh-CN"/>
        </w:rPr>
        <w:t>1.32</w:t>
      </w:r>
      <w:r>
        <w:rPr>
          <w:rFonts w:hint="eastAsia" w:ascii="仿宋_GB2312" w:hAnsi="仿宋_GB2312" w:eastAsia="仿宋_GB2312" w:cs="仿宋_GB2312"/>
          <w:b w:val="0"/>
          <w:bCs w:val="0"/>
          <w:sz w:val="32"/>
          <w:szCs w:val="32"/>
          <w:lang w:val="en-US" w:eastAsia="zh-CN"/>
        </w:rPr>
        <w:t>万元，占比</w:t>
      </w:r>
      <w:r>
        <w:rPr>
          <w:rFonts w:hint="eastAsia" w:ascii="仿宋_GB2312" w:hAnsi="仿宋_GB2312" w:cs="仿宋_GB2312"/>
          <w:b w:val="0"/>
          <w:bCs w:val="0"/>
          <w:sz w:val="32"/>
          <w:szCs w:val="32"/>
          <w:lang w:val="en-US" w:eastAsia="zh-CN"/>
        </w:rPr>
        <w:t>0.34</w:t>
      </w:r>
      <w:r>
        <w:rPr>
          <w:rFonts w:hint="eastAsia" w:ascii="仿宋_GB2312" w:hAnsi="仿宋_GB2312" w:eastAsia="仿宋_GB2312" w:cs="仿宋_GB2312"/>
          <w:b w:val="0"/>
          <w:bCs w:val="0"/>
          <w:sz w:val="32"/>
          <w:szCs w:val="32"/>
          <w:lang w:val="en-US" w:eastAsia="zh-CN"/>
        </w:rPr>
        <w:t>%。</w:t>
      </w:r>
    </w:p>
    <w:p>
      <w:pPr>
        <w:keepNext w:val="0"/>
        <w:keepLines w:val="0"/>
        <w:pageBreakBefore w:val="0"/>
        <w:widowControl/>
        <w:numPr>
          <w:ilvl w:val="0"/>
          <w:numId w:val="2"/>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outlineLvl w:val="9"/>
        <w:rPr>
          <w:rFonts w:hint="eastAsia" w:ascii="Times New Roman" w:hAnsi="Times New Roman" w:eastAsia="楷体_GB2312" w:cs="Times New Roman"/>
          <w:b/>
          <w:szCs w:val="32"/>
          <w:lang w:eastAsia="zh-CN"/>
        </w:rPr>
      </w:pPr>
      <w:r>
        <w:rPr>
          <w:rFonts w:hint="default" w:ascii="Times New Roman" w:hAnsi="Times New Roman" w:eastAsia="楷体_GB2312" w:cs="Times New Roman"/>
          <w:b/>
          <w:szCs w:val="32"/>
        </w:rPr>
        <w:t>结余分配和结转结余情况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bookmarkStart w:id="3" w:name="OLE_LINK10"/>
      <w:bookmarkStart w:id="4" w:name="OLE_LINK9"/>
      <w:r>
        <w:rPr>
          <w:rFonts w:hint="eastAsia" w:cs="Times New Roman"/>
          <w:szCs w:val="32"/>
          <w:lang w:val="en-US" w:eastAsia="zh-CN"/>
        </w:rPr>
        <w:t>2025年</w:t>
      </w:r>
      <w:r>
        <w:rPr>
          <w:rFonts w:hint="eastAsia" w:ascii="Times New Roman" w:hAnsi="Times New Roman" w:cs="Times New Roman"/>
          <w:szCs w:val="32"/>
          <w:lang w:val="en-US" w:eastAsia="zh-CN"/>
        </w:rPr>
        <w:t>决算报表</w:t>
      </w:r>
      <w:r>
        <w:rPr>
          <w:rFonts w:hint="eastAsia" w:cs="Times New Roman"/>
          <w:szCs w:val="32"/>
          <w:lang w:val="en-US" w:eastAsia="zh-CN"/>
        </w:rPr>
        <w:t>无</w:t>
      </w:r>
      <w:r>
        <w:rPr>
          <w:rFonts w:hint="default" w:ascii="Times New Roman" w:hAnsi="Times New Roman" w:eastAsia="仿宋_GB2312" w:cs="Times New Roman"/>
          <w:b w:val="0"/>
          <w:bCs w:val="0"/>
          <w:color w:val="000000"/>
          <w:kern w:val="0"/>
          <w:szCs w:val="32"/>
          <w:highlight w:val="none"/>
          <w:shd w:val="clear" w:color="auto" w:fill="FFFFFF"/>
          <w:lang w:val="en-US" w:eastAsia="zh-CN"/>
        </w:rPr>
        <w:t>结转结余</w:t>
      </w:r>
      <w:bookmarkEnd w:id="3"/>
      <w:r>
        <w:rPr>
          <w:rFonts w:hint="default" w:ascii="Times New Roman" w:hAnsi="Times New Roman" w:eastAsia="仿宋_GB2312" w:cs="Times New Roman"/>
          <w:b w:val="0"/>
          <w:bCs w:val="0"/>
          <w:color w:val="000000"/>
          <w:kern w:val="0"/>
          <w:szCs w:val="32"/>
          <w:highlight w:val="none"/>
          <w:shd w:val="clear" w:color="auto" w:fill="FFFFFF"/>
          <w:lang w:val="en-US" w:eastAsia="zh-CN"/>
        </w:rPr>
        <w:t>。</w:t>
      </w:r>
    </w:p>
    <w:bookmarkEnd w:id="4"/>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themeColor="text1"/>
          <w:kern w:val="0"/>
          <w:szCs w:val="32"/>
          <w:highlight w:val="none"/>
          <w:shd w:val="clear" w:color="auto" w:fill="FFFFFF"/>
          <w14:textFill>
            <w14:solidFill>
              <w14:schemeClr w14:val="tx1"/>
            </w14:solidFill>
          </w14:textFill>
        </w:rPr>
      </w:pPr>
      <w:r>
        <w:rPr>
          <w:rFonts w:hint="default" w:ascii="Times New Roman" w:hAnsi="Times New Roman" w:eastAsia="黑体" w:cs="Times New Roman"/>
          <w:color w:val="000000"/>
          <w:kern w:val="0"/>
          <w:szCs w:val="32"/>
          <w:highlight w:val="none"/>
          <w:shd w:val="clear" w:color="auto" w:fill="FFFFFF"/>
        </w:rPr>
        <w:t>三、</w:t>
      </w:r>
      <w:r>
        <w:rPr>
          <w:rFonts w:hint="default" w:ascii="Times New Roman" w:hAnsi="Times New Roman" w:eastAsia="黑体" w:cs="Times New Roman"/>
          <w:color w:val="000000"/>
          <w:kern w:val="0"/>
          <w:szCs w:val="32"/>
          <w:highlight w:val="none"/>
          <w:u w:val="none"/>
          <w:shd w:val="clear" w:color="auto" w:fill="FFFFFF"/>
        </w:rPr>
        <w:t>部门</w:t>
      </w:r>
      <w:r>
        <w:rPr>
          <w:rFonts w:hint="default" w:ascii="Times New Roman" w:hAnsi="Times New Roman" w:eastAsia="黑体" w:cs="Times New Roman"/>
          <w:color w:val="000000"/>
          <w:kern w:val="0"/>
          <w:szCs w:val="32"/>
          <w:highlight w:val="none"/>
          <w:u w:val="none"/>
          <w:shd w:val="clear" w:color="auto" w:fill="FFFFFF"/>
          <w:lang w:eastAsia="zh-CN"/>
        </w:rPr>
        <w:t>预算</w:t>
      </w:r>
      <w:r>
        <w:rPr>
          <w:rFonts w:hint="default" w:ascii="Times New Roman" w:hAnsi="Times New Roman" w:eastAsia="黑体" w:cs="Times New Roman"/>
          <w:color w:val="000000"/>
          <w:kern w:val="0"/>
          <w:szCs w:val="32"/>
          <w:highlight w:val="none"/>
          <w:u w:val="none"/>
          <w:shd w:val="clear" w:color="auto" w:fill="FFFFFF"/>
        </w:rPr>
        <w:t>绩效</w:t>
      </w:r>
      <w:r>
        <w:rPr>
          <w:rFonts w:hint="default" w:ascii="Times New Roman" w:hAnsi="Times New Roman" w:eastAsia="黑体" w:cs="Times New Roman"/>
          <w:color w:val="000000"/>
          <w:kern w:val="0"/>
          <w:szCs w:val="32"/>
          <w:highlight w:val="none"/>
          <w:u w:val="none"/>
          <w:shd w:val="clear" w:color="auto" w:fill="FFFFFF"/>
          <w:lang w:eastAsia="zh-CN"/>
        </w:rPr>
        <w:t>分析</w:t>
      </w:r>
    </w:p>
    <w:p>
      <w:pPr>
        <w:spacing w:line="580" w:lineRule="exact"/>
        <w:ind w:firstLine="642" w:firstLineChars="200"/>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部门预算</w:t>
      </w:r>
      <w:r>
        <w:rPr>
          <w:rFonts w:hint="default" w:ascii="Times New Roman" w:hAnsi="Times New Roman" w:eastAsia="楷体_GB2312" w:cs="Times New Roman"/>
          <w:b/>
          <w:bCs/>
          <w:color w:val="000000"/>
          <w:kern w:val="0"/>
          <w:szCs w:val="32"/>
          <w:highlight w:val="none"/>
          <w:shd w:val="clear" w:color="auto" w:fill="FFFFFF"/>
          <w:lang w:val="zh-CN"/>
        </w:rPr>
        <w:t>总体绩效分析</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60分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en-US" w:eastAsia="zh-CN"/>
        </w:rPr>
        <w:t>1.</w:t>
      </w:r>
      <w:r>
        <w:rPr>
          <w:rFonts w:hint="eastAsia" w:ascii="楷体_GB2312" w:hAnsi="楷体_GB2312" w:eastAsia="楷体_GB2312" w:cs="楷体_GB2312"/>
          <w:color w:val="000000"/>
          <w:kern w:val="0"/>
          <w:szCs w:val="32"/>
          <w:highlight w:val="none"/>
          <w:shd w:val="clear" w:color="auto" w:fill="FFFFFF"/>
          <w:lang w:val="zh-CN"/>
        </w:rPr>
        <w:t>履职效能。</w:t>
      </w:r>
      <w:bookmarkStart w:id="5" w:name="OLE_LINK1"/>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15分</w:t>
      </w:r>
      <w:r>
        <w:rPr>
          <w:rFonts w:hint="eastAsia" w:ascii="楷体_GB2312" w:hAnsi="楷体_GB2312" w:eastAsia="楷体_GB2312" w:cs="楷体_GB2312"/>
          <w:color w:val="000000"/>
          <w:kern w:val="0"/>
          <w:szCs w:val="32"/>
          <w:highlight w:val="none"/>
          <w:shd w:val="clear" w:color="auto" w:fill="FFFFFF"/>
          <w:lang w:val="zh-CN"/>
        </w:rPr>
        <w:t>）</w:t>
      </w:r>
      <w:bookmarkEnd w:id="5"/>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cs="Times New Roman"/>
          <w:color w:val="000000"/>
          <w:kern w:val="0"/>
          <w:szCs w:val="32"/>
          <w:highlight w:val="none"/>
          <w:shd w:val="clear" w:color="auto" w:fill="FFFFFF"/>
          <w:lang w:val="zh-CN"/>
        </w:rPr>
      </w:pPr>
      <w:r>
        <w:rPr>
          <w:rFonts w:hint="eastAsia" w:ascii="Times New Roman" w:hAnsi="Times New Roman" w:cs="Times New Roman"/>
          <w:color w:val="000000"/>
          <w:kern w:val="0"/>
          <w:szCs w:val="32"/>
          <w:highlight w:val="none"/>
          <w:shd w:val="clear" w:color="auto" w:fill="FFFFFF"/>
          <w:lang w:val="zh-CN"/>
        </w:rPr>
        <w:t>部门整体绩效目标中选定3-5个核心职能目标，</w:t>
      </w:r>
      <w:r>
        <w:rPr>
          <w:rFonts w:hint="eastAsia" w:cs="Times New Roman"/>
          <w:color w:val="000000"/>
          <w:kern w:val="0"/>
          <w:szCs w:val="32"/>
          <w:highlight w:val="none"/>
          <w:shd w:val="clear" w:color="auto" w:fill="FFFFFF"/>
          <w:lang w:val="zh-CN"/>
        </w:rPr>
        <w:t>对</w:t>
      </w:r>
      <w:r>
        <w:rPr>
          <w:rFonts w:hint="eastAsia" w:ascii="Times New Roman" w:hAnsi="Times New Roman" w:cs="Times New Roman"/>
          <w:color w:val="000000"/>
          <w:kern w:val="0"/>
          <w:szCs w:val="32"/>
          <w:highlight w:val="none"/>
          <w:shd w:val="clear" w:color="auto" w:fill="FFFFFF"/>
          <w:lang w:val="zh-CN"/>
        </w:rPr>
        <w:t>职能目标完成效果情况</w:t>
      </w:r>
      <w:r>
        <w:rPr>
          <w:rFonts w:hint="eastAsia" w:cs="Times New Roman"/>
          <w:color w:val="000000"/>
          <w:kern w:val="0"/>
          <w:szCs w:val="32"/>
          <w:highlight w:val="none"/>
          <w:shd w:val="clear" w:color="auto" w:fill="FFFFFF"/>
          <w:lang w:val="zh-CN"/>
        </w:rPr>
        <w:t>绩效分析。</w:t>
      </w:r>
    </w:p>
    <w:p>
      <w:pPr>
        <w:pStyle w:val="13"/>
        <w:ind w:left="0" w:leftChars="0" w:firstLine="640" w:firstLineChars="200"/>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A.“净土阿坝 自强助学”残疾学生助学金64人，发放标准为学前(1000元)、小学（500元）、初中（500元）、高中或中专、中职（1000元）、专科或高职（3000元）、本科（5000元）、研究生（8000元）、博士生（10000元）。</w:t>
      </w:r>
    </w:p>
    <w:p>
      <w:pPr>
        <w:pStyle w:val="13"/>
        <w:ind w:left="0" w:leftChars="0" w:firstLine="640" w:firstLineChars="200"/>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B.温暖万家兴慰问残疾困难发放312人，发放标准500元。</w:t>
      </w:r>
    </w:p>
    <w:p>
      <w:pPr>
        <w:pStyle w:val="13"/>
        <w:ind w:left="0" w:leftChars="0" w:firstLine="640" w:firstLineChars="200"/>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C.为44名肢体残疾人发放机动车燃油补贴，发放标准365元。</w:t>
      </w:r>
    </w:p>
    <w:p>
      <w:pPr>
        <w:pStyle w:val="13"/>
        <w:ind w:left="0" w:leftChars="0" w:firstLine="640" w:firstLineChars="200"/>
        <w:rPr>
          <w:rFonts w:hint="default"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D.</w:t>
      </w:r>
      <w:r>
        <w:rPr>
          <w:rFonts w:hint="eastAsia" w:ascii="仿宋_GB2312" w:hAnsi="仿宋_GB2312" w:eastAsia="仿宋_GB2312" w:cs="仿宋_GB2312"/>
          <w:b w:val="0"/>
          <w:bCs/>
          <w:color w:val="auto"/>
          <w:kern w:val="2"/>
          <w:sz w:val="32"/>
          <w:szCs w:val="32"/>
          <w:highlight w:val="none"/>
          <w:lang w:val="en-US" w:eastAsia="zh-CN" w:bidi="ar-SA"/>
        </w:rPr>
        <w:t>为120名经济困难的残疾人发放“全国助残日”直接补助</w:t>
      </w:r>
      <w:r>
        <w:rPr>
          <w:rFonts w:hint="eastAsia" w:cs="Times New Roman"/>
          <w:color w:val="000000"/>
          <w:kern w:val="0"/>
          <w:szCs w:val="32"/>
          <w:highlight w:val="none"/>
          <w:shd w:val="clear" w:color="auto" w:fill="FFFFFF"/>
          <w:lang w:val="en-US" w:eastAsia="zh-CN"/>
        </w:rPr>
        <w:t>发放标准1000元。</w:t>
      </w:r>
    </w:p>
    <w:p>
      <w:pPr>
        <w:pStyle w:val="27"/>
        <w:keepNext w:val="0"/>
        <w:keepLines w:val="0"/>
        <w:pageBreakBefore w:val="0"/>
        <w:widowControl/>
        <w:suppressLineNumbers w:val="0"/>
        <w:kinsoku/>
        <w:overflowPunct/>
        <w:topLinePunct w:val="0"/>
        <w:autoSpaceDE/>
        <w:autoSpaceDN/>
        <w:bidi w:val="0"/>
        <w:adjustRightInd/>
        <w:snapToGrid/>
        <w:spacing w:before="0" w:beforeAutospacing="0" w:after="0" w:afterAutospacing="0" w:line="560" w:lineRule="exact"/>
        <w:ind w:left="0" w:firstLine="640" w:firstLineChars="200"/>
        <w:jc w:val="left"/>
        <w:textAlignment w:val="auto"/>
        <w:rPr>
          <w:rFonts w:hint="default" w:ascii="楷体_GB2312" w:hAnsi="楷体_GB2312" w:eastAsia="楷体_GB2312" w:cs="楷体_GB2312"/>
          <w:color w:val="000000"/>
          <w:kern w:val="0"/>
          <w:szCs w:val="32"/>
          <w:highlight w:val="none"/>
          <w:shd w:val="clear" w:color="auto" w:fill="FFFFFF"/>
          <w:lang w:val="en-US" w:eastAsia="zh-CN"/>
        </w:rPr>
      </w:pPr>
      <w:r>
        <w:rPr>
          <w:rFonts w:hint="eastAsia" w:ascii="楷体_GB2312" w:hAnsi="楷体_GB2312" w:eastAsia="楷体_GB2312" w:cs="楷体_GB2312"/>
          <w:color w:val="000000"/>
          <w:kern w:val="0"/>
          <w:sz w:val="32"/>
          <w:szCs w:val="32"/>
          <w:highlight w:val="none"/>
          <w:shd w:val="clear" w:color="auto" w:fill="FFFFFF"/>
          <w:lang w:val="en-US" w:eastAsia="zh-CN" w:bidi="ar-SA"/>
        </w:rPr>
        <w:t>2.</w:t>
      </w:r>
      <w:r>
        <w:rPr>
          <w:rFonts w:hint="default" w:ascii="楷体_GB2312" w:hAnsi="楷体_GB2312" w:eastAsia="楷体_GB2312" w:cs="楷体_GB2312"/>
          <w:color w:val="000000"/>
          <w:kern w:val="0"/>
          <w:sz w:val="32"/>
          <w:szCs w:val="32"/>
          <w:highlight w:val="none"/>
          <w:shd w:val="clear" w:color="auto" w:fill="FFFFFF"/>
          <w:lang w:val="zh-CN" w:eastAsia="zh-CN" w:bidi="ar-SA"/>
        </w:rPr>
        <w:t>预算管理</w:t>
      </w: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 w:val="32"/>
          <w:szCs w:val="32"/>
          <w:highlight w:val="none"/>
          <w:shd w:val="clear" w:color="auto" w:fill="FFFFFF"/>
          <w:lang w:val="zh-CN" w:eastAsia="zh-CN" w:bidi="ar-SA"/>
        </w:rPr>
        <w:t>得分：</w:t>
      </w:r>
      <w:r>
        <w:rPr>
          <w:rFonts w:hint="eastAsia" w:ascii="楷体_GB2312" w:hAnsi="楷体_GB2312" w:eastAsia="楷体_GB2312" w:cs="楷体_GB2312"/>
          <w:color w:val="000000"/>
          <w:kern w:val="0"/>
          <w:sz w:val="32"/>
          <w:szCs w:val="32"/>
          <w:highlight w:val="none"/>
          <w:shd w:val="clear" w:color="auto" w:fill="FFFFFF"/>
          <w:lang w:val="en-US" w:eastAsia="zh-CN" w:bidi="ar-SA"/>
        </w:rPr>
        <w:t>22分</w:t>
      </w:r>
      <w:r>
        <w:rPr>
          <w:rFonts w:hint="eastAsia" w:ascii="楷体_GB2312" w:hAnsi="楷体_GB2312" w:eastAsia="楷体_GB2312" w:cs="楷体_GB2312"/>
          <w:color w:val="000000"/>
          <w:kern w:val="0"/>
          <w:sz w:val="32"/>
          <w:szCs w:val="32"/>
          <w:highlight w:val="none"/>
          <w:shd w:val="clear" w:color="auto" w:fill="FFFFFF"/>
          <w:lang w:val="zh-CN" w:eastAsia="zh-CN" w:bidi="ar-SA"/>
        </w:rPr>
        <w:t>）</w:t>
      </w:r>
    </w:p>
    <w:p>
      <w:pPr>
        <w:pStyle w:val="27"/>
        <w:keepNext w:val="0"/>
        <w:keepLines w:val="0"/>
        <w:pageBreakBefore w:val="0"/>
        <w:widowControl/>
        <w:suppressLineNumbers w:val="0"/>
        <w:kinsoku/>
        <w:overflowPunct/>
        <w:topLinePunct w:val="0"/>
        <w:autoSpaceDE/>
        <w:autoSpaceDN/>
        <w:bidi w:val="0"/>
        <w:adjustRightInd/>
        <w:snapToGrid/>
        <w:spacing w:before="0" w:beforeAutospacing="0" w:after="0" w:afterAutospacing="0" w:line="560" w:lineRule="exact"/>
        <w:ind w:left="0" w:firstLine="640" w:firstLineChars="200"/>
        <w:jc w:val="left"/>
        <w:textAlignment w:val="auto"/>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zh-CN"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zh-CN" w:eastAsia="zh-CN"/>
        </w:rPr>
        <w:t>）预算编制质量：严格按照</w:t>
      </w:r>
      <w:r>
        <w:rPr>
          <w:rFonts w:hint="eastAsia" w:ascii="仿宋_GB2312" w:hAnsi="仿宋_GB2312" w:eastAsia="仿宋_GB2312" w:cs="仿宋_GB2312"/>
          <w:color w:val="auto"/>
          <w:sz w:val="32"/>
          <w:szCs w:val="32"/>
          <w:lang w:val="en-US" w:eastAsia="zh-CN"/>
        </w:rPr>
        <w:t>县财政局“人员经费按标准，公用经费按定额”的预算原则，根据县财政局关于做好2025年财务工作预算的通知要求，客观真实编制了2025年部门预算，年初预算具有科学性和准确性。</w:t>
      </w:r>
      <w:r>
        <w:rPr>
          <w:rFonts w:hint="eastAsia" w:ascii="仿宋_GB2312" w:hAnsi="仿宋_GB2312" w:eastAsia="仿宋_GB2312" w:cs="仿宋_GB2312"/>
          <w:color w:val="auto"/>
          <w:sz w:val="32"/>
          <w:szCs w:val="32"/>
          <w:lang w:val="zh-CN" w:eastAsia="zh-CN"/>
        </w:rPr>
        <w:t>（得分：</w:t>
      </w:r>
      <w:r>
        <w:rPr>
          <w:rFonts w:hint="eastAsia" w:ascii="仿宋_GB2312" w:hAnsi="仿宋_GB2312" w:eastAsia="仿宋_GB2312" w:cs="仿宋_GB2312"/>
          <w:color w:val="auto"/>
          <w:sz w:val="32"/>
          <w:szCs w:val="32"/>
          <w:lang w:val="en-US" w:eastAsia="zh-CN"/>
        </w:rPr>
        <w:t>8分</w:t>
      </w:r>
      <w:r>
        <w:rPr>
          <w:rFonts w:hint="eastAsia" w:ascii="仿宋_GB2312" w:hAnsi="仿宋_GB2312" w:eastAsia="仿宋_GB2312" w:cs="仿宋_GB2312"/>
          <w:color w:val="auto"/>
          <w:sz w:val="32"/>
          <w:szCs w:val="32"/>
          <w:lang w:val="zh-CN" w:eastAsia="zh-CN"/>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zh-CN"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val="zh-CN" w:eastAsia="zh-CN"/>
        </w:rPr>
        <w:t>）单位收入统筹：</w:t>
      </w:r>
      <w:bookmarkStart w:id="6" w:name="OLE_LINK4"/>
      <w:r>
        <w:rPr>
          <w:rFonts w:hint="eastAsia" w:ascii="仿宋_GB2312" w:hAnsi="仿宋_GB2312" w:eastAsia="仿宋_GB2312" w:cs="仿宋_GB2312"/>
          <w:sz w:val="32"/>
          <w:szCs w:val="32"/>
        </w:rPr>
        <w:t>本年收入</w:t>
      </w:r>
      <w:r>
        <w:rPr>
          <w:rFonts w:hint="eastAsia" w:ascii="仿宋_GB2312" w:hAnsi="仿宋_GB2312" w:cs="仿宋_GB2312"/>
          <w:sz w:val="32"/>
          <w:szCs w:val="32"/>
          <w:lang w:val="en-US" w:eastAsia="zh-CN"/>
        </w:rPr>
        <w:t>395.94</w:t>
      </w:r>
      <w:r>
        <w:rPr>
          <w:rFonts w:hint="eastAsia" w:ascii="仿宋_GB2312" w:hAnsi="仿宋_GB2312" w:eastAsia="仿宋_GB2312" w:cs="仿宋_GB2312"/>
          <w:sz w:val="32"/>
          <w:szCs w:val="32"/>
        </w:rPr>
        <w:t>元，其中财政拨款收入</w:t>
      </w:r>
      <w:r>
        <w:rPr>
          <w:rFonts w:hint="eastAsia" w:ascii="仿宋_GB2312" w:hAnsi="仿宋_GB2312" w:cs="仿宋_GB2312"/>
          <w:sz w:val="32"/>
          <w:szCs w:val="32"/>
          <w:lang w:val="en-US" w:eastAsia="zh-CN"/>
        </w:rPr>
        <w:t>394.62</w:t>
      </w:r>
      <w:r>
        <w:rPr>
          <w:rFonts w:hint="eastAsia" w:ascii="仿宋_GB2312" w:hAnsi="仿宋_GB2312" w:eastAsia="仿宋_GB2312" w:cs="仿宋_GB2312"/>
          <w:sz w:val="32"/>
          <w:szCs w:val="32"/>
        </w:rPr>
        <w:t>万元，占本年收入</w:t>
      </w:r>
      <w:r>
        <w:rPr>
          <w:rFonts w:hint="eastAsia" w:ascii="仿宋_GB2312" w:hAnsi="仿宋_GB2312" w:cs="仿宋_GB2312"/>
          <w:sz w:val="32"/>
          <w:szCs w:val="32"/>
          <w:lang w:val="en-US" w:eastAsia="zh-CN"/>
        </w:rPr>
        <w:t>99.66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sz w:val="32"/>
          <w:szCs w:val="32"/>
        </w:rPr>
        <w:t>政府性基金预算财政拨款收入</w:t>
      </w:r>
      <w:r>
        <w:rPr>
          <w:rFonts w:hint="eastAsia" w:ascii="仿宋_GB2312" w:hAnsi="仿宋_GB2312" w:cs="仿宋_GB2312"/>
          <w:color w:val="000000"/>
          <w:sz w:val="32"/>
          <w:szCs w:val="32"/>
          <w:lang w:val="en-US" w:eastAsia="zh-CN"/>
        </w:rPr>
        <w:t>1.32</w:t>
      </w:r>
      <w:r>
        <w:rPr>
          <w:rFonts w:hint="eastAsia" w:ascii="仿宋_GB2312" w:hAnsi="仿宋_GB2312" w:eastAsia="仿宋_GB2312" w:cs="仿宋_GB2312"/>
          <w:color w:val="000000"/>
          <w:sz w:val="32"/>
          <w:szCs w:val="32"/>
        </w:rPr>
        <w:t>万元</w:t>
      </w:r>
      <w:r>
        <w:rPr>
          <w:rFonts w:hint="eastAsia" w:ascii="仿宋_GB2312" w:hAnsi="仿宋_GB2312" w:eastAsia="仿宋_GB2312" w:cs="仿宋_GB2312"/>
          <w:color w:val="000000"/>
          <w:sz w:val="32"/>
          <w:szCs w:val="32"/>
          <w:lang w:eastAsia="zh-CN"/>
        </w:rPr>
        <w:t>，占年收入</w:t>
      </w:r>
      <w:r>
        <w:rPr>
          <w:rFonts w:hint="eastAsia" w:ascii="仿宋_GB2312" w:hAnsi="仿宋_GB2312" w:cs="仿宋_GB2312"/>
          <w:color w:val="000000"/>
          <w:sz w:val="32"/>
          <w:szCs w:val="32"/>
          <w:lang w:val="en-US" w:eastAsia="zh-CN"/>
        </w:rPr>
        <w:t>0.34%。</w:t>
      </w:r>
      <w:r>
        <w:rPr>
          <w:rFonts w:hint="eastAsia" w:ascii="仿宋_GB2312" w:hAnsi="仿宋_GB2312" w:eastAsia="仿宋_GB2312" w:cs="仿宋_GB2312"/>
          <w:color w:val="auto"/>
          <w:sz w:val="32"/>
          <w:szCs w:val="32"/>
          <w:lang w:val="zh-CN" w:eastAsia="zh-CN"/>
        </w:rPr>
        <w:t>（得分：</w:t>
      </w:r>
      <w:r>
        <w:rPr>
          <w:rFonts w:hint="eastAsia" w:ascii="仿宋_GB2312" w:hAnsi="仿宋_GB2312" w:cs="仿宋_GB2312"/>
          <w:color w:val="auto"/>
          <w:sz w:val="32"/>
          <w:szCs w:val="32"/>
          <w:lang w:val="en-US" w:eastAsia="zh-CN"/>
        </w:rPr>
        <w:t>4</w:t>
      </w:r>
      <w:r>
        <w:rPr>
          <w:rFonts w:hint="eastAsia" w:ascii="仿宋_GB2312" w:hAnsi="仿宋_GB2312" w:eastAsia="仿宋_GB2312" w:cs="仿宋_GB2312"/>
          <w:color w:val="auto"/>
          <w:sz w:val="32"/>
          <w:szCs w:val="32"/>
          <w:lang w:val="en-US" w:eastAsia="zh-CN"/>
        </w:rPr>
        <w:t>分</w:t>
      </w:r>
      <w:r>
        <w:rPr>
          <w:rFonts w:hint="eastAsia" w:ascii="仿宋_GB2312" w:hAnsi="仿宋_GB2312" w:eastAsia="仿宋_GB2312" w:cs="仿宋_GB2312"/>
          <w:color w:val="auto"/>
          <w:sz w:val="32"/>
          <w:szCs w:val="32"/>
          <w:lang w:val="zh-CN" w:eastAsia="zh-CN"/>
        </w:rPr>
        <w:t>）</w:t>
      </w:r>
      <w:bookmarkEnd w:id="6"/>
    </w:p>
    <w:p>
      <w:pPr>
        <w:pStyle w:val="27"/>
        <w:keepNext w:val="0"/>
        <w:keepLines w:val="0"/>
        <w:pageBreakBefore w:val="0"/>
        <w:widowControl/>
        <w:suppressLineNumbers w:val="0"/>
        <w:kinsoku/>
        <w:overflowPunct/>
        <w:topLinePunct w:val="0"/>
        <w:autoSpaceDE/>
        <w:autoSpaceDN/>
        <w:bidi w:val="0"/>
        <w:adjustRightInd/>
        <w:snapToGrid/>
        <w:spacing w:before="0" w:beforeAutospacing="0" w:after="0" w:afterAutospacing="0" w:line="560" w:lineRule="exact"/>
        <w:ind w:left="0" w:firstLine="640" w:firstLineChars="200"/>
        <w:jc w:val="left"/>
        <w:textAlignment w:val="auto"/>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zh-CN"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val="zh-CN" w:eastAsia="zh-CN"/>
        </w:rPr>
        <w:t>）支出执行进度：部门1至6月预算执行</w:t>
      </w:r>
      <w:r>
        <w:rPr>
          <w:rFonts w:hint="eastAsia" w:ascii="仿宋_GB2312" w:hAnsi="仿宋_GB2312" w:eastAsia="仿宋_GB2312" w:cs="仿宋_GB2312"/>
          <w:color w:val="auto"/>
          <w:sz w:val="32"/>
          <w:szCs w:val="32"/>
          <w:lang w:val="en-US" w:eastAsia="zh-CN"/>
        </w:rPr>
        <w:t>179.81万元。</w:t>
      </w:r>
      <w:bookmarkStart w:id="7" w:name="OLE_LINK8"/>
      <w:r>
        <w:rPr>
          <w:rFonts w:hint="eastAsia" w:ascii="仿宋_GB2312" w:hAnsi="仿宋_GB2312" w:eastAsia="仿宋_GB2312" w:cs="仿宋_GB2312"/>
          <w:color w:val="auto"/>
          <w:sz w:val="32"/>
          <w:szCs w:val="32"/>
          <w:lang w:val="en-US" w:eastAsia="zh-CN"/>
        </w:rPr>
        <w:t>执行44.41%</w:t>
      </w:r>
      <w:bookmarkEnd w:id="7"/>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zh-CN" w:eastAsia="zh-CN"/>
        </w:rPr>
        <w:t>1至10月预算执行</w:t>
      </w:r>
      <w:r>
        <w:rPr>
          <w:rFonts w:hint="eastAsia" w:ascii="仿宋_GB2312" w:hAnsi="仿宋_GB2312" w:eastAsia="仿宋_GB2312" w:cs="仿宋_GB2312"/>
          <w:color w:val="auto"/>
          <w:sz w:val="32"/>
          <w:szCs w:val="32"/>
          <w:lang w:val="en-US" w:eastAsia="zh-CN"/>
        </w:rPr>
        <w:t>316.1，执行76.86%，执行进度较为缓慢。</w:t>
      </w:r>
      <w:r>
        <w:rPr>
          <w:rFonts w:hint="eastAsia" w:ascii="仿宋_GB2312" w:hAnsi="仿宋_GB2312" w:eastAsia="仿宋_GB2312" w:cs="仿宋_GB2312"/>
          <w:color w:val="auto"/>
          <w:sz w:val="32"/>
          <w:szCs w:val="32"/>
          <w:lang w:val="zh-CN" w:eastAsia="zh-CN"/>
        </w:rPr>
        <w:t>（得分：</w:t>
      </w:r>
      <w:r>
        <w:rPr>
          <w:rFonts w:hint="eastAsia" w:ascii="仿宋_GB2312" w:hAnsi="仿宋_GB2312" w:eastAsia="仿宋_GB2312" w:cs="仿宋_GB2312"/>
          <w:color w:val="auto"/>
          <w:sz w:val="32"/>
          <w:szCs w:val="32"/>
          <w:lang w:val="en-US" w:eastAsia="zh-CN"/>
        </w:rPr>
        <w:t>4分</w:t>
      </w:r>
      <w:r>
        <w:rPr>
          <w:rFonts w:hint="eastAsia" w:ascii="仿宋_GB2312" w:hAnsi="仿宋_GB2312" w:eastAsia="仿宋_GB2312" w:cs="仿宋_GB2312"/>
          <w:color w:val="auto"/>
          <w:sz w:val="32"/>
          <w:szCs w:val="32"/>
          <w:lang w:val="zh-CN" w:eastAsia="zh-CN"/>
        </w:rPr>
        <w:t>）</w:t>
      </w:r>
    </w:p>
    <w:p>
      <w:pPr>
        <w:pStyle w:val="27"/>
        <w:keepNext w:val="0"/>
        <w:keepLines w:val="0"/>
        <w:pageBreakBefore w:val="0"/>
        <w:widowControl/>
        <w:suppressLineNumbers w:val="0"/>
        <w:kinsoku/>
        <w:overflowPunct/>
        <w:topLinePunct w:val="0"/>
        <w:autoSpaceDE/>
        <w:autoSpaceDN/>
        <w:bidi w:val="0"/>
        <w:adjustRightInd/>
        <w:snapToGrid/>
        <w:spacing w:before="0" w:beforeAutospacing="0" w:after="0" w:afterAutospacing="0" w:line="560" w:lineRule="exact"/>
        <w:ind w:left="0" w:firstLine="640" w:firstLineChars="200"/>
        <w:jc w:val="left"/>
        <w:textAlignment w:val="auto"/>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zh-CN"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val="zh-CN" w:eastAsia="zh-CN"/>
        </w:rPr>
        <w:t>）预算年终结余：</w:t>
      </w:r>
      <w:r>
        <w:rPr>
          <w:rFonts w:hint="eastAsia" w:ascii="仿宋_GB2312" w:hAnsi="仿宋_GB2312" w:eastAsia="仿宋_GB2312" w:cs="仿宋_GB2312"/>
          <w:color w:val="auto"/>
          <w:sz w:val="32"/>
          <w:szCs w:val="32"/>
          <w:lang w:val="en-US" w:eastAsia="zh-CN"/>
        </w:rPr>
        <w:t>2025年决算报表无</w:t>
      </w:r>
      <w:r>
        <w:rPr>
          <w:rFonts w:hint="default" w:ascii="仿宋_GB2312" w:hAnsi="仿宋_GB2312" w:eastAsia="仿宋_GB2312" w:cs="仿宋_GB2312"/>
          <w:color w:val="auto"/>
          <w:sz w:val="32"/>
          <w:szCs w:val="32"/>
          <w:lang w:val="en-US" w:eastAsia="zh-CN"/>
        </w:rPr>
        <w:t>结转结余</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zh-CN" w:eastAsia="zh-CN"/>
        </w:rPr>
        <w:t>（得分：</w:t>
      </w:r>
      <w:r>
        <w:rPr>
          <w:rFonts w:hint="eastAsia" w:ascii="仿宋_GB2312" w:hAnsi="仿宋_GB2312" w:eastAsia="仿宋_GB2312" w:cs="仿宋_GB2312"/>
          <w:color w:val="auto"/>
          <w:sz w:val="32"/>
          <w:szCs w:val="32"/>
          <w:lang w:val="en-US" w:eastAsia="zh-CN"/>
        </w:rPr>
        <w:t>2分</w:t>
      </w:r>
      <w:r>
        <w:rPr>
          <w:rFonts w:hint="eastAsia" w:ascii="仿宋_GB2312" w:hAnsi="仿宋_GB2312" w:eastAsia="仿宋_GB2312" w:cs="仿宋_GB2312"/>
          <w:color w:val="auto"/>
          <w:sz w:val="32"/>
          <w:szCs w:val="32"/>
          <w:lang w:val="zh-CN" w:eastAsia="zh-CN"/>
        </w:rPr>
        <w:t>）</w:t>
      </w:r>
    </w:p>
    <w:p>
      <w:pPr>
        <w:pStyle w:val="27"/>
        <w:keepNext w:val="0"/>
        <w:keepLines w:val="0"/>
        <w:pageBreakBefore w:val="0"/>
        <w:widowControl/>
        <w:suppressLineNumbers w:val="0"/>
        <w:kinsoku/>
        <w:overflowPunct/>
        <w:topLinePunct w:val="0"/>
        <w:autoSpaceDE/>
        <w:autoSpaceDN/>
        <w:bidi w:val="0"/>
        <w:adjustRightInd/>
        <w:snapToGrid/>
        <w:spacing w:before="0" w:beforeAutospacing="0" w:after="0" w:afterAutospacing="0" w:line="560" w:lineRule="exact"/>
        <w:ind w:left="0" w:firstLine="640" w:firstLineChars="200"/>
        <w:jc w:val="left"/>
        <w:textAlignment w:val="auto"/>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zh-CN" w:eastAsia="zh-CN"/>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val="zh-CN" w:eastAsia="zh-CN"/>
        </w:rPr>
        <w:t>）严控一般性支：本会严控“三公”经费、会议、培训、差旅、办节办展、办公设备购置、信息网络及软件购置更新、课题经费等8项一般性支出情况。（得分：</w:t>
      </w:r>
      <w:bookmarkStart w:id="8" w:name="OLE_LINK11"/>
      <w:r>
        <w:rPr>
          <w:rFonts w:hint="eastAsia" w:ascii="仿宋_GB2312" w:hAnsi="仿宋_GB2312" w:eastAsia="仿宋_GB2312" w:cs="仿宋_GB2312"/>
          <w:color w:val="auto"/>
          <w:sz w:val="32"/>
          <w:szCs w:val="32"/>
          <w:lang w:val="en-US" w:eastAsia="zh-CN"/>
        </w:rPr>
        <w:t>4分</w:t>
      </w:r>
      <w:bookmarkEnd w:id="8"/>
      <w:r>
        <w:rPr>
          <w:rFonts w:hint="eastAsia" w:ascii="仿宋_GB2312" w:hAnsi="仿宋_GB2312" w:eastAsia="仿宋_GB2312" w:cs="仿宋_GB2312"/>
          <w:color w:val="auto"/>
          <w:sz w:val="32"/>
          <w:szCs w:val="32"/>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en-US" w:eastAsia="zh-CN"/>
        </w:rPr>
        <w:t>3.</w:t>
      </w:r>
      <w:r>
        <w:rPr>
          <w:rFonts w:hint="default" w:ascii="楷体_GB2312" w:hAnsi="楷体_GB2312" w:eastAsia="楷体_GB2312" w:cs="楷体_GB2312"/>
          <w:color w:val="000000"/>
          <w:kern w:val="0"/>
          <w:szCs w:val="32"/>
          <w:highlight w:val="none"/>
          <w:shd w:val="clear" w:color="auto" w:fill="FFFFFF"/>
          <w:lang w:val="zh-CN"/>
        </w:rPr>
        <w:t>财务管理</w:t>
      </w:r>
      <w:r>
        <w:rPr>
          <w:rFonts w:hint="eastAsia" w:ascii="楷体_GB2312" w:hAnsi="楷体_GB2312" w:eastAsia="楷体_GB2312" w:cs="楷体_GB2312"/>
          <w:color w:val="000000"/>
          <w:kern w:val="0"/>
          <w:szCs w:val="32"/>
          <w:highlight w:val="none"/>
          <w:shd w:val="clear" w:color="auto" w:fill="FFFFFF"/>
          <w:lang w:val="zh-CN"/>
        </w:rPr>
        <w:t>。</w:t>
      </w:r>
      <w:bookmarkStart w:id="9" w:name="OLE_LINK5"/>
      <w:r>
        <w:rPr>
          <w:rFonts w:hint="eastAsia" w:ascii="楷体_GB2312" w:hAnsi="楷体_GB2312" w:eastAsia="楷体_GB2312" w:cs="楷体_GB2312"/>
          <w:color w:val="000000"/>
          <w:kern w:val="0"/>
          <w:szCs w:val="32"/>
          <w:highlight w:val="none"/>
          <w:shd w:val="clear" w:color="auto" w:fill="FFFFFF"/>
          <w:lang w:val="zh-CN"/>
        </w:rPr>
        <w:t>（</w:t>
      </w:r>
      <w:bookmarkStart w:id="10" w:name="OLE_LINK2"/>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10</w:t>
      </w:r>
      <w:bookmarkEnd w:id="10"/>
      <w:r>
        <w:rPr>
          <w:rFonts w:hint="eastAsia" w:ascii="楷体_GB2312" w:hAnsi="楷体_GB2312" w:eastAsia="楷体_GB2312" w:cs="楷体_GB2312"/>
          <w:color w:val="000000"/>
          <w:kern w:val="0"/>
          <w:szCs w:val="32"/>
          <w:highlight w:val="none"/>
          <w:shd w:val="clear" w:color="auto" w:fill="FFFFFF"/>
          <w:lang w:val="en-US" w:eastAsia="zh-CN"/>
        </w:rPr>
        <w:t>分</w:t>
      </w:r>
      <w:r>
        <w:rPr>
          <w:rFonts w:hint="eastAsia" w:ascii="楷体_GB2312" w:hAnsi="楷体_GB2312" w:eastAsia="楷体_GB2312" w:cs="楷体_GB2312"/>
          <w:color w:val="000000"/>
          <w:kern w:val="0"/>
          <w:szCs w:val="32"/>
          <w:highlight w:val="none"/>
          <w:shd w:val="clear" w:color="auto" w:fill="FFFFFF"/>
          <w:lang w:val="zh-CN"/>
        </w:rPr>
        <w:t>）</w:t>
      </w:r>
      <w:bookmarkEnd w:id="9"/>
    </w:p>
    <w:p>
      <w:pPr>
        <w:pStyle w:val="7"/>
        <w:spacing w:after="0" w:line="240" w:lineRule="auto"/>
        <w:ind w:left="0" w:leftChars="0"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lang w:val="zh-CN"/>
        </w:rPr>
        <w:t>（</w:t>
      </w:r>
      <w:r>
        <w:rPr>
          <w:rFonts w:hint="eastAsia"/>
          <w:lang w:val="en-US" w:eastAsia="zh-CN"/>
        </w:rPr>
        <w:t>1</w:t>
      </w:r>
      <w:r>
        <w:rPr>
          <w:rFonts w:hint="eastAsia"/>
          <w:lang w:val="zh-CN"/>
        </w:rPr>
        <w:t>）财务管理制度：</w:t>
      </w:r>
      <w:bookmarkStart w:id="11" w:name="OLE_LINK12"/>
      <w:r>
        <w:rPr>
          <w:rFonts w:hint="eastAsia" w:ascii="仿宋_GB2312" w:hAnsi="仿宋_GB2312" w:eastAsia="仿宋_GB2312" w:cs="仿宋_GB2312"/>
          <w:sz w:val="32"/>
          <w:szCs w:val="32"/>
        </w:rPr>
        <w:t>严格依照《中华人民共和国会计法》、《财务规则》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《行政单位会计制度》《中华人民共和国会计法》《行政事业单位财务管理办法》等规定制定出本单位各项财务制度《黑水县</w:t>
      </w:r>
      <w:r>
        <w:rPr>
          <w:rFonts w:hint="eastAsia" w:ascii="仿宋_GB2312" w:hAnsi="仿宋_GB2312" w:eastAsia="仿宋_GB2312" w:cs="仿宋_GB2312"/>
          <w:sz w:val="32"/>
          <w:szCs w:val="32"/>
          <w:lang w:val="en-US" w:eastAsia="zh-CN"/>
        </w:rPr>
        <w:t>残疾人联合会</w:t>
      </w:r>
      <w:r>
        <w:rPr>
          <w:rFonts w:hint="eastAsia" w:ascii="仿宋_GB2312" w:hAnsi="仿宋_GB2312" w:eastAsia="仿宋_GB2312" w:cs="仿宋_GB2312"/>
          <w:sz w:val="32"/>
          <w:szCs w:val="32"/>
        </w:rPr>
        <w:t>财务管理制度》《黑水县</w:t>
      </w:r>
      <w:r>
        <w:rPr>
          <w:rFonts w:hint="eastAsia" w:ascii="仿宋_GB2312" w:hAnsi="仿宋_GB2312" w:eastAsia="仿宋_GB2312" w:cs="仿宋_GB2312"/>
          <w:sz w:val="32"/>
          <w:szCs w:val="32"/>
          <w:lang w:eastAsia="zh-CN"/>
        </w:rPr>
        <w:t>残疾人联合会</w:t>
      </w:r>
      <w:r>
        <w:rPr>
          <w:rFonts w:hint="eastAsia" w:ascii="仿宋_GB2312" w:hAnsi="仿宋_GB2312" w:eastAsia="仿宋_GB2312" w:cs="仿宋_GB2312"/>
          <w:sz w:val="32"/>
          <w:szCs w:val="32"/>
        </w:rPr>
        <w:t>固定资产管理制度》等一系列财经规定，进行财务管理、核算、控制和监督</w:t>
      </w:r>
      <w:r>
        <w:rPr>
          <w:rFonts w:hint="eastAsia" w:ascii="仿宋_GB2312" w:hAnsi="仿宋_GB2312" w:cs="仿宋_GB2312"/>
          <w:sz w:val="32"/>
          <w:szCs w:val="32"/>
          <w:lang w:eastAsia="zh-CN"/>
        </w:rPr>
        <w:t>。</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4分</w:t>
      </w:r>
      <w:r>
        <w:rPr>
          <w:rFonts w:hint="eastAsia" w:ascii="楷体_GB2312" w:hAnsi="楷体_GB2312" w:eastAsia="楷体_GB2312" w:cs="楷体_GB2312"/>
          <w:color w:val="000000"/>
          <w:kern w:val="0"/>
          <w:szCs w:val="32"/>
          <w:highlight w:val="none"/>
          <w:shd w:val="clear" w:color="auto" w:fill="FFFFFF"/>
          <w:lang w:val="zh-CN"/>
        </w:rPr>
        <w:t>）</w:t>
      </w:r>
      <w:bookmarkEnd w:id="11"/>
    </w:p>
    <w:p>
      <w:pPr>
        <w:pStyle w:val="7"/>
        <w:spacing w:after="0" w:line="240" w:lineRule="auto"/>
        <w:ind w:left="0" w:leftChars="0"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Cs w:val="32"/>
          <w:highlight w:val="none"/>
          <w:shd w:val="clear" w:color="auto" w:fill="FFFFFF"/>
          <w:lang w:val="en-US" w:eastAsia="zh-CN"/>
        </w:rPr>
        <w:t>2</w:t>
      </w:r>
      <w:r>
        <w:rPr>
          <w:rFonts w:hint="eastAsia" w:ascii="楷体_GB2312" w:hAnsi="楷体_GB2312" w:eastAsia="楷体_GB2312" w:cs="楷体_GB2312"/>
          <w:color w:val="000000"/>
          <w:kern w:val="0"/>
          <w:szCs w:val="32"/>
          <w:highlight w:val="none"/>
          <w:shd w:val="clear" w:color="auto" w:fill="FFFFFF"/>
          <w:lang w:val="zh-CN"/>
        </w:rPr>
        <w:t>）财务岗位设置：</w:t>
      </w:r>
      <w:bookmarkStart w:id="12" w:name="OLE_LINK13"/>
      <w:r>
        <w:rPr>
          <w:rFonts w:hint="eastAsia" w:ascii="楷体_GB2312" w:hAnsi="楷体_GB2312" w:eastAsia="楷体_GB2312" w:cs="楷体_GB2312"/>
          <w:color w:val="000000"/>
          <w:kern w:val="0"/>
          <w:szCs w:val="32"/>
          <w:highlight w:val="none"/>
          <w:shd w:val="clear" w:color="auto" w:fill="FFFFFF"/>
          <w:lang w:val="zh-CN"/>
        </w:rPr>
        <w:t>财务室由</w:t>
      </w:r>
      <w:r>
        <w:rPr>
          <w:rFonts w:hint="eastAsia" w:ascii="楷体_GB2312" w:hAnsi="楷体_GB2312" w:eastAsia="楷体_GB2312" w:cs="楷体_GB2312"/>
          <w:color w:val="000000"/>
          <w:kern w:val="0"/>
          <w:szCs w:val="32"/>
          <w:highlight w:val="none"/>
          <w:shd w:val="clear" w:color="auto" w:fill="FFFFFF"/>
          <w:lang w:val="en-US" w:eastAsia="zh-CN"/>
        </w:rPr>
        <w:t>1名</w:t>
      </w:r>
      <w:r>
        <w:rPr>
          <w:rFonts w:hint="eastAsia" w:ascii="楷体_GB2312" w:hAnsi="楷体_GB2312" w:eastAsia="楷体_GB2312" w:cs="楷体_GB2312"/>
          <w:color w:val="000000"/>
          <w:kern w:val="0"/>
          <w:szCs w:val="32"/>
          <w:highlight w:val="none"/>
          <w:shd w:val="clear" w:color="auto" w:fill="FFFFFF"/>
          <w:lang w:val="zh-CN"/>
        </w:rPr>
        <w:t>出纳和</w:t>
      </w:r>
      <w:r>
        <w:rPr>
          <w:rFonts w:hint="eastAsia" w:ascii="楷体_GB2312" w:hAnsi="楷体_GB2312" w:eastAsia="楷体_GB2312" w:cs="楷体_GB2312"/>
          <w:color w:val="000000"/>
          <w:kern w:val="0"/>
          <w:szCs w:val="32"/>
          <w:highlight w:val="none"/>
          <w:shd w:val="clear" w:color="auto" w:fill="FFFFFF"/>
          <w:lang w:val="en-US" w:eastAsia="zh-CN"/>
        </w:rPr>
        <w:t>1名</w:t>
      </w:r>
      <w:r>
        <w:rPr>
          <w:rFonts w:hint="eastAsia" w:ascii="楷体_GB2312" w:hAnsi="楷体_GB2312" w:eastAsia="楷体_GB2312" w:cs="楷体_GB2312"/>
          <w:color w:val="000000"/>
          <w:kern w:val="0"/>
          <w:szCs w:val="32"/>
          <w:highlight w:val="none"/>
          <w:shd w:val="clear" w:color="auto" w:fill="FFFFFF"/>
          <w:lang w:val="zh-CN"/>
        </w:rPr>
        <w:t>会计组成。（得分：</w:t>
      </w:r>
      <w:r>
        <w:rPr>
          <w:rFonts w:hint="eastAsia" w:ascii="楷体_GB2312" w:hAnsi="楷体_GB2312" w:eastAsia="楷体_GB2312" w:cs="楷体_GB2312"/>
          <w:color w:val="000000"/>
          <w:kern w:val="0"/>
          <w:szCs w:val="32"/>
          <w:highlight w:val="none"/>
          <w:shd w:val="clear" w:color="auto" w:fill="FFFFFF"/>
          <w:lang w:val="en-US" w:eastAsia="zh-CN"/>
        </w:rPr>
        <w:t>2分</w:t>
      </w:r>
      <w:r>
        <w:rPr>
          <w:rFonts w:hint="eastAsia" w:ascii="楷体_GB2312" w:hAnsi="楷体_GB2312" w:eastAsia="楷体_GB2312" w:cs="楷体_GB2312"/>
          <w:color w:val="000000"/>
          <w:kern w:val="0"/>
          <w:szCs w:val="32"/>
          <w:highlight w:val="none"/>
          <w:shd w:val="clear" w:color="auto" w:fill="FFFFFF"/>
          <w:lang w:val="zh-CN"/>
        </w:rPr>
        <w:t>）</w:t>
      </w:r>
      <w:bookmarkEnd w:id="12"/>
    </w:p>
    <w:p>
      <w:pPr>
        <w:pStyle w:val="7"/>
        <w:spacing w:after="0" w:line="240" w:lineRule="auto"/>
        <w:ind w:left="0" w:leftChars="0"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Cs w:val="32"/>
          <w:highlight w:val="none"/>
          <w:shd w:val="clear" w:color="auto" w:fill="FFFFFF"/>
          <w:lang w:val="en-US" w:eastAsia="zh-CN"/>
        </w:rPr>
        <w:t>3</w:t>
      </w:r>
      <w:r>
        <w:rPr>
          <w:rFonts w:hint="eastAsia" w:ascii="楷体_GB2312" w:hAnsi="楷体_GB2312" w:eastAsia="楷体_GB2312" w:cs="楷体_GB2312"/>
          <w:color w:val="000000"/>
          <w:kern w:val="0"/>
          <w:szCs w:val="32"/>
          <w:highlight w:val="none"/>
          <w:shd w:val="clear" w:color="auto" w:fill="FFFFFF"/>
          <w:lang w:val="zh-CN"/>
        </w:rPr>
        <w:t>）资金使用规范：部门资金使用符合相关财务管理制度规定。（得分：</w:t>
      </w:r>
      <w:r>
        <w:rPr>
          <w:rFonts w:hint="eastAsia" w:ascii="楷体_GB2312" w:hAnsi="楷体_GB2312" w:eastAsia="楷体_GB2312" w:cs="楷体_GB2312"/>
          <w:color w:val="000000"/>
          <w:kern w:val="0"/>
          <w:szCs w:val="32"/>
          <w:highlight w:val="none"/>
          <w:shd w:val="clear" w:color="auto" w:fill="FFFFFF"/>
          <w:lang w:val="en-US" w:eastAsia="zh-CN"/>
        </w:rPr>
        <w:t>4分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en-US" w:eastAsia="zh-CN"/>
        </w:rPr>
        <w:t>4.</w:t>
      </w:r>
      <w:r>
        <w:rPr>
          <w:rFonts w:hint="default" w:ascii="楷体_GB2312" w:hAnsi="楷体_GB2312" w:eastAsia="楷体_GB2312" w:cs="楷体_GB2312"/>
          <w:color w:val="000000"/>
          <w:kern w:val="0"/>
          <w:szCs w:val="32"/>
          <w:highlight w:val="none"/>
          <w:shd w:val="clear" w:color="auto" w:fill="FFFFFF"/>
          <w:lang w:val="zh-CN"/>
        </w:rPr>
        <w:t>资产管理</w:t>
      </w:r>
      <w:r>
        <w:rPr>
          <w:rFonts w:hint="eastAsia" w:ascii="楷体_GB2312" w:hAnsi="楷体_GB2312" w:eastAsia="楷体_GB2312" w:cs="楷体_GB2312"/>
          <w:color w:val="000000"/>
          <w:kern w:val="0"/>
          <w:szCs w:val="32"/>
          <w:highlight w:val="none"/>
          <w:shd w:val="clear" w:color="auto" w:fill="FFFFFF"/>
          <w:lang w:val="zh-CN"/>
        </w:rPr>
        <w:t>。</w:t>
      </w:r>
      <w:bookmarkStart w:id="13" w:name="OLE_LINK3"/>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7分</w:t>
      </w:r>
      <w:r>
        <w:rPr>
          <w:rFonts w:hint="eastAsia" w:ascii="楷体_GB2312" w:hAnsi="楷体_GB2312" w:eastAsia="楷体_GB2312" w:cs="楷体_GB2312"/>
          <w:color w:val="000000"/>
          <w:kern w:val="0"/>
          <w:szCs w:val="32"/>
          <w:highlight w:val="none"/>
          <w:shd w:val="clear" w:color="auto" w:fill="FFFFFF"/>
          <w:lang w:val="zh-CN"/>
        </w:rPr>
        <w:t>）</w:t>
      </w:r>
      <w:bookmarkEnd w:id="13"/>
    </w:p>
    <w:p>
      <w:pPr>
        <w:pStyle w:val="7"/>
        <w:spacing w:after="0" w:line="240" w:lineRule="auto"/>
        <w:ind w:left="0" w:leftChars="0" w:firstLine="640" w:firstLineChars="200"/>
        <w:rPr>
          <w:rFonts w:hint="eastAsia"/>
          <w:lang w:val="zh-CN"/>
        </w:rPr>
      </w:pPr>
      <w:r>
        <w:rPr>
          <w:rFonts w:hint="eastAsia" w:ascii="仿宋_GB2312" w:hAnsi="仿宋_GB2312" w:cs="仿宋_GB2312"/>
          <w:color w:val="000000"/>
          <w:kern w:val="0"/>
          <w:sz w:val="32"/>
          <w:szCs w:val="32"/>
          <w:highlight w:val="none"/>
          <w:shd w:val="clear" w:color="auto" w:fill="FFFFFF"/>
          <w:lang w:val="en-US" w:eastAsia="zh-CN"/>
        </w:rPr>
        <w:t>2025</w:t>
      </w:r>
      <w:r>
        <w:rPr>
          <w:rFonts w:hint="eastAsia" w:ascii="仿宋_GB2312" w:hAnsi="仿宋_GB2312" w:eastAsia="仿宋_GB2312" w:cs="仿宋_GB2312"/>
          <w:color w:val="000000"/>
          <w:kern w:val="0"/>
          <w:sz w:val="32"/>
          <w:szCs w:val="32"/>
          <w:highlight w:val="none"/>
          <w:shd w:val="clear" w:color="auto" w:fill="FFFFFF"/>
          <w:lang w:val="en-US" w:eastAsia="zh-CN"/>
        </w:rPr>
        <w:t>年本</w:t>
      </w:r>
      <w:r>
        <w:rPr>
          <w:rFonts w:hint="eastAsia" w:ascii="仿宋_GB2312" w:hAnsi="仿宋_GB2312" w:cs="仿宋_GB2312"/>
          <w:color w:val="000000"/>
          <w:kern w:val="0"/>
          <w:sz w:val="32"/>
          <w:szCs w:val="32"/>
          <w:highlight w:val="none"/>
          <w:shd w:val="clear" w:color="auto" w:fill="FFFFFF"/>
          <w:lang w:val="en-US" w:eastAsia="zh-CN"/>
        </w:rPr>
        <w:t>会</w:t>
      </w:r>
      <w:r>
        <w:rPr>
          <w:rFonts w:hint="eastAsia" w:ascii="仿宋_GB2312" w:hAnsi="仿宋_GB2312" w:eastAsia="仿宋_GB2312" w:cs="仿宋_GB2312"/>
          <w:color w:val="000000"/>
          <w:kern w:val="0"/>
          <w:sz w:val="32"/>
          <w:szCs w:val="32"/>
          <w:highlight w:val="none"/>
          <w:shd w:val="clear" w:color="auto" w:fill="FFFFFF"/>
          <w:lang w:val="en-US" w:eastAsia="zh-CN"/>
        </w:rPr>
        <w:t>固定资产年初总额为</w:t>
      </w:r>
      <w:r>
        <w:rPr>
          <w:rFonts w:hint="eastAsia" w:ascii="仿宋_GB2312" w:hAnsi="仿宋_GB2312" w:cs="仿宋_GB2312"/>
          <w:color w:val="000000"/>
          <w:kern w:val="0"/>
          <w:sz w:val="32"/>
          <w:szCs w:val="32"/>
          <w:highlight w:val="none"/>
          <w:shd w:val="clear" w:color="auto" w:fill="FFFFFF"/>
          <w:lang w:val="en-US" w:eastAsia="zh-CN"/>
        </w:rPr>
        <w:t>38.28</w:t>
      </w:r>
      <w:r>
        <w:rPr>
          <w:rFonts w:hint="eastAsia" w:ascii="仿宋_GB2312" w:hAnsi="仿宋_GB2312" w:eastAsia="仿宋_GB2312" w:cs="仿宋_GB2312"/>
          <w:color w:val="000000"/>
          <w:kern w:val="0"/>
          <w:sz w:val="32"/>
          <w:szCs w:val="32"/>
          <w:highlight w:val="none"/>
          <w:shd w:val="clear" w:color="auto" w:fill="FFFFFF"/>
          <w:lang w:val="en-US" w:eastAsia="zh-CN"/>
        </w:rPr>
        <w:t>万元，年末资产累计折旧</w:t>
      </w:r>
      <w:r>
        <w:rPr>
          <w:rFonts w:hint="eastAsia" w:ascii="仿宋_GB2312" w:hAnsi="仿宋_GB2312" w:cs="仿宋_GB2312"/>
          <w:color w:val="000000"/>
          <w:kern w:val="0"/>
          <w:sz w:val="32"/>
          <w:szCs w:val="32"/>
          <w:highlight w:val="none"/>
          <w:shd w:val="clear" w:color="auto" w:fill="FFFFFF"/>
          <w:lang w:val="en-US" w:eastAsia="zh-CN"/>
        </w:rPr>
        <w:t>36.84</w:t>
      </w:r>
      <w:r>
        <w:rPr>
          <w:rFonts w:hint="eastAsia" w:ascii="仿宋_GB2312" w:hAnsi="仿宋_GB2312" w:eastAsia="仿宋_GB2312" w:cs="仿宋_GB2312"/>
          <w:color w:val="000000"/>
          <w:kern w:val="0"/>
          <w:sz w:val="32"/>
          <w:szCs w:val="32"/>
          <w:highlight w:val="none"/>
          <w:shd w:val="clear" w:color="auto" w:fill="FFFFFF"/>
          <w:lang w:val="en-US" w:eastAsia="zh-CN"/>
        </w:rPr>
        <w:t>万元，年末资产净值为</w:t>
      </w:r>
      <w:r>
        <w:rPr>
          <w:rFonts w:hint="eastAsia" w:ascii="仿宋_GB2312" w:hAnsi="仿宋_GB2312" w:cs="仿宋_GB2312"/>
          <w:color w:val="000000"/>
          <w:kern w:val="0"/>
          <w:sz w:val="32"/>
          <w:szCs w:val="32"/>
          <w:highlight w:val="none"/>
          <w:shd w:val="clear" w:color="auto" w:fill="FFFFFF"/>
          <w:lang w:val="en-US" w:eastAsia="zh-CN"/>
        </w:rPr>
        <w:t>1.44</w:t>
      </w:r>
      <w:r>
        <w:rPr>
          <w:rFonts w:hint="eastAsia" w:ascii="仿宋_GB2312" w:hAnsi="仿宋_GB2312" w:eastAsia="仿宋_GB2312" w:cs="仿宋_GB2312"/>
          <w:color w:val="000000"/>
          <w:kern w:val="0"/>
          <w:sz w:val="32"/>
          <w:szCs w:val="32"/>
          <w:highlight w:val="none"/>
          <w:shd w:val="clear" w:color="auto" w:fill="FFFFFF"/>
          <w:lang w:val="en-US" w:eastAsia="zh-CN"/>
        </w:rPr>
        <w:t>万元。</w:t>
      </w:r>
      <w:r>
        <w:rPr>
          <w:rFonts w:hint="eastAsia" w:ascii="仿宋_GB2312" w:hAnsi="仿宋_GB2312" w:cs="仿宋_GB2312"/>
          <w:color w:val="000000"/>
          <w:kern w:val="0"/>
          <w:sz w:val="32"/>
          <w:szCs w:val="32"/>
          <w:highlight w:val="none"/>
          <w:shd w:val="clear" w:color="auto" w:fill="FFFFFF"/>
          <w:lang w:val="en-US" w:eastAsia="zh-CN"/>
        </w:rPr>
        <w:t>该项指标得分为9分。</w:t>
      </w:r>
    </w:p>
    <w:p>
      <w:pPr>
        <w:pStyle w:val="7"/>
        <w:spacing w:after="0" w:line="240" w:lineRule="auto"/>
        <w:ind w:left="0" w:leftChars="0"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Cs w:val="32"/>
          <w:highlight w:val="none"/>
          <w:shd w:val="clear" w:color="auto" w:fill="FFFFFF"/>
          <w:lang w:val="en-US" w:eastAsia="zh-CN"/>
        </w:rPr>
        <w:t>1</w:t>
      </w:r>
      <w:r>
        <w:rPr>
          <w:rFonts w:hint="eastAsia" w:ascii="楷体_GB2312" w:hAnsi="楷体_GB2312" w:eastAsia="楷体_GB2312" w:cs="楷体_GB2312"/>
          <w:color w:val="000000"/>
          <w:kern w:val="0"/>
          <w:szCs w:val="32"/>
          <w:highlight w:val="none"/>
          <w:shd w:val="clear" w:color="auto" w:fill="FFFFFF"/>
          <w:lang w:val="zh-CN"/>
        </w:rPr>
        <w:t>）人均资产变化率：部门人均资产变化与去年无变化。</w:t>
      </w:r>
      <w:bookmarkStart w:id="14" w:name="OLE_LINK14"/>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2分</w:t>
      </w:r>
      <w:r>
        <w:rPr>
          <w:rFonts w:hint="eastAsia" w:ascii="楷体_GB2312" w:hAnsi="楷体_GB2312" w:eastAsia="楷体_GB2312" w:cs="楷体_GB2312"/>
          <w:color w:val="000000"/>
          <w:kern w:val="0"/>
          <w:szCs w:val="32"/>
          <w:highlight w:val="none"/>
          <w:shd w:val="clear" w:color="auto" w:fill="FFFFFF"/>
          <w:lang w:val="zh-CN"/>
        </w:rPr>
        <w:t>）</w:t>
      </w:r>
    </w:p>
    <w:bookmarkEnd w:id="14"/>
    <w:p>
      <w:pPr>
        <w:pStyle w:val="7"/>
        <w:spacing w:after="0" w:line="240" w:lineRule="auto"/>
        <w:ind w:left="0" w:leftChars="0"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Cs w:val="32"/>
          <w:highlight w:val="none"/>
          <w:shd w:val="clear" w:color="auto" w:fill="FFFFFF"/>
          <w:lang w:val="en-US" w:eastAsia="zh-CN"/>
        </w:rPr>
        <w:t>2</w:t>
      </w:r>
      <w:r>
        <w:rPr>
          <w:rFonts w:hint="eastAsia" w:ascii="楷体_GB2312" w:hAnsi="楷体_GB2312" w:eastAsia="楷体_GB2312" w:cs="楷体_GB2312"/>
          <w:color w:val="000000"/>
          <w:kern w:val="0"/>
          <w:szCs w:val="32"/>
          <w:highlight w:val="none"/>
          <w:shd w:val="clear" w:color="auto" w:fill="FFFFFF"/>
          <w:lang w:val="zh-CN"/>
        </w:rPr>
        <w:t>）资产利用率：本会资产无超最低使用年限情况。（得分：</w:t>
      </w:r>
      <w:r>
        <w:rPr>
          <w:rFonts w:hint="eastAsia" w:ascii="楷体_GB2312" w:hAnsi="楷体_GB2312" w:eastAsia="楷体_GB2312" w:cs="楷体_GB2312"/>
          <w:color w:val="000000"/>
          <w:kern w:val="0"/>
          <w:szCs w:val="32"/>
          <w:highlight w:val="none"/>
          <w:shd w:val="clear" w:color="auto" w:fill="FFFFFF"/>
          <w:lang w:val="en-US" w:eastAsia="zh-CN"/>
        </w:rPr>
        <w:t>2分</w:t>
      </w:r>
      <w:r>
        <w:rPr>
          <w:rFonts w:hint="eastAsia" w:ascii="楷体_GB2312" w:hAnsi="楷体_GB2312" w:eastAsia="楷体_GB2312" w:cs="楷体_GB2312"/>
          <w:color w:val="000000"/>
          <w:kern w:val="0"/>
          <w:szCs w:val="32"/>
          <w:highlight w:val="none"/>
          <w:shd w:val="clear" w:color="auto" w:fill="FFFFFF"/>
          <w:lang w:val="zh-CN"/>
        </w:rPr>
        <w:t>）</w:t>
      </w:r>
    </w:p>
    <w:p>
      <w:pPr>
        <w:pStyle w:val="7"/>
        <w:spacing w:after="0" w:line="240" w:lineRule="auto"/>
        <w:ind w:left="0" w:leftChars="0"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Cs w:val="32"/>
          <w:highlight w:val="none"/>
          <w:shd w:val="clear" w:color="auto" w:fill="FFFFFF"/>
          <w:lang w:val="en-US" w:eastAsia="zh-CN"/>
        </w:rPr>
        <w:t>3</w:t>
      </w:r>
      <w:r>
        <w:rPr>
          <w:rFonts w:hint="eastAsia" w:ascii="楷体_GB2312" w:hAnsi="楷体_GB2312" w:eastAsia="楷体_GB2312" w:cs="楷体_GB2312"/>
          <w:color w:val="000000"/>
          <w:kern w:val="0"/>
          <w:szCs w:val="32"/>
          <w:highlight w:val="none"/>
          <w:shd w:val="clear" w:color="auto" w:fill="FFFFFF"/>
          <w:lang w:val="zh-CN"/>
        </w:rPr>
        <w:t>）资产盘活率：本会无闲置一年以上的资产盘活情况（得分：</w:t>
      </w:r>
      <w:r>
        <w:rPr>
          <w:rFonts w:hint="eastAsia" w:ascii="楷体_GB2312" w:hAnsi="楷体_GB2312" w:eastAsia="楷体_GB2312" w:cs="楷体_GB2312"/>
          <w:color w:val="000000"/>
          <w:kern w:val="0"/>
          <w:szCs w:val="32"/>
          <w:highlight w:val="none"/>
          <w:shd w:val="clear" w:color="auto" w:fill="FFFFFF"/>
          <w:lang w:val="en-US" w:eastAsia="zh-CN"/>
        </w:rPr>
        <w:t>3分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leftChars="200"/>
        <w:contextualSpacing/>
        <w:jc w:val="left"/>
        <w:textAlignment w:val="auto"/>
        <w:outlineLvl w:val="9"/>
        <w:rPr>
          <w:rFonts w:hint="eastAsia" w:ascii="Times New Roman" w:hAnsi="Times New Roman" w:cs="Times New Roman"/>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en-US" w:eastAsia="zh-CN"/>
        </w:rPr>
        <w:t>5.</w:t>
      </w:r>
      <w:r>
        <w:rPr>
          <w:rFonts w:hint="default" w:ascii="楷体_GB2312" w:hAnsi="楷体_GB2312" w:eastAsia="楷体_GB2312" w:cs="楷体_GB2312"/>
          <w:color w:val="000000"/>
          <w:kern w:val="0"/>
          <w:szCs w:val="32"/>
          <w:highlight w:val="none"/>
          <w:shd w:val="clear" w:color="auto" w:fill="FFFFFF"/>
          <w:lang w:val="zh-CN"/>
        </w:rPr>
        <w:t>采购管理</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6分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会</w:t>
      </w:r>
      <w:r>
        <w:rPr>
          <w:rFonts w:hint="eastAsia" w:ascii="仿宋_GB2312" w:hAnsi="仿宋_GB2312" w:eastAsia="仿宋_GB2312" w:cs="仿宋_GB2312"/>
          <w:sz w:val="32"/>
          <w:szCs w:val="32"/>
        </w:rPr>
        <w:t>政府采购工作均根据《中华人民共和国政府采购法》有关规定，依法签订政府采购合同，按法定程序办理政府采购，正确选择采购方式公开招标</w:t>
      </w:r>
      <w:r>
        <w:rPr>
          <w:rFonts w:hint="eastAsia" w:ascii="仿宋_GB2312" w:hAnsi="仿宋_GB2312" w:eastAsia="仿宋_GB2312" w:cs="仿宋_GB2312"/>
          <w:sz w:val="32"/>
          <w:szCs w:val="32"/>
          <w:lang w:eastAsia="zh-CN"/>
        </w:rPr>
        <w:t>，</w:t>
      </w:r>
      <w:r>
        <w:rPr>
          <w:rFonts w:hint="eastAsia" w:ascii="仿宋_GB2312" w:hAnsi="仿宋_GB2312" w:cs="仿宋_GB2312"/>
          <w:sz w:val="32"/>
          <w:szCs w:val="32"/>
          <w:lang w:val="en-US" w:eastAsia="zh-CN"/>
        </w:rPr>
        <w:t>2025</w:t>
      </w:r>
      <w:r>
        <w:rPr>
          <w:rFonts w:hint="eastAsia" w:ascii="仿宋_GB2312" w:hAnsi="仿宋_GB2312" w:eastAsia="仿宋_GB2312" w:cs="仿宋_GB2312"/>
          <w:sz w:val="32"/>
          <w:szCs w:val="32"/>
          <w:lang w:val="en-US" w:eastAsia="zh-CN"/>
        </w:rPr>
        <w:t>年我会政府采购</w:t>
      </w:r>
      <w:r>
        <w:rPr>
          <w:rFonts w:hint="eastAsia" w:ascii="仿宋_GB2312" w:hAnsi="仿宋_GB2312" w:cs="仿宋_GB2312"/>
          <w:sz w:val="32"/>
          <w:szCs w:val="32"/>
          <w:lang w:val="en-US" w:eastAsia="zh-CN"/>
        </w:rPr>
        <w:t>A4复印纸3168元</w:t>
      </w:r>
      <w:r>
        <w:rPr>
          <w:rFonts w:hint="eastAsia" w:ascii="仿宋_GB2312" w:hAnsi="仿宋_GB2312" w:eastAsia="仿宋_GB2312" w:cs="仿宋_GB2312"/>
          <w:sz w:val="32"/>
          <w:szCs w:val="32"/>
        </w:rPr>
        <w:t>。</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6分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eastAsia="楷体_GB2312" w:cs="Times New Roman"/>
          <w:b/>
          <w:bCs/>
          <w:color w:val="000000"/>
          <w:kern w:val="0"/>
          <w:szCs w:val="32"/>
          <w:highlight w:val="none"/>
          <w:shd w:val="clear" w:color="auto" w:fill="FFFFFF"/>
          <w:lang w:val="zh-CN"/>
        </w:rPr>
        <w:t>（二）部门预算项目绩效分析</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32分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zh-CN" w:eastAsia="zh-CN"/>
        </w:rPr>
      </w:pPr>
      <w:r>
        <w:rPr>
          <w:rFonts w:hint="default" w:cs="Times New Roman"/>
          <w:color w:val="000000"/>
          <w:kern w:val="0"/>
          <w:szCs w:val="32"/>
          <w:highlight w:val="none"/>
          <w:shd w:val="clear" w:color="auto" w:fill="FFFFFF"/>
          <w:lang w:val="en-US" w:eastAsia="zh-CN"/>
        </w:rPr>
        <w:t>常年项目绩效分析。</w:t>
      </w:r>
      <w:r>
        <w:rPr>
          <w:rFonts w:hint="default" w:cs="Times New Roman"/>
          <w:color w:val="000000"/>
          <w:kern w:val="0"/>
          <w:szCs w:val="32"/>
          <w:highlight w:val="none"/>
          <w:shd w:val="clear" w:color="auto" w:fill="FFFFFF"/>
          <w:lang w:val="zh-CN" w:eastAsia="zh-CN"/>
        </w:rPr>
        <w:t>该类项目总数</w:t>
      </w:r>
      <w:r>
        <w:rPr>
          <w:rFonts w:hint="eastAsia" w:cs="Times New Roman"/>
          <w:color w:val="000000"/>
          <w:kern w:val="0"/>
          <w:szCs w:val="32"/>
          <w:highlight w:val="none"/>
          <w:shd w:val="clear" w:color="auto" w:fill="FFFFFF"/>
          <w:lang w:val="en-US" w:eastAsia="zh-CN"/>
        </w:rPr>
        <w:t>5</w:t>
      </w:r>
      <w:r>
        <w:rPr>
          <w:rFonts w:hint="default" w:cs="Times New Roman"/>
          <w:color w:val="000000"/>
          <w:kern w:val="0"/>
          <w:szCs w:val="32"/>
          <w:highlight w:val="none"/>
          <w:shd w:val="clear" w:color="auto" w:fill="FFFFFF"/>
          <w:lang w:val="zh-CN" w:eastAsia="zh-CN"/>
        </w:rPr>
        <w:t>个</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eastAsia="zh-CN"/>
        </w:rPr>
        <w:t>涉及预算总金额</w:t>
      </w:r>
      <w:r>
        <w:rPr>
          <w:rFonts w:hint="eastAsia" w:cs="Times New Roman"/>
          <w:color w:val="000000"/>
          <w:kern w:val="0"/>
          <w:szCs w:val="32"/>
          <w:highlight w:val="none"/>
          <w:shd w:val="clear" w:color="auto" w:fill="FFFFFF"/>
          <w:lang w:val="en-US" w:eastAsia="zh-CN"/>
        </w:rPr>
        <w:t>48.978</w:t>
      </w:r>
      <w:r>
        <w:rPr>
          <w:rFonts w:hint="default" w:cs="Times New Roman"/>
          <w:color w:val="000000"/>
          <w:kern w:val="0"/>
          <w:szCs w:val="32"/>
          <w:highlight w:val="none"/>
          <w:shd w:val="clear" w:color="auto" w:fill="FFFFFF"/>
          <w:lang w:val="zh-CN" w:eastAsia="zh-CN"/>
        </w:rPr>
        <w:t>万元，</w:t>
      </w:r>
      <w:r>
        <w:rPr>
          <w:rFonts w:hint="default" w:cs="Times New Roman"/>
          <w:color w:val="000000"/>
          <w:kern w:val="0"/>
          <w:szCs w:val="32"/>
          <w:highlight w:val="none"/>
          <w:shd w:val="clear" w:color="auto" w:fill="FFFFFF"/>
          <w:lang w:val="zh-CN"/>
        </w:rPr>
        <w:t>1</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rPr>
        <w:t>1</w:t>
      </w:r>
      <w:r>
        <w:rPr>
          <w:rFonts w:hint="default" w:cs="Times New Roman"/>
          <w:color w:val="000000"/>
          <w:kern w:val="0"/>
          <w:szCs w:val="32"/>
          <w:highlight w:val="none"/>
          <w:shd w:val="clear" w:color="auto" w:fill="FFFFFF"/>
          <w:lang w:val="en-US" w:eastAsia="zh-CN"/>
        </w:rPr>
        <w:t>2</w:t>
      </w:r>
      <w:r>
        <w:rPr>
          <w:rFonts w:hint="default" w:cs="Times New Roman"/>
          <w:color w:val="000000"/>
          <w:kern w:val="0"/>
          <w:szCs w:val="32"/>
          <w:highlight w:val="none"/>
          <w:shd w:val="clear" w:color="auto" w:fill="FFFFFF"/>
          <w:lang w:val="zh-CN"/>
        </w:rPr>
        <w:t>月预算执行总体进度</w:t>
      </w:r>
      <w:r>
        <w:rPr>
          <w:rFonts w:hint="eastAsia" w:cs="Times New Roman"/>
          <w:color w:val="000000"/>
          <w:kern w:val="0"/>
          <w:szCs w:val="32"/>
          <w:highlight w:val="none"/>
          <w:shd w:val="clear" w:color="auto" w:fill="FFFFFF"/>
          <w:lang w:val="zh-CN"/>
        </w:rPr>
        <w:t>为</w:t>
      </w:r>
      <w:r>
        <w:rPr>
          <w:rFonts w:hint="eastAsia" w:cs="Times New Roman"/>
          <w:color w:val="000000"/>
          <w:kern w:val="0"/>
          <w:szCs w:val="32"/>
          <w:highlight w:val="none"/>
          <w:shd w:val="clear" w:color="auto" w:fill="FFFFFF"/>
          <w:lang w:val="en-US" w:eastAsia="zh-CN"/>
        </w:rPr>
        <w:t>100</w:t>
      </w:r>
      <w:r>
        <w:rPr>
          <w:rFonts w:hint="default" w:cs="Times New Roman"/>
          <w:color w:val="000000"/>
          <w:kern w:val="0"/>
          <w:szCs w:val="32"/>
          <w:highlight w:val="none"/>
          <w:shd w:val="clear" w:color="auto" w:fill="FFFFFF"/>
          <w:lang w:val="zh-CN"/>
        </w:rPr>
        <w:t>%，其中：</w:t>
      </w:r>
      <w:r>
        <w:rPr>
          <w:rFonts w:hint="default" w:cs="Times New Roman"/>
          <w:color w:val="000000"/>
          <w:kern w:val="0"/>
          <w:szCs w:val="32"/>
          <w:highlight w:val="none"/>
          <w:shd w:val="clear" w:color="auto" w:fill="FFFFFF"/>
          <w:lang w:val="zh-CN" w:eastAsia="zh-CN"/>
        </w:rPr>
        <w:t>预算结余率大于</w:t>
      </w:r>
      <w:r>
        <w:rPr>
          <w:rFonts w:hint="default" w:cs="Times New Roman"/>
          <w:color w:val="000000"/>
          <w:kern w:val="0"/>
          <w:szCs w:val="32"/>
          <w:highlight w:val="none"/>
          <w:shd w:val="clear" w:color="auto" w:fill="FFFFFF"/>
          <w:lang w:val="en-US" w:eastAsia="zh-CN"/>
        </w:rPr>
        <w:t>10%</w:t>
      </w:r>
      <w:r>
        <w:rPr>
          <w:rFonts w:hint="default" w:cs="Times New Roman"/>
          <w:color w:val="000000"/>
          <w:kern w:val="0"/>
          <w:szCs w:val="32"/>
          <w:highlight w:val="none"/>
          <w:shd w:val="clear" w:color="auto" w:fill="FFFFFF"/>
          <w:lang w:val="zh-CN" w:eastAsia="zh-CN"/>
        </w:rPr>
        <w:t>的项目共计</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zh-CN" w:eastAsia="zh-CN"/>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cs="Times New Roman"/>
          <w:color w:val="000000"/>
          <w:kern w:val="0"/>
          <w:szCs w:val="32"/>
          <w:highlight w:val="none"/>
          <w:shd w:val="clear" w:color="auto" w:fill="FFFFFF"/>
          <w:lang w:val="zh-CN" w:eastAsia="zh-CN"/>
        </w:rPr>
      </w:pPr>
      <w:r>
        <w:rPr>
          <w:rFonts w:hint="default" w:cs="Times New Roman"/>
          <w:color w:val="000000"/>
          <w:kern w:val="0"/>
          <w:szCs w:val="32"/>
          <w:highlight w:val="none"/>
          <w:shd w:val="clear" w:color="auto" w:fill="FFFFFF"/>
          <w:lang w:val="en-US" w:eastAsia="zh-CN"/>
        </w:rPr>
        <w:t>阶段</w:t>
      </w:r>
      <w:r>
        <w:rPr>
          <w:rFonts w:hint="eastAsia" w:cs="Times New Roman"/>
          <w:color w:val="000000"/>
          <w:kern w:val="0"/>
          <w:szCs w:val="32"/>
          <w:highlight w:val="none"/>
          <w:shd w:val="clear" w:color="auto" w:fill="FFFFFF"/>
          <w:lang w:val="en-US" w:eastAsia="zh-CN"/>
        </w:rPr>
        <w:t>（</w:t>
      </w:r>
      <w:r>
        <w:rPr>
          <w:rFonts w:hint="default" w:cs="Times New Roman"/>
          <w:color w:val="000000"/>
          <w:kern w:val="0"/>
          <w:szCs w:val="32"/>
          <w:highlight w:val="none"/>
          <w:shd w:val="clear" w:color="auto" w:fill="FFFFFF"/>
          <w:lang w:val="en-US" w:eastAsia="zh-CN"/>
        </w:rPr>
        <w:t>一次性</w:t>
      </w:r>
      <w:r>
        <w:rPr>
          <w:rFonts w:hint="eastAsia" w:cs="Times New Roman"/>
          <w:color w:val="000000"/>
          <w:kern w:val="0"/>
          <w:szCs w:val="32"/>
          <w:highlight w:val="none"/>
          <w:shd w:val="clear" w:color="auto" w:fill="FFFFFF"/>
          <w:lang w:val="en-US" w:eastAsia="zh-CN"/>
        </w:rPr>
        <w:t>）</w:t>
      </w:r>
      <w:r>
        <w:rPr>
          <w:rFonts w:hint="default" w:cs="Times New Roman"/>
          <w:color w:val="000000"/>
          <w:kern w:val="0"/>
          <w:szCs w:val="32"/>
          <w:highlight w:val="none"/>
          <w:shd w:val="clear" w:color="auto" w:fill="FFFFFF"/>
          <w:lang w:val="en-US" w:eastAsia="zh-CN"/>
        </w:rPr>
        <w:t>项目绩效分析。</w:t>
      </w:r>
      <w:r>
        <w:rPr>
          <w:rFonts w:hint="default" w:cs="Times New Roman"/>
          <w:color w:val="000000"/>
          <w:kern w:val="0"/>
          <w:szCs w:val="32"/>
          <w:highlight w:val="none"/>
          <w:shd w:val="clear" w:color="auto" w:fill="FFFFFF"/>
          <w:lang w:val="zh-CN" w:eastAsia="zh-CN"/>
        </w:rPr>
        <w:t>该类项目总数</w:t>
      </w:r>
      <w:r>
        <w:rPr>
          <w:rFonts w:hint="eastAsia" w:cs="Times New Roman"/>
          <w:color w:val="000000"/>
          <w:kern w:val="0"/>
          <w:szCs w:val="32"/>
          <w:highlight w:val="none"/>
          <w:shd w:val="clear" w:color="auto" w:fill="FFFFFF"/>
          <w:lang w:val="en-US" w:eastAsia="zh-CN"/>
        </w:rPr>
        <w:t>1</w:t>
      </w:r>
      <w:r>
        <w:rPr>
          <w:rFonts w:hint="default" w:cs="Times New Roman"/>
          <w:color w:val="000000"/>
          <w:kern w:val="0"/>
          <w:szCs w:val="32"/>
          <w:highlight w:val="none"/>
          <w:shd w:val="clear" w:color="auto" w:fill="FFFFFF"/>
          <w:lang w:val="zh-CN" w:eastAsia="zh-CN"/>
        </w:rPr>
        <w:t>个</w:t>
      </w:r>
      <w:r>
        <w:rPr>
          <w:rFonts w:hint="eastAsia" w:cs="Times New Roman"/>
          <w:color w:val="000000"/>
          <w:kern w:val="0"/>
          <w:szCs w:val="32"/>
          <w:highlight w:val="none"/>
          <w:shd w:val="clear" w:color="auto" w:fill="FFFFFF"/>
          <w:lang w:val="zh-CN" w:eastAsia="zh-CN"/>
        </w:rPr>
        <w:t>（</w:t>
      </w:r>
      <w:r>
        <w:rPr>
          <w:rFonts w:hint="eastAsia" w:ascii="Times New Roman" w:hAnsi="Times New Roman" w:cs="Times New Roman"/>
          <w:color w:val="000000"/>
          <w:kern w:val="0"/>
          <w:szCs w:val="32"/>
          <w:highlight w:val="none"/>
          <w:shd w:val="clear" w:color="auto" w:fill="FFFFFF"/>
          <w:lang w:val="en-US" w:eastAsia="zh-CN"/>
        </w:rPr>
        <w:t>阿坝州第四届残运会</w:t>
      </w:r>
      <w:r>
        <w:rPr>
          <w:rFonts w:hint="eastAsia" w:cs="Times New Roman"/>
          <w:color w:val="000000"/>
          <w:kern w:val="0"/>
          <w:szCs w:val="32"/>
          <w:highlight w:val="none"/>
          <w:shd w:val="clear" w:color="auto" w:fill="FFFFFF"/>
          <w:lang w:val="en-US" w:eastAsia="zh-CN"/>
        </w:rPr>
        <w:t>残疾人奖金</w:t>
      </w:r>
      <w:r>
        <w:rPr>
          <w:rFonts w:hint="eastAsia" w:ascii="Times New Roman" w:hAnsi="Times New Roman" w:cs="Times New Roman"/>
          <w:color w:val="000000"/>
          <w:kern w:val="0"/>
          <w:szCs w:val="32"/>
          <w:highlight w:val="none"/>
          <w:shd w:val="clear" w:color="auto" w:fill="FFFFFF"/>
          <w:lang w:val="en-US" w:eastAsia="zh-CN"/>
        </w:rPr>
        <w:t>经费</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eastAsia="zh-CN"/>
        </w:rPr>
        <w:t>，涉及预算总金额</w:t>
      </w:r>
      <w:r>
        <w:rPr>
          <w:rFonts w:hint="eastAsia" w:cs="Times New Roman"/>
          <w:color w:val="000000"/>
          <w:kern w:val="0"/>
          <w:szCs w:val="32"/>
          <w:highlight w:val="none"/>
          <w:shd w:val="clear" w:color="auto" w:fill="FFFFFF"/>
          <w:lang w:val="en-US" w:eastAsia="zh-CN"/>
        </w:rPr>
        <w:t>9.76</w:t>
      </w:r>
      <w:r>
        <w:rPr>
          <w:rFonts w:hint="default" w:cs="Times New Roman"/>
          <w:color w:val="000000"/>
          <w:kern w:val="0"/>
          <w:szCs w:val="32"/>
          <w:highlight w:val="none"/>
          <w:shd w:val="clear" w:color="auto" w:fill="FFFFFF"/>
          <w:lang w:val="zh-CN" w:eastAsia="zh-CN"/>
        </w:rPr>
        <w:t>万元，</w:t>
      </w:r>
      <w:r>
        <w:rPr>
          <w:rFonts w:hint="default" w:cs="Times New Roman"/>
          <w:color w:val="000000"/>
          <w:kern w:val="0"/>
          <w:szCs w:val="32"/>
          <w:highlight w:val="none"/>
          <w:shd w:val="clear" w:color="auto" w:fill="FFFFFF"/>
          <w:lang w:val="zh-CN"/>
        </w:rPr>
        <w:t>1</w:t>
      </w:r>
      <w:r>
        <w:rPr>
          <w:rFonts w:hint="eastAsia" w:cs="Times New Roman"/>
          <w:color w:val="000000"/>
          <w:kern w:val="0"/>
          <w:szCs w:val="32"/>
          <w:highlight w:val="none"/>
          <w:shd w:val="clear" w:color="auto" w:fill="FFFFFF"/>
          <w:lang w:val="zh-CN" w:eastAsia="zh-CN"/>
        </w:rPr>
        <w:t>—</w:t>
      </w:r>
      <w:r>
        <w:rPr>
          <w:rFonts w:hint="default" w:cs="Times New Roman"/>
          <w:color w:val="000000"/>
          <w:kern w:val="0"/>
          <w:szCs w:val="32"/>
          <w:highlight w:val="none"/>
          <w:shd w:val="clear" w:color="auto" w:fill="FFFFFF"/>
          <w:lang w:val="zh-CN"/>
        </w:rPr>
        <w:t>1</w:t>
      </w:r>
      <w:r>
        <w:rPr>
          <w:rFonts w:hint="default" w:cs="Times New Roman"/>
          <w:color w:val="000000"/>
          <w:kern w:val="0"/>
          <w:szCs w:val="32"/>
          <w:highlight w:val="none"/>
          <w:shd w:val="clear" w:color="auto" w:fill="FFFFFF"/>
          <w:lang w:val="en-US" w:eastAsia="zh-CN"/>
        </w:rPr>
        <w:t>2</w:t>
      </w:r>
      <w:r>
        <w:rPr>
          <w:rFonts w:hint="default" w:cs="Times New Roman"/>
          <w:color w:val="000000"/>
          <w:kern w:val="0"/>
          <w:szCs w:val="32"/>
          <w:highlight w:val="none"/>
          <w:shd w:val="clear" w:color="auto" w:fill="FFFFFF"/>
          <w:lang w:val="zh-CN"/>
        </w:rPr>
        <w:t>月预算执行总体进度</w:t>
      </w:r>
      <w:r>
        <w:rPr>
          <w:rFonts w:hint="eastAsia" w:cs="Times New Roman"/>
          <w:color w:val="000000"/>
          <w:kern w:val="0"/>
          <w:szCs w:val="32"/>
          <w:highlight w:val="none"/>
          <w:shd w:val="clear" w:color="auto" w:fill="FFFFFF"/>
          <w:lang w:val="zh-CN"/>
        </w:rPr>
        <w:t>为</w:t>
      </w:r>
      <w:r>
        <w:rPr>
          <w:rFonts w:hint="eastAsia" w:cs="Times New Roman"/>
          <w:color w:val="000000"/>
          <w:kern w:val="0"/>
          <w:szCs w:val="32"/>
          <w:highlight w:val="none"/>
          <w:shd w:val="clear" w:color="auto" w:fill="FFFFFF"/>
          <w:lang w:val="en-US" w:eastAsia="zh-CN"/>
        </w:rPr>
        <w:t>100</w:t>
      </w:r>
      <w:r>
        <w:rPr>
          <w:rFonts w:hint="default" w:cs="Times New Roman"/>
          <w:color w:val="000000"/>
          <w:kern w:val="0"/>
          <w:szCs w:val="32"/>
          <w:highlight w:val="none"/>
          <w:shd w:val="clear" w:color="auto" w:fill="FFFFFF"/>
          <w:lang w:val="zh-CN"/>
        </w:rPr>
        <w:t>%，其中：</w:t>
      </w:r>
      <w:r>
        <w:rPr>
          <w:rFonts w:hint="default" w:cs="Times New Roman"/>
          <w:color w:val="000000"/>
          <w:kern w:val="0"/>
          <w:szCs w:val="32"/>
          <w:highlight w:val="none"/>
          <w:shd w:val="clear" w:color="auto" w:fill="FFFFFF"/>
          <w:lang w:val="zh-CN" w:eastAsia="zh-CN"/>
        </w:rPr>
        <w:t>预算结余率大于</w:t>
      </w:r>
      <w:r>
        <w:rPr>
          <w:rFonts w:hint="default" w:cs="Times New Roman"/>
          <w:color w:val="000000"/>
          <w:kern w:val="0"/>
          <w:szCs w:val="32"/>
          <w:highlight w:val="none"/>
          <w:shd w:val="clear" w:color="auto" w:fill="FFFFFF"/>
          <w:lang w:val="en-US" w:eastAsia="zh-CN"/>
        </w:rPr>
        <w:t>10%</w:t>
      </w:r>
      <w:r>
        <w:rPr>
          <w:rFonts w:hint="default" w:cs="Times New Roman"/>
          <w:color w:val="000000"/>
          <w:kern w:val="0"/>
          <w:szCs w:val="32"/>
          <w:highlight w:val="none"/>
          <w:shd w:val="clear" w:color="auto" w:fill="FFFFFF"/>
          <w:lang w:val="zh-CN" w:eastAsia="zh-CN"/>
        </w:rPr>
        <w:t>的项目共计</w:t>
      </w:r>
      <w:r>
        <w:rPr>
          <w:rFonts w:hint="eastAsia" w:cs="Times New Roman"/>
          <w:color w:val="000000"/>
          <w:kern w:val="0"/>
          <w:szCs w:val="32"/>
          <w:highlight w:val="none"/>
          <w:shd w:val="clear" w:color="auto" w:fill="FFFFFF"/>
          <w:lang w:val="en-US" w:eastAsia="zh-CN"/>
        </w:rPr>
        <w:t>0</w:t>
      </w:r>
      <w:r>
        <w:rPr>
          <w:rFonts w:hint="default" w:cs="Times New Roman"/>
          <w:color w:val="000000"/>
          <w:kern w:val="0"/>
          <w:szCs w:val="32"/>
          <w:highlight w:val="none"/>
          <w:shd w:val="clear" w:color="auto" w:fill="FFFFFF"/>
          <w:lang w:val="zh-CN" w:eastAsia="zh-CN"/>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hAnsi="楷体_GB2312" w:eastAsia="楷体_GB2312" w:cs="楷体_GB2312"/>
          <w:color w:val="000000"/>
          <w:kern w:val="0"/>
          <w:szCs w:val="32"/>
          <w:highlight w:val="none"/>
          <w:shd w:val="clear" w:color="auto" w:fill="FFFFFF"/>
          <w:lang w:val="zh-CN"/>
        </w:rPr>
      </w:pPr>
      <w:r>
        <w:rPr>
          <w:rFonts w:hint="eastAsia" w:cs="Times New Roman"/>
          <w:color w:val="000000"/>
          <w:kern w:val="0"/>
          <w:szCs w:val="32"/>
          <w:highlight w:val="none"/>
          <w:shd w:val="clear" w:color="auto" w:fill="FFFFFF"/>
          <w:lang w:val="en-US" w:eastAsia="zh-CN"/>
        </w:rPr>
        <w:t>1.</w:t>
      </w:r>
      <w:r>
        <w:rPr>
          <w:rFonts w:hint="eastAsia" w:ascii="楷体_GB2312" w:hAnsi="楷体_GB2312" w:eastAsia="楷体_GB2312" w:cs="楷体_GB2312"/>
          <w:color w:val="000000"/>
          <w:kern w:val="0"/>
          <w:szCs w:val="32"/>
          <w:highlight w:val="none"/>
          <w:shd w:val="clear" w:color="auto" w:fill="FFFFFF"/>
          <w:lang w:val="zh-CN"/>
        </w:rPr>
        <w:t>项目决策。</w:t>
      </w:r>
      <w:bookmarkStart w:id="15" w:name="OLE_LINK15"/>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10分</w:t>
      </w:r>
      <w:r>
        <w:rPr>
          <w:rFonts w:hint="eastAsia" w:ascii="楷体_GB2312" w:hAnsi="楷体_GB2312" w:eastAsia="楷体_GB2312" w:cs="楷体_GB2312"/>
          <w:color w:val="000000"/>
          <w:kern w:val="0"/>
          <w:szCs w:val="32"/>
          <w:highlight w:val="none"/>
          <w:shd w:val="clear" w:color="auto" w:fill="FFFFFF"/>
          <w:lang w:val="zh-CN"/>
        </w:rPr>
        <w:t>）</w:t>
      </w:r>
    </w:p>
    <w:bookmarkEnd w:id="15"/>
    <w:p>
      <w:pPr>
        <w:pStyle w:val="13"/>
        <w:numPr>
          <w:ilvl w:val="0"/>
          <w:numId w:val="0"/>
        </w:numPr>
        <w:ind w:firstLine="640" w:firstLineChars="200"/>
        <w:rPr>
          <w:rFonts w:hint="eastAsia" w:ascii="楷体_GB2312" w:hAnsi="楷体_GB2312" w:eastAsia="楷体_GB2312" w:cs="楷体_GB2312"/>
          <w:color w:val="000000"/>
          <w:kern w:val="0"/>
          <w:szCs w:val="32"/>
          <w:highlight w:val="none"/>
          <w:shd w:val="clear" w:color="auto" w:fill="FFFFFF"/>
          <w:lang w:val="en-US" w:eastAsia="zh-CN"/>
        </w:rPr>
      </w:pPr>
      <w:r>
        <w:rPr>
          <w:rFonts w:hint="eastAsia" w:ascii="楷体_GB2312" w:hAnsi="楷体_GB2312" w:eastAsia="楷体_GB2312" w:cs="楷体_GB2312"/>
          <w:color w:val="000000"/>
          <w:kern w:val="0"/>
          <w:sz w:val="32"/>
          <w:szCs w:val="32"/>
          <w:shd w:val="clear" w:fill="FFFFFF"/>
          <w:lang w:val="en-US" w:eastAsia="zh-CN" w:bidi="ar-SA"/>
        </w:rPr>
        <w:t>（1）</w:t>
      </w:r>
      <w:r>
        <w:rPr>
          <w:rFonts w:hint="eastAsia" w:ascii="楷体_GB2312" w:hAnsi="楷体_GB2312" w:eastAsia="楷体_GB2312" w:cs="楷体_GB2312"/>
          <w:color w:val="000000"/>
          <w:kern w:val="0"/>
          <w:szCs w:val="32"/>
          <w:highlight w:val="none"/>
          <w:shd w:val="clear" w:color="auto" w:fill="FFFFFF"/>
          <w:lang w:val="en-US" w:eastAsia="zh-CN"/>
        </w:rPr>
        <w:t>决策程序：我会预算项目设立按规定履行评估论证、申报程序。</w:t>
      </w:r>
      <w:bookmarkStart w:id="16" w:name="OLE_LINK17"/>
      <w:r>
        <w:rPr>
          <w:rFonts w:hint="eastAsia" w:ascii="楷体_GB2312" w:hAnsi="楷体_GB2312" w:eastAsia="楷体_GB2312" w:cs="楷体_GB2312"/>
          <w:color w:val="000000"/>
          <w:kern w:val="0"/>
          <w:szCs w:val="32"/>
          <w:highlight w:val="none"/>
          <w:shd w:val="clear" w:color="auto" w:fill="FFFFFF"/>
          <w:lang w:val="en-US" w:eastAsia="zh-CN"/>
        </w:rPr>
        <w:t>（得分：3分）</w:t>
      </w:r>
      <w:bookmarkEnd w:id="16"/>
    </w:p>
    <w:p>
      <w:pPr>
        <w:pStyle w:val="13"/>
        <w:numPr>
          <w:ilvl w:val="0"/>
          <w:numId w:val="0"/>
        </w:numPr>
        <w:ind w:firstLine="640" w:firstLineChars="200"/>
        <w:rPr>
          <w:rFonts w:hint="default" w:eastAsia="仿宋_GB2312"/>
          <w:lang w:val="en-US" w:eastAsia="zh-CN"/>
        </w:rPr>
      </w:pPr>
      <w:r>
        <w:rPr>
          <w:rFonts w:hint="default" w:ascii="仿宋_GB2312" w:hAnsi="Times New Roman" w:eastAsia="仿宋_GB2312" w:cs="Times New Roman"/>
          <w:kern w:val="2"/>
          <w:sz w:val="32"/>
          <w:szCs w:val="32"/>
          <w:lang w:val="en-US" w:eastAsia="zh-CN" w:bidi="ar-SA"/>
        </w:rPr>
        <w:t>（2）</w:t>
      </w:r>
      <w:r>
        <w:rPr>
          <w:rFonts w:hint="eastAsia" w:ascii="仿宋_GB2312" w:hAnsi="仿宋_GB2312" w:eastAsia="仿宋_GB2312" w:cs="仿宋_GB2312"/>
          <w:color w:val="000000"/>
          <w:kern w:val="0"/>
          <w:sz w:val="32"/>
          <w:szCs w:val="32"/>
          <w:highlight w:val="none"/>
          <w:shd w:val="clear" w:color="auto" w:fill="FFFFFF"/>
          <w:lang w:val="zh-CN" w:eastAsia="zh-CN"/>
        </w:rPr>
        <w:t>目标设置</w:t>
      </w:r>
      <w:r>
        <w:rPr>
          <w:rFonts w:hint="eastAsia" w:hAnsi="仿宋_GB2312" w:cs="仿宋_GB2312"/>
          <w:color w:val="000000"/>
          <w:kern w:val="0"/>
          <w:sz w:val="32"/>
          <w:szCs w:val="32"/>
          <w:highlight w:val="none"/>
          <w:shd w:val="clear" w:color="auto" w:fill="FFFFFF"/>
          <w:lang w:val="zh-CN" w:eastAsia="zh-CN"/>
        </w:rPr>
        <w:t>：</w:t>
      </w:r>
      <w:r>
        <w:rPr>
          <w:rFonts w:hint="eastAsia"/>
          <w:lang w:val="en-US" w:eastAsia="zh-CN"/>
        </w:rPr>
        <w:t>按照年初拟定计划，按照发放人数及标准做好项目预算，目标设置。</w:t>
      </w:r>
      <w:bookmarkStart w:id="17" w:name="OLE_LINK16"/>
      <w:r>
        <w:rPr>
          <w:rFonts w:hint="eastAsia" w:ascii="楷体_GB2312" w:hAnsi="楷体_GB2312" w:eastAsia="楷体_GB2312" w:cs="楷体_GB2312"/>
          <w:color w:val="000000"/>
          <w:kern w:val="0"/>
          <w:szCs w:val="32"/>
          <w:highlight w:val="none"/>
          <w:shd w:val="clear" w:color="auto" w:fill="FFFFFF"/>
          <w:lang w:val="en-US" w:eastAsia="zh-CN"/>
        </w:rPr>
        <w:t>（得分：3分）</w:t>
      </w:r>
      <w:bookmarkEnd w:id="17"/>
    </w:p>
    <w:p>
      <w:pPr>
        <w:pStyle w:val="13"/>
        <w:numPr>
          <w:ilvl w:val="0"/>
          <w:numId w:val="0"/>
        </w:numPr>
        <w:ind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 w:val="32"/>
          <w:szCs w:val="32"/>
          <w:shd w:val="clear" w:fill="FFFFFF"/>
          <w:lang w:val="zh-CN" w:eastAsia="zh-CN" w:bidi="ar-SA"/>
        </w:rPr>
        <w:t>（3）</w:t>
      </w:r>
      <w:r>
        <w:rPr>
          <w:rFonts w:hint="eastAsia" w:ascii="仿宋_GB2312" w:hAnsi="仿宋_GB2312" w:eastAsia="仿宋_GB2312" w:cs="仿宋_GB2312"/>
          <w:color w:val="000000"/>
          <w:kern w:val="0"/>
          <w:sz w:val="32"/>
          <w:szCs w:val="32"/>
          <w:highlight w:val="none"/>
          <w:shd w:val="clear" w:color="auto" w:fill="FFFFFF"/>
          <w:lang w:val="zh-CN" w:eastAsia="zh-CN"/>
        </w:rPr>
        <w:t>项目入库</w:t>
      </w:r>
      <w:r>
        <w:rPr>
          <w:rFonts w:hint="eastAsia" w:hAnsi="仿宋_GB2312" w:cs="仿宋_GB2312"/>
          <w:color w:val="000000"/>
          <w:kern w:val="0"/>
          <w:sz w:val="32"/>
          <w:szCs w:val="32"/>
          <w:highlight w:val="none"/>
          <w:shd w:val="clear" w:color="auto" w:fill="FFFFFF"/>
          <w:lang w:val="zh-CN" w:eastAsia="zh-CN"/>
        </w:rPr>
        <w:t>：</w:t>
      </w:r>
      <w:r>
        <w:rPr>
          <w:rFonts w:hint="eastAsia" w:ascii="仿宋_GB2312" w:hAnsi="仿宋_GB2312" w:eastAsia="仿宋_GB2312" w:cs="仿宋_GB2312"/>
          <w:color w:val="000000"/>
          <w:kern w:val="0"/>
          <w:sz w:val="32"/>
          <w:szCs w:val="32"/>
          <w:highlight w:val="none"/>
          <w:shd w:val="clear" w:color="auto" w:fill="FFFFFF"/>
          <w:lang w:val="en-US" w:eastAsia="zh-CN"/>
        </w:rPr>
        <w:t>在规定时间</w:t>
      </w:r>
      <w:r>
        <w:rPr>
          <w:rFonts w:hint="eastAsia" w:hAnsi="仿宋_GB2312" w:cs="仿宋_GB2312"/>
          <w:color w:val="000000"/>
          <w:kern w:val="0"/>
          <w:sz w:val="32"/>
          <w:szCs w:val="32"/>
          <w:highlight w:val="none"/>
          <w:shd w:val="clear" w:color="auto" w:fill="FFFFFF"/>
          <w:lang w:val="en-US" w:eastAsia="zh-CN"/>
        </w:rPr>
        <w:t>做好预算，</w:t>
      </w:r>
      <w:r>
        <w:rPr>
          <w:rFonts w:hint="eastAsia" w:ascii="仿宋_GB2312" w:hAnsi="仿宋_GB2312" w:eastAsia="仿宋_GB2312" w:cs="仿宋_GB2312"/>
          <w:color w:val="000000"/>
          <w:kern w:val="0"/>
          <w:sz w:val="32"/>
          <w:szCs w:val="32"/>
          <w:highlight w:val="none"/>
          <w:shd w:val="clear" w:color="auto" w:fill="FFFFFF"/>
          <w:lang w:val="en-US" w:eastAsia="zh-CN"/>
        </w:rPr>
        <w:t>完成项目</w:t>
      </w:r>
      <w:r>
        <w:rPr>
          <w:rFonts w:hint="eastAsia" w:hAnsi="仿宋_GB2312" w:cs="仿宋_GB2312"/>
          <w:color w:val="000000"/>
          <w:kern w:val="0"/>
          <w:sz w:val="32"/>
          <w:szCs w:val="32"/>
          <w:highlight w:val="none"/>
          <w:shd w:val="clear" w:color="auto" w:fill="FFFFFF"/>
          <w:lang w:val="en-US" w:eastAsia="zh-CN"/>
        </w:rPr>
        <w:t>并</w:t>
      </w:r>
      <w:r>
        <w:rPr>
          <w:rFonts w:hint="eastAsia" w:ascii="仿宋_GB2312" w:hAnsi="仿宋_GB2312" w:eastAsia="仿宋_GB2312" w:cs="仿宋_GB2312"/>
          <w:color w:val="000000"/>
          <w:kern w:val="0"/>
          <w:sz w:val="32"/>
          <w:szCs w:val="32"/>
          <w:highlight w:val="none"/>
          <w:shd w:val="clear" w:color="auto" w:fill="FFFFFF"/>
          <w:lang w:val="en-US" w:eastAsia="zh-CN"/>
        </w:rPr>
        <w:t>入库</w:t>
      </w:r>
      <w:r>
        <w:rPr>
          <w:rFonts w:hint="eastAsia"/>
          <w:lang w:val="en-US" w:eastAsia="zh-CN"/>
        </w:rPr>
        <w:t>。</w:t>
      </w:r>
      <w:r>
        <w:rPr>
          <w:rFonts w:hint="eastAsia" w:ascii="楷体_GB2312" w:hAnsi="楷体_GB2312" w:eastAsia="楷体_GB2312" w:cs="楷体_GB2312"/>
          <w:color w:val="000000"/>
          <w:kern w:val="0"/>
          <w:szCs w:val="32"/>
          <w:highlight w:val="none"/>
          <w:shd w:val="clear" w:color="auto" w:fill="FFFFFF"/>
          <w:lang w:val="en-US" w:eastAsia="zh-CN"/>
        </w:rPr>
        <w:t>（得分：4分）</w:t>
      </w:r>
    </w:p>
    <w:p>
      <w:pPr>
        <w:pStyle w:val="13"/>
        <w:numPr>
          <w:ilvl w:val="0"/>
          <w:numId w:val="0"/>
        </w:numPr>
        <w:ind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en-US" w:eastAsia="zh-CN"/>
        </w:rPr>
        <w:t>2.项目执行</w:t>
      </w:r>
      <w:r>
        <w:rPr>
          <w:rFonts w:hint="eastAsia" w:ascii="楷体_GB2312" w:hAnsi="楷体_GB2312" w:eastAsia="楷体_GB2312" w:cs="楷体_GB2312"/>
          <w:color w:val="000000"/>
          <w:kern w:val="0"/>
          <w:szCs w:val="32"/>
          <w:highlight w:val="none"/>
          <w:shd w:val="clear" w:color="auto" w:fill="FFFFFF"/>
          <w:lang w:val="zh-CN"/>
        </w:rPr>
        <w:t>。</w:t>
      </w:r>
      <w:bookmarkStart w:id="18" w:name="OLE_LINK18"/>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12分</w:t>
      </w:r>
      <w:r>
        <w:rPr>
          <w:rFonts w:hint="eastAsia" w:ascii="楷体_GB2312" w:hAnsi="楷体_GB2312" w:eastAsia="楷体_GB2312" w:cs="楷体_GB2312"/>
          <w:color w:val="000000"/>
          <w:kern w:val="0"/>
          <w:szCs w:val="32"/>
          <w:highlight w:val="none"/>
          <w:shd w:val="clear" w:color="auto" w:fill="FFFFFF"/>
          <w:lang w:val="zh-CN"/>
        </w:rPr>
        <w:t>）</w:t>
      </w:r>
      <w:bookmarkEnd w:id="18"/>
    </w:p>
    <w:p>
      <w:pPr>
        <w:pStyle w:val="7"/>
        <w:numPr>
          <w:ilvl w:val="0"/>
          <w:numId w:val="0"/>
        </w:numPr>
        <w:spacing w:after="0" w:line="240" w:lineRule="auto"/>
        <w:ind w:left="0" w:leftChars="0" w:firstLine="640" w:firstLineChars="200"/>
        <w:rPr>
          <w:rFonts w:hint="eastAsia"/>
          <w:lang w:val="zh-CN"/>
        </w:rPr>
      </w:pPr>
      <w:r>
        <w:rPr>
          <w:rFonts w:hint="eastAsia" w:ascii="Times New Roman" w:hAnsi="Times New Roman" w:eastAsia="仿宋_GB2312" w:cs="Times New Roman"/>
          <w:kern w:val="2"/>
          <w:sz w:val="32"/>
          <w:szCs w:val="24"/>
          <w:lang w:val="zh-CN" w:eastAsia="zh-CN" w:bidi="ar-SA"/>
        </w:rPr>
        <w:t>（1）</w:t>
      </w:r>
      <w:r>
        <w:rPr>
          <w:rFonts w:hint="eastAsia"/>
          <w:lang w:val="zh-CN"/>
        </w:rPr>
        <w:t>执行同向：本会预算项目实际列支内容与绩效目标设置方向相符。</w:t>
      </w:r>
      <w:bookmarkStart w:id="19" w:name="OLE_LINK19"/>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4分</w:t>
      </w:r>
      <w:r>
        <w:rPr>
          <w:rFonts w:hint="eastAsia" w:ascii="楷体_GB2312" w:hAnsi="楷体_GB2312" w:eastAsia="楷体_GB2312" w:cs="楷体_GB2312"/>
          <w:color w:val="000000"/>
          <w:kern w:val="0"/>
          <w:szCs w:val="32"/>
          <w:highlight w:val="none"/>
          <w:shd w:val="clear" w:color="auto" w:fill="FFFFFF"/>
          <w:lang w:val="zh-CN"/>
        </w:rPr>
        <w:t>）</w:t>
      </w:r>
      <w:bookmarkEnd w:id="19"/>
    </w:p>
    <w:p>
      <w:pPr>
        <w:pStyle w:val="7"/>
        <w:numPr>
          <w:ilvl w:val="0"/>
          <w:numId w:val="0"/>
        </w:numPr>
        <w:spacing w:after="0" w:line="240" w:lineRule="auto"/>
        <w:ind w:left="0" w:leftChars="0" w:firstLine="640" w:firstLineChars="200"/>
        <w:rPr>
          <w:rFonts w:hint="eastAsia"/>
          <w:lang w:val="zh-CN"/>
        </w:rPr>
      </w:pPr>
      <w:r>
        <w:rPr>
          <w:rFonts w:hint="eastAsia" w:ascii="Times New Roman" w:hAnsi="Times New Roman" w:eastAsia="仿宋_GB2312" w:cs="Times New Roman"/>
          <w:kern w:val="2"/>
          <w:sz w:val="32"/>
          <w:szCs w:val="24"/>
          <w:lang w:val="zh-CN" w:eastAsia="zh-CN" w:bidi="ar-SA"/>
        </w:rPr>
        <w:t>（2）</w:t>
      </w:r>
      <w:r>
        <w:rPr>
          <w:rFonts w:hint="eastAsia"/>
          <w:lang w:val="zh-CN"/>
        </w:rPr>
        <w:t>项目调整：本会预算项目采取对应调整措施。</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4分</w:t>
      </w:r>
      <w:r>
        <w:rPr>
          <w:rFonts w:hint="eastAsia" w:ascii="楷体_GB2312" w:hAnsi="楷体_GB2312" w:eastAsia="楷体_GB2312" w:cs="楷体_GB2312"/>
          <w:color w:val="000000"/>
          <w:kern w:val="0"/>
          <w:szCs w:val="32"/>
          <w:highlight w:val="none"/>
          <w:shd w:val="clear" w:color="auto" w:fill="FFFFFF"/>
          <w:lang w:val="zh-CN"/>
        </w:rPr>
        <w:t>）</w:t>
      </w:r>
    </w:p>
    <w:p>
      <w:pPr>
        <w:pStyle w:val="7"/>
        <w:numPr>
          <w:ilvl w:val="0"/>
          <w:numId w:val="0"/>
        </w:numPr>
        <w:spacing w:after="0" w:line="240" w:lineRule="auto"/>
        <w:ind w:left="0" w:leftChars="0" w:firstLine="640" w:firstLineChars="200"/>
        <w:rPr>
          <w:rFonts w:hint="eastAsia"/>
          <w:lang w:val="zh-CN"/>
        </w:rPr>
      </w:pPr>
      <w:r>
        <w:rPr>
          <w:rFonts w:hint="eastAsia" w:ascii="Times New Roman" w:hAnsi="Times New Roman" w:eastAsia="仿宋_GB2312" w:cs="Times New Roman"/>
          <w:kern w:val="2"/>
          <w:sz w:val="32"/>
          <w:szCs w:val="24"/>
          <w:lang w:val="zh-CN" w:eastAsia="zh-CN" w:bidi="ar-SA"/>
        </w:rPr>
        <w:t>（3）</w:t>
      </w:r>
      <w:r>
        <w:rPr>
          <w:rFonts w:hint="eastAsia"/>
          <w:lang w:val="zh-CN"/>
        </w:rPr>
        <w:t>执行结果：本会部门预算项目执行率达到</w:t>
      </w:r>
      <w:r>
        <w:rPr>
          <w:rFonts w:hint="eastAsia"/>
          <w:lang w:val="en-US" w:eastAsia="zh-CN"/>
        </w:rPr>
        <w:t>100%。</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4分</w:t>
      </w:r>
      <w:r>
        <w:rPr>
          <w:rFonts w:hint="eastAsia" w:ascii="楷体_GB2312" w:hAnsi="楷体_GB2312" w:eastAsia="楷体_GB2312" w:cs="楷体_GB2312"/>
          <w:color w:val="000000"/>
          <w:kern w:val="0"/>
          <w:szCs w:val="32"/>
          <w:highlight w:val="none"/>
          <w:shd w:val="clear" w:color="auto" w:fill="FFFFFF"/>
          <w:lang w:val="zh-CN"/>
        </w:rPr>
        <w:t>）</w:t>
      </w:r>
    </w:p>
    <w:p>
      <w:pPr>
        <w:pStyle w:val="13"/>
        <w:numPr>
          <w:ilvl w:val="0"/>
          <w:numId w:val="0"/>
        </w:numPr>
        <w:ind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en-US" w:eastAsia="zh-CN"/>
        </w:rPr>
        <w:t>3.</w:t>
      </w:r>
      <w:r>
        <w:rPr>
          <w:rFonts w:hint="eastAsia" w:ascii="楷体_GB2312" w:hAnsi="楷体_GB2312" w:eastAsia="楷体_GB2312" w:cs="楷体_GB2312"/>
          <w:color w:val="000000"/>
          <w:kern w:val="0"/>
          <w:szCs w:val="32"/>
          <w:highlight w:val="none"/>
          <w:shd w:val="clear" w:color="auto" w:fill="FFFFFF"/>
          <w:lang w:val="zh-CN"/>
        </w:rPr>
        <w:t>目标实现。（得分：</w:t>
      </w:r>
      <w:r>
        <w:rPr>
          <w:rFonts w:hint="eastAsia" w:ascii="楷体_GB2312" w:hAnsi="楷体_GB2312" w:eastAsia="楷体_GB2312" w:cs="楷体_GB2312"/>
          <w:color w:val="000000"/>
          <w:kern w:val="0"/>
          <w:szCs w:val="32"/>
          <w:highlight w:val="none"/>
          <w:shd w:val="clear" w:color="auto" w:fill="FFFFFF"/>
          <w:lang w:val="en-US" w:eastAsia="zh-CN"/>
        </w:rPr>
        <w:t>10分</w:t>
      </w:r>
      <w:r>
        <w:rPr>
          <w:rFonts w:hint="eastAsia" w:ascii="楷体_GB2312" w:hAnsi="楷体_GB2312" w:eastAsia="楷体_GB2312" w:cs="楷体_GB2312"/>
          <w:color w:val="000000"/>
          <w:kern w:val="0"/>
          <w:szCs w:val="32"/>
          <w:highlight w:val="none"/>
          <w:shd w:val="clear" w:color="auto" w:fill="FFFFFF"/>
          <w:lang w:val="zh-CN"/>
        </w:rPr>
        <w:t>）</w:t>
      </w:r>
    </w:p>
    <w:p>
      <w:pPr>
        <w:pStyle w:val="13"/>
        <w:numPr>
          <w:ilvl w:val="0"/>
          <w:numId w:val="0"/>
        </w:numPr>
        <w:spacing w:after="0"/>
        <w:ind w:firstLine="640" w:firstLineChars="200"/>
        <w:rPr>
          <w:rFonts w:hint="eastAsia" w:ascii="楷体_GB2312" w:hAnsi="楷体_GB2312" w:eastAsia="楷体_GB2312" w:cs="楷体_GB2312"/>
          <w:color w:val="000000"/>
          <w:kern w:val="0"/>
          <w:szCs w:val="32"/>
          <w:highlight w:val="none"/>
          <w:shd w:val="clear" w:color="auto" w:fill="FFFFFF"/>
          <w:lang w:val="zh-CN"/>
        </w:rPr>
      </w:pPr>
      <w:r>
        <w:rPr>
          <w:rFonts w:hint="eastAsia" w:ascii="楷体_GB2312" w:hAnsi="楷体_GB2312" w:eastAsia="楷体_GB2312" w:cs="楷体_GB2312"/>
          <w:color w:val="000000"/>
          <w:kern w:val="0"/>
          <w:szCs w:val="32"/>
          <w:highlight w:val="none"/>
          <w:shd w:val="clear" w:color="auto" w:fill="FFFFFF"/>
          <w:lang w:val="zh-CN"/>
        </w:rPr>
        <w:t>（</w:t>
      </w:r>
      <w:r>
        <w:rPr>
          <w:rFonts w:hint="eastAsia" w:ascii="楷体_GB2312" w:hAnsi="楷体_GB2312" w:eastAsia="楷体_GB2312" w:cs="楷体_GB2312"/>
          <w:color w:val="000000"/>
          <w:kern w:val="0"/>
          <w:szCs w:val="32"/>
          <w:highlight w:val="none"/>
          <w:shd w:val="clear" w:color="auto" w:fill="FFFFFF"/>
          <w:lang w:val="en-US" w:eastAsia="zh-CN"/>
        </w:rPr>
        <w:t>1</w:t>
      </w:r>
      <w:r>
        <w:rPr>
          <w:rFonts w:hint="eastAsia" w:ascii="楷体_GB2312" w:hAnsi="楷体_GB2312" w:eastAsia="楷体_GB2312" w:cs="楷体_GB2312"/>
          <w:color w:val="000000"/>
          <w:kern w:val="0"/>
          <w:szCs w:val="32"/>
          <w:highlight w:val="none"/>
          <w:shd w:val="clear" w:color="auto" w:fill="FFFFFF"/>
          <w:lang w:val="zh-CN"/>
        </w:rPr>
        <w:t>）目标完成：</w:t>
      </w:r>
      <w:r>
        <w:rPr>
          <w:rFonts w:hint="eastAsia"/>
          <w:lang w:val="en-US" w:eastAsia="zh-CN"/>
        </w:rPr>
        <w:t>2025年10个项目目标完成100%，预算绩效执行较好。</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4分</w:t>
      </w:r>
      <w:r>
        <w:rPr>
          <w:rFonts w:hint="eastAsia" w:ascii="楷体_GB2312" w:hAnsi="楷体_GB2312" w:eastAsia="楷体_GB2312" w:cs="楷体_GB2312"/>
          <w:color w:val="000000"/>
          <w:kern w:val="0"/>
          <w:szCs w:val="32"/>
          <w:highlight w:val="none"/>
          <w:shd w:val="clear" w:color="auto" w:fill="FFFFFF"/>
          <w:lang w:val="zh-CN"/>
        </w:rPr>
        <w:t>）</w:t>
      </w:r>
    </w:p>
    <w:p>
      <w:pPr>
        <w:pStyle w:val="13"/>
        <w:numPr>
          <w:ilvl w:val="0"/>
          <w:numId w:val="0"/>
        </w:numPr>
        <w:spacing w:after="0"/>
        <w:ind w:firstLine="640" w:firstLineChars="200"/>
        <w:rPr>
          <w:rFonts w:hint="eastAsia" w:ascii="楷体_GB2312" w:hAnsi="楷体_GB2312" w:eastAsia="楷体_GB2312" w:cs="楷体_GB2312"/>
          <w:color w:val="000000"/>
          <w:kern w:val="0"/>
          <w:szCs w:val="32"/>
          <w:highlight w:val="none"/>
          <w:shd w:val="clear" w:color="auto" w:fill="FFFFFF"/>
          <w:lang w:val="en-US" w:eastAsia="zh-CN"/>
        </w:rPr>
      </w:pPr>
      <w:r>
        <w:rPr>
          <w:rFonts w:hint="eastAsia" w:ascii="楷体_GB2312" w:hAnsi="楷体_GB2312" w:eastAsia="楷体_GB2312" w:cs="楷体_GB2312"/>
          <w:color w:val="000000"/>
          <w:kern w:val="0"/>
          <w:szCs w:val="32"/>
          <w:highlight w:val="none"/>
          <w:shd w:val="clear" w:color="auto" w:fill="FFFFFF"/>
          <w:lang w:val="zh-CN" w:eastAsia="zh-CN"/>
        </w:rPr>
        <w:t>（</w:t>
      </w:r>
      <w:r>
        <w:rPr>
          <w:rFonts w:hint="eastAsia" w:ascii="楷体_GB2312" w:hAnsi="楷体_GB2312" w:eastAsia="楷体_GB2312" w:cs="楷体_GB2312"/>
          <w:color w:val="000000"/>
          <w:kern w:val="0"/>
          <w:szCs w:val="32"/>
          <w:highlight w:val="none"/>
          <w:shd w:val="clear" w:color="auto" w:fill="FFFFFF"/>
          <w:lang w:val="en-US" w:eastAsia="zh-CN"/>
        </w:rPr>
        <w:t>2）目标偏离：</w:t>
      </w:r>
      <w:r>
        <w:rPr>
          <w:rFonts w:hint="eastAsia"/>
          <w:lang w:val="en-US" w:eastAsia="zh-CN"/>
        </w:rPr>
        <w:t>目标偏离</w:t>
      </w:r>
      <w:bookmarkStart w:id="23" w:name="_GoBack"/>
      <w:bookmarkEnd w:id="23"/>
      <w:r>
        <w:rPr>
          <w:rFonts w:hint="eastAsia"/>
          <w:lang w:val="en-US" w:eastAsia="zh-CN"/>
        </w:rPr>
        <w:t>较低。</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3分</w:t>
      </w:r>
      <w:r>
        <w:rPr>
          <w:rFonts w:hint="eastAsia" w:ascii="楷体_GB2312" w:hAnsi="楷体_GB2312" w:eastAsia="楷体_GB2312" w:cs="楷体_GB2312"/>
          <w:color w:val="000000"/>
          <w:kern w:val="0"/>
          <w:szCs w:val="32"/>
          <w:highlight w:val="none"/>
          <w:shd w:val="clear" w:color="auto" w:fill="FFFFFF"/>
          <w:lang w:val="zh-CN"/>
        </w:rPr>
        <w:t>）</w:t>
      </w:r>
    </w:p>
    <w:p>
      <w:pPr>
        <w:pStyle w:val="13"/>
        <w:numPr>
          <w:ilvl w:val="0"/>
          <w:numId w:val="0"/>
        </w:numPr>
        <w:spacing w:after="0"/>
        <w:ind w:firstLine="640" w:firstLineChars="200"/>
        <w:rPr>
          <w:rFonts w:hint="default" w:ascii="楷体_GB2312" w:hAnsi="楷体_GB2312" w:eastAsia="楷体_GB2312" w:cs="楷体_GB2312"/>
          <w:color w:val="000000"/>
          <w:kern w:val="0"/>
          <w:szCs w:val="32"/>
          <w:highlight w:val="none"/>
          <w:shd w:val="clear" w:color="auto" w:fill="FFFFFF"/>
          <w:lang w:val="en-US" w:eastAsia="zh-CN"/>
        </w:rPr>
      </w:pPr>
      <w:r>
        <w:rPr>
          <w:rFonts w:hint="eastAsia" w:ascii="楷体_GB2312" w:hAnsi="楷体_GB2312" w:eastAsia="楷体_GB2312" w:cs="楷体_GB2312"/>
          <w:color w:val="000000"/>
          <w:kern w:val="0"/>
          <w:szCs w:val="32"/>
          <w:highlight w:val="none"/>
          <w:shd w:val="clear" w:color="auto" w:fill="FFFFFF"/>
          <w:lang w:val="en-US" w:eastAsia="zh-CN"/>
        </w:rPr>
        <w:t>（3）实现效果：</w:t>
      </w:r>
      <w:r>
        <w:rPr>
          <w:rFonts w:hint="eastAsia" w:ascii="仿宋_GB2312" w:hAnsi="仿宋_GB2312" w:eastAsia="仿宋_GB2312" w:cs="仿宋_GB2312"/>
          <w:color w:val="000000"/>
          <w:kern w:val="0"/>
          <w:sz w:val="32"/>
          <w:szCs w:val="32"/>
          <w:highlight w:val="none"/>
          <w:shd w:val="clear" w:color="auto" w:fill="FFFFFF"/>
          <w:lang w:val="en-US" w:eastAsia="zh-CN"/>
        </w:rPr>
        <w:t>绩效目标完成率100%，与预期目标偏离度为0%，目标效益指标实施效果为100%。</w:t>
      </w:r>
      <w:r>
        <w:rPr>
          <w:rFonts w:hint="eastAsia" w:ascii="楷体_GB2312" w:hAnsi="楷体_GB2312" w:eastAsia="楷体_GB2312" w:cs="楷体_GB2312"/>
          <w:color w:val="000000"/>
          <w:kern w:val="0"/>
          <w:szCs w:val="32"/>
          <w:highlight w:val="none"/>
          <w:shd w:val="clear" w:color="auto" w:fill="FFFFFF"/>
          <w:lang w:val="zh-CN"/>
        </w:rPr>
        <w:t>（得分：</w:t>
      </w:r>
      <w:r>
        <w:rPr>
          <w:rFonts w:hint="eastAsia" w:ascii="楷体_GB2312" w:hAnsi="楷体_GB2312" w:eastAsia="楷体_GB2312" w:cs="楷体_GB2312"/>
          <w:color w:val="000000"/>
          <w:kern w:val="0"/>
          <w:szCs w:val="32"/>
          <w:highlight w:val="none"/>
          <w:shd w:val="clear" w:color="auto" w:fill="FFFFFF"/>
          <w:lang w:val="en-US" w:eastAsia="zh-CN"/>
        </w:rPr>
        <w:t>3分</w:t>
      </w:r>
      <w:r>
        <w:rPr>
          <w:rFonts w:hint="eastAsia" w:ascii="楷体_GB2312" w:hAnsi="楷体_GB2312" w:eastAsia="楷体_GB2312" w:cs="楷体_GB2312"/>
          <w:color w:val="000000"/>
          <w:kern w:val="0"/>
          <w:szCs w:val="32"/>
          <w:highlight w:val="none"/>
          <w:shd w:val="clear" w:color="auto" w:fill="FFFFFF"/>
          <w:lang w:val="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rPr>
        <w:t>（</w:t>
      </w:r>
      <w:r>
        <w:rPr>
          <w:rFonts w:hint="eastAsia" w:eastAsia="楷体_GB2312" w:cs="Times New Roman"/>
          <w:b/>
          <w:bCs/>
          <w:color w:val="000000"/>
          <w:kern w:val="0"/>
          <w:szCs w:val="32"/>
          <w:highlight w:val="none"/>
          <w:shd w:val="clear" w:color="auto" w:fill="FFFFFF"/>
          <w:lang w:val="zh-CN"/>
        </w:rPr>
        <w:t>三</w:t>
      </w:r>
      <w:r>
        <w:rPr>
          <w:rFonts w:hint="default" w:ascii="Times New Roman" w:hAnsi="Times New Roman" w:eastAsia="楷体_GB2312" w:cs="Times New Roman"/>
          <w:b/>
          <w:bCs/>
          <w:color w:val="000000"/>
          <w:kern w:val="0"/>
          <w:szCs w:val="32"/>
          <w:highlight w:val="none"/>
          <w:shd w:val="clear" w:color="auto" w:fill="FFFFFF"/>
          <w:lang w:val="zh-CN"/>
        </w:rPr>
        <w:t>）</w:t>
      </w:r>
      <w:r>
        <w:rPr>
          <w:rFonts w:hint="default" w:ascii="Times New Roman" w:hAnsi="Times New Roman" w:eastAsia="楷体_GB2312" w:cs="Times New Roman"/>
          <w:b/>
          <w:bCs/>
          <w:color w:val="000000"/>
          <w:kern w:val="0"/>
          <w:szCs w:val="32"/>
          <w:highlight w:val="none"/>
          <w:shd w:val="clear" w:color="auto" w:fill="FFFFFF"/>
          <w:lang w:val="zh-CN" w:eastAsia="zh-CN"/>
        </w:rPr>
        <w:t>重点领域</w:t>
      </w:r>
      <w:r>
        <w:rPr>
          <w:rFonts w:hint="default" w:ascii="Times New Roman" w:hAnsi="Times New Roman" w:eastAsia="楷体_GB2312" w:cs="Times New Roman"/>
          <w:b/>
          <w:bCs/>
          <w:color w:val="000000"/>
          <w:kern w:val="0"/>
          <w:szCs w:val="32"/>
          <w:highlight w:val="none"/>
          <w:shd w:val="clear" w:color="auto" w:fill="FFFFFF"/>
          <w:lang w:val="zh-CN"/>
        </w:rPr>
        <w:t>绩效分析</w:t>
      </w:r>
    </w:p>
    <w:p>
      <w:pPr>
        <w:spacing w:line="580" w:lineRule="exact"/>
        <w:ind w:firstLine="640" w:firstLineChars="200"/>
        <w:rPr>
          <w:rFonts w:hint="default" w:ascii="Times New Roman" w:hAnsi="Times New Roman" w:eastAsia="仿宋_GB2312" w:cs="Times New Roman"/>
          <w:b w:val="0"/>
          <w:bCs w:val="0"/>
          <w:sz w:val="32"/>
          <w:szCs w:val="32"/>
          <w:highlight w:val="none"/>
          <w:u w:val="none"/>
          <w:lang w:eastAsia="zh-CN"/>
        </w:rPr>
      </w:pPr>
      <w:r>
        <w:rPr>
          <w:rFonts w:hint="eastAsia" w:ascii="Times New Roman" w:hAnsi="Times New Roman" w:cs="Times New Roman"/>
          <w:sz w:val="32"/>
          <w:szCs w:val="32"/>
          <w:u w:val="none"/>
          <w:lang w:val="en-US" w:eastAsia="zh-CN"/>
        </w:rPr>
        <w:t>我会</w:t>
      </w:r>
      <w:r>
        <w:rPr>
          <w:rFonts w:hint="eastAsia" w:cs="Times New Roman"/>
          <w:sz w:val="32"/>
          <w:szCs w:val="32"/>
          <w:u w:val="none"/>
          <w:lang w:val="en-US" w:eastAsia="zh-CN"/>
        </w:rPr>
        <w:t>2025</w:t>
      </w:r>
      <w:r>
        <w:rPr>
          <w:rFonts w:hint="eastAsia" w:ascii="Times New Roman" w:hAnsi="Times New Roman" w:eastAsia="仿宋_GB2312" w:cs="Times New Roman"/>
          <w:sz w:val="32"/>
          <w:szCs w:val="32"/>
          <w:u w:val="none"/>
          <w:lang w:val="en-US" w:eastAsia="zh-CN"/>
        </w:rPr>
        <w:t>年度</w:t>
      </w:r>
      <w:r>
        <w:rPr>
          <w:rFonts w:hint="eastAsia" w:ascii="Times New Roman" w:hAnsi="Times New Roman" w:cs="Times New Roman"/>
          <w:sz w:val="32"/>
          <w:szCs w:val="32"/>
          <w:u w:val="none"/>
          <w:lang w:val="en-US" w:eastAsia="zh-CN"/>
        </w:rPr>
        <w:t>未</w:t>
      </w:r>
      <w:r>
        <w:rPr>
          <w:rFonts w:hint="default" w:ascii="Times New Roman" w:hAnsi="Times New Roman" w:eastAsia="仿宋_GB2312" w:cs="Times New Roman"/>
          <w:sz w:val="32"/>
          <w:szCs w:val="32"/>
          <w:highlight w:val="none"/>
          <w:u w:val="none"/>
        </w:rPr>
        <w:t>涉及国有资本、行政事业性国有资产、</w:t>
      </w:r>
      <w:r>
        <w:rPr>
          <w:rFonts w:hint="default" w:ascii="Times New Roman" w:hAnsi="Times New Roman" w:eastAsia="仿宋_GB2312" w:cs="Times New Roman"/>
          <w:b w:val="0"/>
          <w:bCs w:val="0"/>
          <w:sz w:val="32"/>
          <w:szCs w:val="32"/>
          <w:highlight w:val="none"/>
          <w:u w:val="none"/>
        </w:rPr>
        <w:t>债券</w:t>
      </w:r>
      <w:r>
        <w:rPr>
          <w:rFonts w:hint="default" w:ascii="Times New Roman" w:hAnsi="Times New Roman" w:eastAsia="仿宋_GB2312" w:cs="Times New Roman"/>
          <w:b w:val="0"/>
          <w:bCs w:val="0"/>
          <w:sz w:val="32"/>
          <w:szCs w:val="32"/>
          <w:highlight w:val="none"/>
          <w:u w:val="none"/>
          <w:lang w:eastAsia="zh-CN"/>
        </w:rPr>
        <w:t>资金和政府购买服务</w:t>
      </w:r>
      <w:r>
        <w:rPr>
          <w:rFonts w:hint="eastAsia"/>
          <w:lang w:val="en-US" w:eastAsia="zh-CN"/>
        </w:rPr>
        <w:t>等资金支出。</w:t>
      </w:r>
    </w:p>
    <w:p>
      <w:pPr>
        <w:spacing w:line="580" w:lineRule="exact"/>
        <w:ind w:firstLine="642" w:firstLineChars="200"/>
        <w:rPr>
          <w:rFonts w:hint="eastAsia" w:ascii="Times New Roman" w:hAnsi="Times New Roman" w:eastAsia="楷体_GB2312" w:cs="Times New Roman"/>
          <w:b/>
          <w:bCs/>
          <w:szCs w:val="32"/>
          <w:lang w:val="zh-CN"/>
        </w:rPr>
      </w:pPr>
      <w:r>
        <w:rPr>
          <w:rFonts w:hint="default" w:ascii="Times New Roman" w:hAnsi="Times New Roman" w:eastAsia="楷体_GB2312" w:cs="Times New Roman"/>
          <w:b/>
          <w:bCs/>
          <w:szCs w:val="32"/>
          <w:lang w:val="zh-CN"/>
        </w:rPr>
        <w:t>（四）绩效结果应用情况</w:t>
      </w:r>
      <w:r>
        <w:rPr>
          <w:rFonts w:hint="eastAsia" w:ascii="Times New Roman" w:hAnsi="Times New Roman" w:eastAsia="楷体_GB2312" w:cs="Times New Roman"/>
          <w:b/>
          <w:bCs/>
          <w:szCs w:val="32"/>
          <w:lang w:val="zh-CN"/>
        </w:rPr>
        <w:t>。</w:t>
      </w:r>
    </w:p>
    <w:p>
      <w:pPr>
        <w:spacing w:line="580" w:lineRule="exact"/>
        <w:ind w:firstLine="640" w:firstLineChars="200"/>
        <w:rPr>
          <w:rFonts w:ascii="仿宋_GB2312" w:hAnsi="仿宋" w:eastAsia="仿宋_GB2312" w:cs="仿宋_GB2312"/>
          <w:sz w:val="32"/>
          <w:szCs w:val="32"/>
        </w:rPr>
      </w:pPr>
      <w:r>
        <w:rPr>
          <w:rFonts w:hint="eastAsia" w:ascii="仿宋" w:hAnsi="仿宋" w:eastAsia="仿宋" w:cs="仿宋"/>
          <w:sz w:val="32"/>
          <w:szCs w:val="32"/>
          <w:lang w:val="en-US" w:eastAsia="zh-CN"/>
        </w:rPr>
        <w:t>我会2025年预决算已通过政府网站http://www.heishui.gov.cn/hsxrmzf/c103395/common_list.shtml公开</w:t>
      </w:r>
      <w:r>
        <w:rPr>
          <w:rFonts w:hint="eastAsia" w:ascii="仿宋_GB2312" w:hAnsi="仿宋" w:eastAsia="仿宋_GB2312" w:cs="仿宋_GB2312"/>
          <w:sz w:val="32"/>
          <w:szCs w:val="32"/>
          <w:lang w:val="en-US" w:eastAsia="zh-CN"/>
        </w:rPr>
        <w:t xml:space="preserve"> </w:t>
      </w:r>
      <w:r>
        <w:rPr>
          <w:rFonts w:hint="eastAsia" w:ascii="仿宋_GB2312" w:hAnsi="仿宋" w:cs="仿宋_GB2312"/>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lang w:eastAsia="zh-CN"/>
        </w:rPr>
        <w:t>四、</w:t>
      </w:r>
      <w:r>
        <w:rPr>
          <w:rFonts w:hint="default" w:ascii="Times New Roman" w:hAnsi="Times New Roman" w:eastAsia="黑体" w:cs="Times New Roman"/>
          <w:color w:val="000000"/>
          <w:kern w:val="0"/>
          <w:szCs w:val="32"/>
          <w:highlight w:val="none"/>
          <w:shd w:val="clear" w:color="auto" w:fill="FFFFFF"/>
        </w:rPr>
        <w:t>评价结论及建议</w:t>
      </w:r>
    </w:p>
    <w:p>
      <w:pPr>
        <w:spacing w:line="360" w:lineRule="auto"/>
        <w:ind w:firstLine="645"/>
        <w:jc w:val="left"/>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（一）评价结论。</w:t>
      </w:r>
    </w:p>
    <w:p>
      <w:pPr>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 w:hAnsi="仿宋" w:eastAsia="仿宋"/>
          <w:color w:val="auto"/>
          <w:sz w:val="32"/>
          <w:szCs w:val="32"/>
        </w:rPr>
      </w:pPr>
      <w:r>
        <w:rPr>
          <w:rFonts w:hint="eastAsia" w:ascii="仿宋" w:hAnsi="仿宋" w:eastAsia="仿宋"/>
          <w:color w:val="auto"/>
          <w:sz w:val="32"/>
          <w:szCs w:val="32"/>
        </w:rPr>
        <w:t>按照国家政策法规规定，结合本部门的实际情况，建立健全了财务管理制度和约束机制，依法、有效地使用财政资金，提高财政资金使用效率，合理分配人、财、物，完成了部门职能目标，实现了较高的工作效率和支出绩效。</w:t>
      </w:r>
      <w:r>
        <w:rPr>
          <w:rFonts w:hint="eastAsia" w:ascii="仿宋" w:hAnsi="仿宋" w:eastAsia="仿宋"/>
          <w:color w:val="auto"/>
          <w:sz w:val="32"/>
          <w:szCs w:val="32"/>
          <w:lang w:eastAsia="zh-CN"/>
        </w:rPr>
        <w:t>我会</w:t>
      </w:r>
      <w:r>
        <w:rPr>
          <w:rFonts w:hint="eastAsia" w:ascii="仿宋" w:hAnsi="仿宋" w:eastAsia="仿宋"/>
          <w:color w:val="auto"/>
          <w:sz w:val="32"/>
          <w:szCs w:val="32"/>
          <w:lang w:val="en-US" w:eastAsia="zh-CN"/>
        </w:rPr>
        <w:t>2025年度</w:t>
      </w:r>
      <w:r>
        <w:rPr>
          <w:rFonts w:hint="eastAsia" w:ascii="仿宋" w:hAnsi="仿宋" w:eastAsia="仿宋"/>
          <w:color w:val="auto"/>
          <w:sz w:val="32"/>
          <w:szCs w:val="32"/>
        </w:rPr>
        <w:t>支出绩效综合评价自评得分</w:t>
      </w:r>
      <w:r>
        <w:rPr>
          <w:rFonts w:hint="eastAsia" w:ascii="仿宋" w:hAnsi="仿宋" w:eastAsia="仿宋"/>
          <w:color w:val="auto"/>
          <w:sz w:val="32"/>
          <w:szCs w:val="32"/>
          <w:lang w:val="en-US" w:eastAsia="zh-CN"/>
        </w:rPr>
        <w:t>92</w:t>
      </w:r>
      <w:r>
        <w:rPr>
          <w:rFonts w:hint="eastAsia" w:ascii="仿宋" w:hAnsi="仿宋" w:eastAsia="仿宋"/>
          <w:color w:val="auto"/>
          <w:sz w:val="32"/>
          <w:szCs w:val="32"/>
        </w:rPr>
        <w:t>分。</w:t>
      </w:r>
    </w:p>
    <w:p>
      <w:pPr>
        <w:keepNext w:val="0"/>
        <w:keepLines w:val="0"/>
        <w:pageBreakBefore w:val="0"/>
        <w:widowControl/>
        <w:numPr>
          <w:ilvl w:val="0"/>
          <w:numId w:val="1"/>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rPr>
        <w:t>存在问题。</w:t>
      </w:r>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leftChars="0" w:firstLine="640"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eastAsia="zh-CN"/>
        </w:rPr>
      </w:pPr>
      <w:r>
        <w:rPr>
          <w:rFonts w:ascii="仿宋" w:hAnsi="仿宋" w:eastAsia="仿宋" w:cs="仿宋"/>
          <w:i w:val="0"/>
          <w:iCs w:val="0"/>
          <w:caps w:val="0"/>
          <w:color w:val="000000"/>
          <w:spacing w:val="0"/>
          <w:sz w:val="32"/>
          <w:szCs w:val="32"/>
          <w:shd w:val="clear" w:fill="FFFFFF"/>
        </w:rPr>
        <w:t>存在预算绩效管理重评价轻应用，预算安排重业务轻效果、重经验轻制度化管理的意识，在实际工作中总结经验、提升预算管理水平的能力本领不足。</w:t>
      </w:r>
    </w:p>
    <w:p>
      <w:pPr>
        <w:numPr>
          <w:ilvl w:val="0"/>
          <w:numId w:val="1"/>
        </w:numPr>
        <w:spacing w:line="580" w:lineRule="exact"/>
        <w:ind w:left="0" w:leftChars="0" w:firstLine="642" w:firstLineChars="200"/>
        <w:rPr>
          <w:rFonts w:ascii="仿宋" w:hAnsi="仿宋" w:eastAsia="仿宋" w:cs="仿宋"/>
          <w:i w:val="0"/>
          <w:iCs w:val="0"/>
          <w:caps w:val="0"/>
          <w:color w:val="000000"/>
          <w:spacing w:val="0"/>
          <w:sz w:val="32"/>
          <w:szCs w:val="32"/>
          <w:shd w:val="clear" w:fill="FFFFFF"/>
        </w:rPr>
      </w:pPr>
      <w:r>
        <w:rPr>
          <w:rFonts w:hint="default" w:ascii="Times New Roman" w:hAnsi="Times New Roman" w:eastAsia="楷体_GB2312" w:cs="Times New Roman"/>
          <w:b/>
          <w:bCs/>
          <w:color w:val="000000"/>
          <w:kern w:val="0"/>
          <w:szCs w:val="32"/>
          <w:highlight w:val="none"/>
          <w:shd w:val="clear" w:color="auto" w:fill="FFFFFF"/>
          <w:lang w:val="zh-CN" w:eastAsia="zh-CN"/>
        </w:rPr>
        <w:t>改进建议。</w:t>
      </w:r>
      <w:bookmarkStart w:id="20" w:name="_Hlk110546638"/>
    </w:p>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640" w:firstLineChars="200"/>
        <w:contextualSpacing/>
        <w:jc w:val="both"/>
        <w:textAlignment w:val="auto"/>
        <w:outlineLvl w:val="9"/>
        <w:rPr>
          <w:rFonts w:hint="eastAsia" w:ascii="仿宋_GB2312" w:hAnsi="仿宋_GB2312" w:eastAsia="仿宋_GB2312" w:cs="仿宋_GB2312"/>
          <w:b w:val="0"/>
          <w:bCs w:val="0"/>
          <w:kern w:val="0"/>
          <w:position w:val="0"/>
          <w:sz w:val="32"/>
          <w:szCs w:val="32"/>
          <w:highlight w:val="none"/>
          <w:lang w:val="en" w:eastAsia="zh-CN" w:bidi="ar-SA"/>
        </w:rPr>
      </w:pPr>
      <w:r>
        <w:rPr>
          <w:rFonts w:ascii="仿宋" w:hAnsi="仿宋" w:eastAsia="仿宋" w:cs="仿宋"/>
          <w:i w:val="0"/>
          <w:iCs w:val="0"/>
          <w:caps w:val="0"/>
          <w:color w:val="000000"/>
          <w:spacing w:val="0"/>
          <w:sz w:val="32"/>
          <w:szCs w:val="32"/>
          <w:shd w:val="clear" w:fill="FFFFFF"/>
        </w:rPr>
        <w:t>加强预算及预算绩效管理理论、政策的宣传、学习、培训，进一步提高对预算绩效管理的认识，提升相关业务工作人员的能力水平，增强预算编制、执行的科学性、准确性和严肃性，做好预算绩效管理经验的总结、提升，不断提高预算绩效管理水平。</w:t>
      </w:r>
    </w:p>
    <w:bookmarkEnd w:id="20"/>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仿宋_GB2312" w:hAnsi="仿宋_GB2312" w:eastAsia="仿宋_GB2312" w:cs="仿宋_GB2312"/>
          <w:b w:val="0"/>
          <w:bCs w:val="0"/>
          <w:kern w:val="0"/>
          <w:position w:val="0"/>
          <w:sz w:val="32"/>
          <w:szCs w:val="32"/>
          <w:highlight w:val="none"/>
          <w:lang w:val="zh-CN" w:eastAsia="zh-CN" w:bidi="ar-SA"/>
        </w:rPr>
      </w:pPr>
    </w:p>
    <w:p>
      <w:pPr>
        <w:keepNext w:val="0"/>
        <w:keepLines w:val="0"/>
        <w:pageBreakBefore w:val="0"/>
        <w:kinsoku/>
        <w:wordWrap/>
        <w:overflowPunct/>
        <w:topLinePunct w:val="0"/>
        <w:autoSpaceDE/>
        <w:autoSpaceDN/>
        <w:bidi w:val="0"/>
        <w:spacing w:line="578" w:lineRule="exact"/>
        <w:contextualSpacing/>
        <w:textAlignment w:val="auto"/>
        <w:outlineLvl w:val="9"/>
        <w:rPr>
          <w:rFonts w:hint="default" w:ascii="Times New Roman" w:hAnsi="Times New Roman" w:eastAsia="黑体" w:cs="Times New Roman"/>
          <w:szCs w:val="32"/>
          <w:highlight w:val="none"/>
          <w:lang w:val="en-US" w:eastAsia="zh-CN"/>
        </w:rPr>
      </w:pPr>
    </w:p>
    <w:p>
      <w:pPr>
        <w:keepNext w:val="0"/>
        <w:keepLines w:val="0"/>
        <w:pageBreakBefore w:val="0"/>
        <w:kinsoku/>
        <w:wordWrap/>
        <w:overflowPunct/>
        <w:topLinePunct w:val="0"/>
        <w:autoSpaceDE/>
        <w:autoSpaceDN/>
        <w:bidi w:val="0"/>
        <w:spacing w:line="578" w:lineRule="exact"/>
        <w:ind w:firstLine="640" w:firstLineChars="200"/>
        <w:textAlignment w:val="auto"/>
        <w:rPr>
          <w:rFonts w:hint="eastAsia" w:ascii="Times New Roman" w:hAnsi="Times New Roman" w:cs="Times New Roman"/>
          <w:strike w:val="0"/>
          <w:sz w:val="32"/>
          <w:szCs w:val="32"/>
          <w:u w:val="none"/>
          <w:lang w:val="en-US" w:eastAsia="zh-CN" w:bidi="ar"/>
        </w:rPr>
      </w:pPr>
      <w:r>
        <w:rPr>
          <w:rFonts w:hint="default" w:ascii="Times New Roman" w:hAnsi="Times New Roman" w:cs="Times New Roman"/>
          <w:color w:val="000000"/>
          <w:kern w:val="0"/>
          <w:szCs w:val="32"/>
          <w:highlight w:val="none"/>
          <w:shd w:val="clear" w:color="auto" w:fill="FFFFFF"/>
          <w:lang w:val="en-US" w:eastAsia="zh-CN"/>
        </w:rPr>
        <w:t>附表：</w:t>
      </w:r>
      <w:r>
        <w:rPr>
          <w:rFonts w:hint="eastAsia" w:cs="Times New Roman"/>
          <w:color w:val="000000"/>
          <w:kern w:val="0"/>
          <w:szCs w:val="32"/>
          <w:highlight w:val="none"/>
          <w:shd w:val="clear" w:color="auto" w:fill="FFFFFF"/>
          <w:lang w:val="en-US" w:eastAsia="zh-CN"/>
        </w:rPr>
        <w:t>1.</w:t>
      </w:r>
      <w:r>
        <w:rPr>
          <w:rFonts w:hint="eastAsia" w:ascii="Times New Roman" w:hAnsi="Times New Roman" w:cs="Times New Roman"/>
          <w:strike w:val="0"/>
          <w:sz w:val="32"/>
          <w:szCs w:val="32"/>
          <w:u w:val="none"/>
          <w:lang w:val="en-US" w:eastAsia="zh-CN" w:bidi="ar"/>
        </w:rPr>
        <w:t>部门预算绩效自评打分表</w:t>
      </w:r>
    </w:p>
    <w:p>
      <w:pPr>
        <w:keepNext w:val="0"/>
        <w:keepLines w:val="0"/>
        <w:pageBreakBefore w:val="0"/>
        <w:kinsoku/>
        <w:wordWrap/>
        <w:overflowPunct/>
        <w:topLinePunct w:val="0"/>
        <w:autoSpaceDE/>
        <w:autoSpaceDN/>
        <w:bidi w:val="0"/>
        <w:spacing w:line="578" w:lineRule="exact"/>
        <w:ind w:firstLine="1600" w:firstLineChars="500"/>
        <w:textAlignment w:val="auto"/>
        <w:rPr>
          <w:rFonts w:hint="default" w:ascii="Times New Roman" w:hAnsi="Times New Roman" w:cs="Times New Roman"/>
          <w:color w:val="000000"/>
          <w:kern w:val="0"/>
          <w:szCs w:val="32"/>
          <w:highlight w:val="none"/>
          <w:shd w:val="clear" w:color="auto" w:fill="FFFFFF"/>
          <w:lang w:val="en-US" w:eastAsia="zh-CN"/>
        </w:rPr>
      </w:pPr>
      <w:r>
        <w:rPr>
          <w:rFonts w:hint="eastAsia" w:ascii="Times New Roman" w:hAnsi="Times New Roman" w:cs="Times New Roman"/>
          <w:strike w:val="0"/>
          <w:sz w:val="32"/>
          <w:szCs w:val="32"/>
          <w:u w:val="none"/>
          <w:lang w:val="en-US" w:eastAsia="zh-CN" w:bidi="ar"/>
        </w:rPr>
        <w:t>2.</w:t>
      </w:r>
      <w:r>
        <w:rPr>
          <w:rFonts w:hint="default" w:ascii="Times New Roman" w:hAnsi="Times New Roman" w:cs="Times New Roman"/>
          <w:color w:val="000000"/>
          <w:kern w:val="0"/>
          <w:szCs w:val="32"/>
          <w:highlight w:val="none"/>
          <w:shd w:val="clear" w:color="auto" w:fill="FFFFFF"/>
          <w:lang w:val="en-US" w:eastAsia="zh-CN"/>
        </w:rPr>
        <w:t>部门整体绩效目标完成情况自评表</w:t>
      </w:r>
    </w:p>
    <w:p>
      <w:pPr>
        <w:keepNext w:val="0"/>
        <w:keepLines w:val="0"/>
        <w:pageBreakBefore w:val="0"/>
        <w:kinsoku/>
        <w:wordWrap/>
        <w:overflowPunct/>
        <w:topLinePunct w:val="0"/>
        <w:autoSpaceDE/>
        <w:autoSpaceDN/>
        <w:bidi w:val="0"/>
        <w:spacing w:line="578" w:lineRule="exact"/>
        <w:ind w:firstLine="1600" w:firstLineChars="500"/>
        <w:textAlignment w:val="auto"/>
        <w:rPr>
          <w:rFonts w:hint="default" w:ascii="Times New Roman" w:hAnsi="Times New Roman" w:eastAsia="仿宋_GB2312" w:cs="Times New Roman"/>
          <w:strike w:val="0"/>
          <w:sz w:val="32"/>
          <w:szCs w:val="32"/>
          <w:u w:val="none"/>
          <w:lang w:eastAsia="zh-CN" w:bidi="ar"/>
        </w:rPr>
      </w:pPr>
      <w:r>
        <w:rPr>
          <w:rFonts w:hint="eastAsia" w:cs="Times New Roman"/>
          <w:color w:val="000000"/>
          <w:kern w:val="0"/>
          <w:szCs w:val="32"/>
          <w:highlight w:val="none"/>
          <w:shd w:val="clear" w:color="auto" w:fill="FFFFFF"/>
          <w:lang w:val="en-US" w:eastAsia="zh-CN"/>
        </w:rPr>
        <w:t>3.</w:t>
      </w:r>
      <w:r>
        <w:rPr>
          <w:rFonts w:hint="default" w:ascii="Times New Roman" w:hAnsi="Times New Roman" w:eastAsia="仿宋_GB2312" w:cs="Times New Roman"/>
          <w:strike w:val="0"/>
          <w:sz w:val="32"/>
          <w:szCs w:val="32"/>
          <w:u w:val="none"/>
          <w:lang w:bidi="ar"/>
        </w:rPr>
        <w:t>部门预算项目支出绩效</w:t>
      </w:r>
      <w:r>
        <w:rPr>
          <w:rFonts w:hint="default" w:ascii="Times New Roman" w:hAnsi="Times New Roman" w:eastAsia="仿宋_GB2312" w:cs="Times New Roman"/>
          <w:strike w:val="0"/>
          <w:sz w:val="32"/>
          <w:szCs w:val="32"/>
          <w:u w:val="none"/>
          <w:lang w:eastAsia="zh-CN" w:bidi="ar"/>
        </w:rPr>
        <w:t>评价</w:t>
      </w:r>
      <w:r>
        <w:rPr>
          <w:rFonts w:hint="default" w:ascii="Times New Roman" w:hAnsi="Times New Roman" w:eastAsia="仿宋_GB2312" w:cs="Times New Roman"/>
          <w:strike w:val="0"/>
          <w:sz w:val="32"/>
          <w:szCs w:val="32"/>
          <w:u w:val="none"/>
          <w:lang w:bidi="ar"/>
        </w:rPr>
        <w:t>表</w:t>
      </w:r>
      <w:r>
        <w:rPr>
          <w:rFonts w:hint="default" w:ascii="Times New Roman" w:hAnsi="Times New Roman" w:eastAsia="仿宋_GB2312" w:cs="Times New Roman"/>
          <w:strike w:val="0"/>
          <w:sz w:val="32"/>
          <w:szCs w:val="32"/>
          <w:u w:val="none"/>
          <w:lang w:eastAsia="zh-CN" w:bidi="ar"/>
        </w:rPr>
        <w:t>（</w:t>
      </w:r>
      <w:r>
        <w:rPr>
          <w:rFonts w:hint="eastAsia" w:cs="Times New Roman"/>
          <w:strike w:val="0"/>
          <w:sz w:val="32"/>
          <w:szCs w:val="32"/>
          <w:u w:val="none"/>
          <w:lang w:eastAsia="zh-CN" w:bidi="ar"/>
        </w:rPr>
        <w:t>2025</w:t>
      </w:r>
      <w:r>
        <w:rPr>
          <w:rFonts w:hint="default" w:ascii="Times New Roman" w:hAnsi="Times New Roman" w:eastAsia="仿宋_GB2312" w:cs="Times New Roman"/>
          <w:strike w:val="0"/>
          <w:sz w:val="32"/>
          <w:szCs w:val="32"/>
          <w:u w:val="none"/>
          <w:lang w:eastAsia="zh-CN" w:bidi="ar"/>
        </w:rPr>
        <w:t>年度）</w:t>
      </w:r>
    </w:p>
    <w:p>
      <w:pPr>
        <w:pStyle w:val="13"/>
        <w:rPr>
          <w:rFonts w:hint="default" w:ascii="Times New Roman" w:hAnsi="Times New Roman" w:cs="Times New Roman"/>
          <w:color w:val="000000"/>
          <w:kern w:val="0"/>
          <w:szCs w:val="32"/>
          <w:highlight w:val="none"/>
          <w:shd w:val="clear" w:color="auto" w:fill="FFFFFF"/>
          <w:lang w:val="en-US" w:eastAsia="zh-CN"/>
        </w:rPr>
      </w:pPr>
      <w:r>
        <w:drawing>
          <wp:anchor distT="0" distB="0" distL="114300" distR="114300" simplePos="0" relativeHeight="251661312" behindDoc="0" locked="0" layoutInCell="1" allowOverlap="1">
            <wp:simplePos x="0" y="0"/>
            <wp:positionH relativeFrom="column">
              <wp:posOffset>3314065</wp:posOffset>
            </wp:positionH>
            <wp:positionV relativeFrom="paragraph">
              <wp:posOffset>317500</wp:posOffset>
            </wp:positionV>
            <wp:extent cx="1473835" cy="1471295"/>
            <wp:effectExtent l="13335" t="0" r="74930" b="57785"/>
            <wp:wrapNone/>
            <wp:docPr id="5" name="图片 1" descr="电子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电子章"/>
                    <pic:cNvPicPr>
                      <a:picLocks noChangeAspect="1"/>
                    </pic:cNvPicPr>
                  </pic:nvPicPr>
                  <pic:blipFill>
                    <a:blip r:embed="rId7"/>
                    <a:stretch>
                      <a:fillRect/>
                    </a:stretch>
                  </pic:blipFill>
                  <pic:spPr>
                    <a:xfrm rot="900000">
                      <a:off x="0" y="0"/>
                      <a:ext cx="1473835" cy="1471295"/>
                    </a:xfrm>
                    <a:prstGeom prst="rect">
                      <a:avLst/>
                    </a:prstGeom>
                    <a:noFill/>
                    <a:ln>
                      <a:noFill/>
                    </a:ln>
                  </pic:spPr>
                </pic:pic>
              </a:graphicData>
            </a:graphic>
          </wp:anchor>
        </w:drawing>
      </w:r>
    </w:p>
    <w:p>
      <w:pPr>
        <w:keepNext w:val="0"/>
        <w:keepLines w:val="0"/>
        <w:pageBreakBefore w:val="0"/>
        <w:kinsoku/>
        <w:wordWrap/>
        <w:overflowPunct/>
        <w:topLinePunct w:val="0"/>
        <w:autoSpaceDE/>
        <w:autoSpaceDN/>
        <w:bidi w:val="0"/>
        <w:spacing w:line="578" w:lineRule="exact"/>
        <w:ind w:firstLine="5120" w:firstLineChars="1600"/>
        <w:textAlignment w:val="auto"/>
        <w:rPr>
          <w:rFonts w:hint="eastAsia"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ind w:firstLine="5120" w:firstLineChars="1600"/>
        <w:textAlignment w:val="auto"/>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黑水县残疾人联合会</w:t>
      </w:r>
    </w:p>
    <w:p>
      <w:pPr>
        <w:keepNext w:val="0"/>
        <w:keepLines w:val="0"/>
        <w:pageBreakBefore w:val="0"/>
        <w:kinsoku/>
        <w:wordWrap/>
        <w:overflowPunct/>
        <w:topLinePunct w:val="0"/>
        <w:autoSpaceDE/>
        <w:autoSpaceDN/>
        <w:bidi w:val="0"/>
        <w:spacing w:line="578" w:lineRule="exact"/>
        <w:ind w:firstLine="5120" w:firstLineChars="1600"/>
        <w:textAlignment w:val="auto"/>
        <w:rPr>
          <w:rFonts w:hint="eastAsia"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2026年4月1日</w:t>
      </w:r>
    </w:p>
    <w:p>
      <w:pPr>
        <w:keepNext w:val="0"/>
        <w:keepLines w:val="0"/>
        <w:pageBreakBefore w:val="0"/>
        <w:kinsoku/>
        <w:wordWrap/>
        <w:overflowPunct/>
        <w:topLinePunct w:val="0"/>
        <w:autoSpaceDE/>
        <w:autoSpaceDN/>
        <w:bidi w:val="0"/>
        <w:spacing w:line="578" w:lineRule="exact"/>
        <w:jc w:val="left"/>
        <w:textAlignment w:val="auto"/>
        <w:rPr>
          <w:rFonts w:hint="eastAsia"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jc w:val="left"/>
        <w:textAlignment w:val="auto"/>
        <w:rPr>
          <w:rFonts w:hint="eastAsia"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jc w:val="left"/>
        <w:textAlignment w:val="auto"/>
        <w:rPr>
          <w:rFonts w:hint="eastAsia"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spacing w:line="578" w:lineRule="exact"/>
        <w:jc w:val="left"/>
        <w:textAlignment w:val="auto"/>
        <w:rPr>
          <w:rFonts w:hint="eastAsia"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1</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14"/>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462"/>
        <w:gridCol w:w="1665"/>
        <w:gridCol w:w="720"/>
        <w:gridCol w:w="4734"/>
        <w:gridCol w:w="756"/>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履职效果</w:t>
            </w:r>
          </w:p>
        </w:tc>
        <w:tc>
          <w:tcPr>
            <w:tcW w:w="7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lang w:val="en-US" w:eastAsia="zh-CN"/>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pStyle w:val="2"/>
        <w:keepNext/>
        <w:keepLines/>
        <w:pageBreakBefore w:val="0"/>
        <w:widowControl w:val="0"/>
        <w:kinsoku/>
        <w:wordWrap/>
        <w:overflowPunct/>
        <w:topLinePunct w:val="0"/>
        <w:autoSpaceDE/>
        <w:autoSpaceDN/>
        <w:bidi w:val="0"/>
        <w:adjustRightInd/>
        <w:snapToGrid/>
        <w:spacing w:line="20" w:lineRule="exact"/>
        <w:textAlignment w:val="auto"/>
        <w:rPr>
          <w:rFonts w:hint="default"/>
          <w:lang w:val="en-US" w:eastAsia="zh-CN"/>
        </w:rPr>
      </w:pPr>
    </w:p>
    <w:p>
      <w:pPr>
        <w:keepNext w:val="0"/>
        <w:keepLines w:val="0"/>
        <w:pageBreakBefore w:val="0"/>
        <w:kinsoku/>
        <w:wordWrap/>
        <w:overflowPunct/>
        <w:topLinePunct w:val="0"/>
        <w:autoSpaceDE/>
        <w:autoSpaceDN/>
        <w:bidi w:val="0"/>
        <w:spacing w:line="578" w:lineRule="exact"/>
        <w:textAlignment w:val="auto"/>
        <w:rPr>
          <w:rFonts w:hint="default" w:ascii="Times New Roman" w:hAnsi="Times New Roman" w:eastAsia="仿宋_GB2312" w:cs="Times New Roman"/>
          <w:kern w:val="2"/>
          <w:sz w:val="32"/>
          <w:szCs w:val="24"/>
          <w:highlight w:val="none"/>
          <w:lang w:val="en-US" w:eastAsia="zh-CN" w:bidi="ar-SA"/>
        </w:rPr>
      </w:pPr>
      <w:r>
        <w:rPr>
          <w:rFonts w:hint="default" w:ascii="Times New Roman" w:hAnsi="Times New Roman" w:cs="Times New Roman"/>
          <w:color w:val="000000"/>
          <w:kern w:val="0"/>
          <w:szCs w:val="32"/>
          <w:highlight w:val="none"/>
          <w:shd w:val="clear" w:color="auto" w:fill="FFFFFF"/>
          <w:lang w:val="en-US" w:eastAsia="zh-CN"/>
        </w:rPr>
        <w:br w:type="page"/>
      </w:r>
      <w:r>
        <w:rPr>
          <w:rFonts w:hint="eastAsia" w:ascii="黑体" w:hAnsi="黑体" w:eastAsia="黑体" w:cs="黑体"/>
          <w:kern w:val="2"/>
          <w:sz w:val="32"/>
          <w:szCs w:val="24"/>
          <w:highlight w:val="none"/>
          <w:lang w:val="en-US" w:eastAsia="zh-CN" w:bidi="ar-SA"/>
        </w:rPr>
        <w:t>附表2</w:t>
      </w:r>
    </w:p>
    <w:tbl>
      <w:tblPr>
        <w:tblStyle w:val="14"/>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09"/>
        <w:gridCol w:w="1347"/>
        <w:gridCol w:w="1273"/>
        <w:gridCol w:w="1738"/>
        <w:gridCol w:w="1005"/>
        <w:gridCol w:w="791"/>
        <w:gridCol w:w="1058"/>
        <w:gridCol w:w="926"/>
        <w:gridCol w:w="1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62" w:hRule="exact"/>
          <w:jc w:val="center"/>
        </w:trPr>
        <w:tc>
          <w:tcPr>
            <w:tcW w:w="10560" w:type="dxa"/>
            <w:gridSpan w:val="9"/>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方正小标宋简体" w:cs="Times New Roman"/>
                <w:i w:val="0"/>
                <w:color w:val="000000"/>
                <w:kern w:val="0"/>
                <w:sz w:val="44"/>
                <w:szCs w:val="44"/>
                <w:u w:val="none"/>
                <w:lang w:val="en-US" w:eastAsia="zh-CN" w:bidi="ar"/>
              </w:rPr>
              <w:t>部门整体绩效目标完成情况自评表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560" w:type="dxa"/>
            <w:gridSpan w:val="9"/>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w:t>
            </w:r>
            <w:r>
              <w:rPr>
                <w:rFonts w:hint="eastAsia" w:eastAsia="宋体" w:cs="Times New Roman"/>
                <w:i w:val="0"/>
                <w:color w:val="000000"/>
                <w:kern w:val="0"/>
                <w:sz w:val="28"/>
                <w:szCs w:val="28"/>
                <w:u w:val="none"/>
                <w:lang w:val="en-US" w:eastAsia="zh-CN" w:bidi="ar"/>
              </w:rPr>
              <w:t>2025</w:t>
            </w:r>
            <w:r>
              <w:rPr>
                <w:rFonts w:hint="default" w:ascii="Times New Roman" w:hAnsi="Times New Roman" w:eastAsia="宋体" w:cs="Times New Roman"/>
                <w:i w:val="0"/>
                <w:color w:val="000000"/>
                <w:kern w:val="0"/>
                <w:sz w:val="28"/>
                <w:szCs w:val="28"/>
                <w:u w:val="none"/>
                <w:lang w:val="en-US" w:eastAsia="zh-CN" w:bidi="ar"/>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560" w:type="dxa"/>
            <w:gridSpan w:val="9"/>
            <w:tcBorders>
              <w:bottom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27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38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395.94</w:t>
            </w:r>
          </w:p>
        </w:tc>
        <w:tc>
          <w:tcPr>
            <w:tcW w:w="27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395.94</w:t>
            </w:r>
          </w:p>
        </w:tc>
        <w:tc>
          <w:tcPr>
            <w:tcW w:w="38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eastAsia" w:ascii="宋体" w:hAnsi="宋体" w:eastAsia="宋体" w:cs="宋体"/>
                <w:i w:val="0"/>
                <w:iCs w:val="0"/>
                <w:caps w:val="0"/>
                <w:color w:val="333333"/>
                <w:spacing w:val="0"/>
                <w:sz w:val="24"/>
                <w:szCs w:val="24"/>
                <w:shd w:val="clear" w:fill="FFFFFF"/>
              </w:rPr>
              <w:t>贯彻执行残疾人事业的法律、法规和政策，协助县政府研究制定本县残疾人事业的发展计划、规划和措施，并组织实施；听取残疾人意见，反映残疾人需求，维护残疾人合法权益，为残疾人服务；宣传残疾人事业，沟通政府、社会与残疾人之间的关系，弘扬人道主义、动员社会理解、尊重、关心、帮助残疾人；团结教育残疾人遵纪守法，履行应尽义务，发扬乐观进取精神，自尊、自信、自强、自立，为社会文明建设贡献力量；开展残疾人康复、教育、扶贫、劳动就业、社会保障、就业培训，扶助残疾人平等地参与社会生活；承担县政府残疾人工作委员会日常工作，搞好组织、协调、服务工作，指导乡镇残联、村残协开展工作，管理好各类残疾人。 结合残疾人基本服务状况与需求专项调查行动实施残疾人精准康复需求调查，以“早干预早治疗早康复”为原则，重点推进0-12岁残疾儿童抢救性康复工作 。结合省州扶持残疾人发展生产项目和东西部扶贫协作项目，扎实推动残疾人自主就业（创业）扶持，扶持发展畜牧养殖、开办农村合作社、民宿农家乐、民族服装销售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eastAsia" w:ascii="宋体" w:hAnsi="宋体" w:eastAsia="宋体" w:cs="宋体"/>
                <w:i w:val="0"/>
                <w:iCs w:val="0"/>
                <w:caps w:val="0"/>
                <w:color w:val="333333"/>
                <w:spacing w:val="0"/>
                <w:sz w:val="24"/>
                <w:szCs w:val="24"/>
                <w:shd w:val="clear" w:fill="FFFFFF"/>
              </w:rPr>
              <w:t>贯彻执行残疾人事业的法律、法规和政策</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eastAsia="zh-CN"/>
              </w:rPr>
            </w:pPr>
            <w:r>
              <w:rPr>
                <w:rFonts w:hint="eastAsia" w:ascii="宋体" w:hAnsi="宋体" w:eastAsia="宋体" w:cs="宋体"/>
                <w:i w:val="0"/>
                <w:iCs w:val="0"/>
                <w:caps w:val="0"/>
                <w:color w:val="333333"/>
                <w:spacing w:val="0"/>
                <w:sz w:val="24"/>
                <w:szCs w:val="24"/>
                <w:shd w:val="clear" w:fill="FFFFFF"/>
              </w:rPr>
              <w:t>协助县政府研究制定本县残疾人事业的发展计划、规划和措施，并组织实施</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协助县民政局审核重度残疾人护理费补贴、困难残疾人生活费补贴</w:t>
            </w:r>
            <w:r>
              <w:rPr>
                <w:rFonts w:hint="eastAsia" w:ascii="宋体" w:hAnsi="宋体" w:eastAsia="宋体" w:cs="宋体"/>
                <w:i w:val="0"/>
                <w:iCs w:val="0"/>
                <w:caps w:val="0"/>
                <w:color w:val="333333"/>
                <w:spacing w:val="0"/>
                <w:sz w:val="24"/>
                <w:szCs w:val="24"/>
                <w:shd w:val="clear" w:fill="FFFFFF"/>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指导并监督检查</w:t>
            </w:r>
            <w:r>
              <w:rPr>
                <w:rFonts w:hint="eastAsia" w:eastAsia="宋体" w:cs="Times New Roman"/>
                <w:i w:val="0"/>
                <w:color w:val="000000"/>
                <w:sz w:val="24"/>
                <w:szCs w:val="24"/>
                <w:u w:val="none"/>
                <w:lang w:eastAsia="zh-CN"/>
              </w:rPr>
              <w:t>残疾人</w:t>
            </w:r>
            <w:r>
              <w:rPr>
                <w:rFonts w:hint="default" w:ascii="Times New Roman" w:hAnsi="Times New Roman" w:eastAsia="宋体" w:cs="Times New Roman"/>
                <w:i w:val="0"/>
                <w:color w:val="000000"/>
                <w:sz w:val="24"/>
                <w:szCs w:val="24"/>
                <w:u w:val="none"/>
              </w:rPr>
              <w:t>相关法律法规和政策措施的落实</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组织开展</w:t>
            </w:r>
            <w:r>
              <w:rPr>
                <w:rFonts w:hint="eastAsia" w:eastAsia="宋体" w:cs="Times New Roman"/>
                <w:i w:val="0"/>
                <w:color w:val="000000"/>
                <w:sz w:val="24"/>
                <w:szCs w:val="24"/>
                <w:u w:val="none"/>
                <w:lang w:eastAsia="zh-CN"/>
              </w:rPr>
              <w:t>残疾人政策宣传</w:t>
            </w:r>
            <w:r>
              <w:rPr>
                <w:rFonts w:hint="default" w:ascii="Times New Roman" w:hAnsi="Times New Roman" w:eastAsia="宋体" w:cs="Times New Roman"/>
                <w:i w:val="0"/>
                <w:color w:val="000000"/>
                <w:sz w:val="24"/>
                <w:szCs w:val="24"/>
                <w:u w:val="none"/>
              </w:rPr>
              <w:t>和有关人员的帮扶工作。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依托主题活动，听取意见</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lang w:eastAsia="zh-CN"/>
              </w:rPr>
            </w:pPr>
            <w:r>
              <w:rPr>
                <w:rFonts w:hint="eastAsia" w:ascii="宋体" w:hAnsi="宋体" w:eastAsia="宋体" w:cs="宋体"/>
                <w:i w:val="0"/>
                <w:iCs w:val="0"/>
                <w:caps w:val="0"/>
                <w:color w:val="333333"/>
                <w:spacing w:val="0"/>
                <w:sz w:val="24"/>
                <w:szCs w:val="24"/>
                <w:shd w:val="clear" w:fill="FFFFFF"/>
              </w:rPr>
              <w:t>走访慰问残疾人家庭，听取残疾人意见，反映残疾人需求，维护残疾人合法权益，为残疾人服务</w:t>
            </w:r>
            <w:r>
              <w:rPr>
                <w:rFonts w:hint="eastAsia" w:ascii="宋体" w:hAnsi="宋体" w:eastAsia="宋体" w:cs="宋体"/>
                <w:i w:val="0"/>
                <w:iCs w:val="0"/>
                <w:caps w:val="0"/>
                <w:color w:val="333333"/>
                <w:spacing w:val="0"/>
                <w:sz w:val="24"/>
                <w:szCs w:val="24"/>
                <w:shd w:val="clear" w:fill="FFFFFF"/>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加强东西部扶贫项目实施</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eastAsia="zh-CN"/>
              </w:rPr>
            </w:pPr>
            <w:r>
              <w:rPr>
                <w:rFonts w:hint="eastAsia" w:ascii="宋体" w:hAnsi="宋体" w:eastAsia="宋体" w:cs="宋体"/>
                <w:i w:val="0"/>
                <w:iCs w:val="0"/>
                <w:caps w:val="0"/>
                <w:color w:val="333333"/>
                <w:spacing w:val="0"/>
                <w:sz w:val="24"/>
                <w:szCs w:val="24"/>
                <w:shd w:val="clear" w:fill="FFFFFF"/>
              </w:rPr>
              <w:t>积极开展残疾人康复、教育、扶贫、劳动就业、社会保障、就业培训、无障碍改造等助残惠残项目，扶助残疾人平等地参与社会生活</w:t>
            </w:r>
            <w:r>
              <w:rPr>
                <w:rFonts w:hint="eastAsia" w:ascii="宋体" w:hAnsi="宋体" w:eastAsia="宋体" w:cs="宋体"/>
                <w:i w:val="0"/>
                <w:iCs w:val="0"/>
                <w:caps w:val="0"/>
                <w:color w:val="333333"/>
                <w:spacing w:val="0"/>
                <w:sz w:val="24"/>
                <w:szCs w:val="24"/>
                <w:shd w:val="clear" w:fill="FFFFFF"/>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切实加强残联的日常工作</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ascii="宋体" w:hAnsi="宋体" w:eastAsia="宋体" w:cs="宋体"/>
                <w:i w:val="0"/>
                <w:iCs w:val="0"/>
                <w:caps w:val="0"/>
                <w:color w:val="333333"/>
                <w:spacing w:val="0"/>
                <w:sz w:val="24"/>
                <w:szCs w:val="24"/>
                <w:shd w:val="clear" w:fill="FFFFFF"/>
              </w:rPr>
              <w:t>搞好组织、协调、服务工作，指导乡镇残联、村残协开展工作，管理好各类残疾人</w:t>
            </w:r>
            <w:r>
              <w:rPr>
                <w:rFonts w:hint="eastAsia" w:ascii="宋体" w:hAnsi="宋体" w:eastAsia="宋体" w:cs="宋体"/>
                <w:i w:val="0"/>
                <w:iCs w:val="0"/>
                <w:caps w:val="0"/>
                <w:color w:val="333333"/>
                <w:spacing w:val="0"/>
                <w:sz w:val="24"/>
                <w:szCs w:val="24"/>
                <w:shd w:val="clear" w:fill="FFFFFF"/>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年度绩效</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绩效指标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性质</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绩效度量单位</w:t>
            </w:r>
          </w:p>
        </w:tc>
        <w:tc>
          <w:tcPr>
            <w:tcW w:w="926" w:type="dxa"/>
            <w:tcBorders>
              <w:top w:val="single" w:color="000000" w:sz="4" w:space="0"/>
              <w:left w:val="single" w:color="000000" w:sz="4" w:space="0"/>
              <w:bottom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为残疾学生发放助学</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64</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经济困难残疾人开展藏族刺绣专业技术培训参加人数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35</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发放温暖万家兴慰问经费人数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362</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362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参加文化进家庭“五个一”的残疾人人数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残疾人全民健身活动人数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eastAsia="zh-CN"/>
              </w:rPr>
              <w:t>人</w:t>
            </w:r>
            <w:r>
              <w:rPr>
                <w:rFonts w:hint="eastAsia" w:eastAsia="宋体" w:cs="Times New Roman"/>
                <w:i w:val="0"/>
                <w:color w:val="000000"/>
                <w:sz w:val="24"/>
                <w:szCs w:val="24"/>
                <w:u w:val="none"/>
                <w:lang w:val="en-US" w:eastAsia="zh-CN"/>
              </w:rPr>
              <w:t>/天</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村(社区)残协建设</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104</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村</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104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得到儿童康复救助数量</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8</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90"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keepNext w:val="0"/>
              <w:keepLines w:val="0"/>
              <w:widowControl/>
              <w:suppressLineNumbers w:val="0"/>
              <w:rPr>
                <w:rFonts w:hint="eastAsia" w:eastAsia="宋体" w:cs="Times New Roman"/>
                <w:i w:val="0"/>
                <w:color w:val="000000"/>
                <w:sz w:val="24"/>
                <w:szCs w:val="24"/>
                <w:u w:val="none"/>
                <w:lang w:eastAsia="zh-CN"/>
              </w:rPr>
            </w:pPr>
            <w:r>
              <w:rPr>
                <w:rFonts w:hint="eastAsia" w:ascii="Times New Roman" w:hAnsi="Times New Roman" w:eastAsia="宋体" w:cs="Times New Roman"/>
                <w:i w:val="0"/>
                <w:color w:val="000000"/>
                <w:kern w:val="2"/>
                <w:sz w:val="24"/>
                <w:szCs w:val="24"/>
                <w:u w:val="none"/>
                <w:lang w:val="en-US" w:eastAsia="zh-CN" w:bidi="ar-SA"/>
              </w:rPr>
              <w:t>发放残疾人机动轮椅车燃油补贴数量</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44</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default" w:ascii="Times New Roman" w:hAnsi="Times New Roman" w:eastAsia="宋体" w:cs="Times New Roman"/>
                <w:i w:val="0"/>
                <w:color w:val="000000"/>
                <w:sz w:val="24"/>
                <w:szCs w:val="24"/>
                <w:u w:val="none"/>
              </w:rPr>
              <w:t>精神、智力和重度肢体残疾人提供居家托养服务</w:t>
            </w:r>
            <w:r>
              <w:rPr>
                <w:rFonts w:hint="eastAsia" w:eastAsia="宋体" w:cs="Times New Roman"/>
                <w:i w:val="0"/>
                <w:color w:val="000000"/>
                <w:sz w:val="24"/>
                <w:szCs w:val="24"/>
                <w:u w:val="none"/>
                <w:lang w:eastAsia="zh-CN"/>
              </w:rPr>
              <w:t>人数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210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sz w:val="24"/>
                <w:szCs w:val="24"/>
                <w:u w:val="none"/>
                <w:lang w:val="en-US" w:eastAsia="zh-CN"/>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45"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体检费</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6</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2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人员工资及公业务费职工人数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8</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60"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keepNext w:val="0"/>
              <w:keepLines w:val="0"/>
              <w:widowControl/>
              <w:suppressLineNumbers w:val="0"/>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kern w:val="2"/>
                <w:sz w:val="24"/>
                <w:szCs w:val="24"/>
                <w:u w:val="none"/>
                <w:lang w:val="en-US" w:eastAsia="zh-CN" w:bidi="ar-SA"/>
              </w:rPr>
              <w:t>接受农村实用技术培训残疾人掌握的生产技能数量</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门</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资金拨付率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30"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73" w:type="dxa"/>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2"/>
              <w:keepNext w:val="0"/>
              <w:keepLines w:val="0"/>
              <w:widowControl/>
              <w:suppressLineNumbers w:val="0"/>
              <w:rPr>
                <w:rFonts w:hint="eastAsia" w:eastAsia="宋体"/>
                <w:lang w:eastAsia="zh-CN"/>
              </w:rPr>
            </w:pPr>
            <w:r>
              <w:rPr>
                <w:rFonts w:hint="eastAsia"/>
                <w:lang w:eastAsia="zh-CN"/>
              </w:rPr>
              <w:t>关心、理解残疾人的氛围</w:t>
            </w:r>
          </w:p>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定性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bookmarkStart w:id="21" w:name="OLE_LINK20"/>
            <w:r>
              <w:rPr>
                <w:rFonts w:hint="eastAsia" w:eastAsia="宋体" w:cs="Times New Roman"/>
                <w:i w:val="0"/>
                <w:color w:val="000000"/>
                <w:sz w:val="24"/>
                <w:szCs w:val="24"/>
                <w:u w:val="none"/>
                <w:lang w:eastAsia="zh-CN"/>
              </w:rPr>
              <w:t>有所改善</w:t>
            </w:r>
            <w:bookmarkEnd w:id="21"/>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eastAsia="zh-CN"/>
              </w:rPr>
              <w:t>有所改善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可持续影响指标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提高残疾人生活状况及水平</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定性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bookmarkStart w:id="22" w:name="OLE_LINK21"/>
            <w:r>
              <w:rPr>
                <w:rFonts w:hint="eastAsia" w:eastAsia="宋体" w:cs="Times New Roman"/>
                <w:i w:val="0"/>
                <w:color w:val="000000"/>
                <w:sz w:val="24"/>
                <w:szCs w:val="24"/>
                <w:u w:val="none"/>
                <w:lang w:eastAsia="zh-CN"/>
              </w:rPr>
              <w:t>有所调高</w:t>
            </w:r>
            <w:bookmarkEnd w:id="22"/>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eastAsia="zh-CN"/>
              </w:rPr>
              <w:t>有所调高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7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服务对象满意率</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95</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95</w:t>
            </w:r>
          </w:p>
        </w:tc>
      </w:tr>
    </w:tbl>
    <w:p>
      <w:pPr>
        <w:pStyle w:val="13"/>
        <w:ind w:left="0" w:leftChars="0" w:firstLine="0" w:firstLineChars="0"/>
        <w:rPr>
          <w:rFonts w:hint="eastAsia" w:ascii="Times New Roman" w:eastAsia="黑体" w:cs="Times New Roman"/>
          <w:sz w:val="24"/>
          <w:szCs w:val="24"/>
          <w:highlight w:val="none"/>
          <w:lang w:val="en-US" w:eastAsia="zh-CN"/>
        </w:rPr>
      </w:pPr>
      <w:r>
        <w:rPr>
          <w:rFonts w:hint="eastAsia" w:ascii="Times New Roman" w:eastAsia="黑体" w:cs="Times New Roman"/>
          <w:sz w:val="24"/>
          <w:szCs w:val="24"/>
          <w:highlight w:val="none"/>
          <w:lang w:val="en-US" w:eastAsia="zh-CN"/>
        </w:rPr>
        <w:t>附表3</w:t>
      </w:r>
    </w:p>
    <w:tbl>
      <w:tblPr>
        <w:tblStyle w:val="14"/>
        <w:tblW w:w="975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1082"/>
        <w:gridCol w:w="1001"/>
        <w:gridCol w:w="1278"/>
        <w:gridCol w:w="396"/>
        <w:gridCol w:w="1266"/>
        <w:gridCol w:w="756"/>
        <w:gridCol w:w="1025"/>
        <w:gridCol w:w="486"/>
        <w:gridCol w:w="486"/>
        <w:gridCol w:w="13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12"/>
                <w:szCs w:val="12"/>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51322821T000000142206-温暖万家行15.6万元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黑体" w:hAnsi="黑体" w:eastAsia="黑体" w:cs="黑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2"/>
                <w:szCs w:val="12"/>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　温暖万家行慰问困难残疾人活动资金项目评估内容包括制定实施方案或计划，组织机构是健全，职责分工是明确，有具体的实施时间，有明确的工作程序，基础设施条件能够有效保障，资金能足额保证，具有相应的质量检查、验收等必要的控制措施或手段，有针对突发事件或未知风险的应急措施等。</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全县104个村，每村慰问3人，特困慰问30人，合计342人，每人500元。州级补贴1.5万元，县级补贴15.6万元。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制定实施方案或计划，组织机构是健全，职责分工是明确，有具体的实施时间，有明确的工作程序，基础设施条件能够有效保障，资金能足额保证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2"/>
                <w:szCs w:val="12"/>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2"/>
                <w:szCs w:val="12"/>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走访慰问重度残疾人、经济困难残疾人、残疾儿童、联系帮扶残疾人人数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312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元/人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312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温暖万家行慰问标准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元/人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500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每年春节前集中发放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走访慰问困难残疾人，改善残疾人生活状况</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中长期</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中长期</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群众满意度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98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温暖万家行慰问金额</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156000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156000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制定实施方案或计划，组织机构是健全，职责分工是明确，有具体的实施时间，有明确的工作程序，基础设施条件能够有效保障，资金能足额保证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373" w:type="dxa"/>
            <w:gridSpan w:val="5"/>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宋体" w:eastAsia="黑体" w:cs="黑体"/>
                <w:b/>
                <w:bCs/>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51322821T000000142214-残疾人联络员误工补贴17.47万元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2"/>
                <w:szCs w:val="12"/>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联络员配合县残联收集残疾人信息及资料，帮助残疾人及时更新个人信息　</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全县104个村，1名专职委员，1月补助200元/年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17.47</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17.47</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17.47</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17.47</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17.47</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17.47</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基层残疾人联络员务工补贴标准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200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元/月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200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基层残疾人联络员人数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104</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资金支付率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可持续发展指标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提高基层残疾人就业水平</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有所提高</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有所提高</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2"/>
                <w:szCs w:val="1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可持续影响指标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提高残疾人生活状况及水平</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中长期</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中长期</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残疾人及家属满意度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97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残疾人联络员务工补贴总金额</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174720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174720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联络员配合县残联收集残疾人信息及资料，帮助残疾人及时更新个人信息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2"/>
                <w:szCs w:val="12"/>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2"/>
                <w:szCs w:val="12"/>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val="0"/>
                <w:iCs w:val="0"/>
                <w:color w:val="000000"/>
                <w:sz w:val="12"/>
                <w:szCs w:val="12"/>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2"/>
                <w:szCs w:val="12"/>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51322822T000000306963-全国助残日活动资金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2"/>
                <w:szCs w:val="12"/>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2"/>
                <w:szCs w:val="12"/>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全国助残日活动资金费用项目评估内容包括制定实施方案或计划，组织机构是健全，职责分工是明确，有具体的实施时间，有明确的工作程序，基础设施条件能够有效保障，资金能足额保证，具有相应的质量检查、验收等必要的控制措施或手段，有针对突发事件或未知风险的应急措施等。</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2"/>
                <w:szCs w:val="12"/>
                <w:u w:val="none"/>
              </w:rPr>
            </w:pPr>
            <w:r>
              <w:rPr>
                <w:rFonts w:hint="eastAsia" w:ascii="黑体" w:hAnsi="黑体" w:eastAsia="黑体" w:cs="黑体"/>
                <w:i w:val="0"/>
                <w:iCs w:val="0"/>
                <w:color w:val="000000"/>
                <w:kern w:val="0"/>
                <w:sz w:val="18"/>
                <w:szCs w:val="18"/>
                <w:u w:val="none"/>
                <w:lang w:val="en-US" w:eastAsia="zh-CN" w:bidi="ar"/>
              </w:rPr>
              <w:t>开展活动补贴120人、每人1000元，制作宣传手册、横幅等8000元。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全国助残日活动制定实施方案，职责分工是明确，有具体的活动开展时间，有明确的工作程序，资金能足额保证。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12.80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12.80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12.80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2"/>
                <w:szCs w:val="12"/>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12.80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12.80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12.80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2"/>
                <w:szCs w:val="12"/>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2"/>
                <w:szCs w:val="12"/>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全国助残日困难重度残疾人家庭补助户数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120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2"/>
                <w:szCs w:val="12"/>
                <w:u w:val="none"/>
              </w:rPr>
            </w:pPr>
            <w:r>
              <w:rPr>
                <w:rFonts w:ascii="宋体" w:hAnsi="宋体" w:eastAsia="宋体" w:cs="宋体"/>
                <w:i w:val="0"/>
                <w:iCs w:val="0"/>
                <w:color w:val="000000"/>
                <w:kern w:val="0"/>
                <w:sz w:val="18"/>
                <w:szCs w:val="18"/>
                <w:u w:val="none"/>
                <w:lang w:val="en-US" w:eastAsia="zh-CN" w:bidi="ar"/>
              </w:rPr>
              <w:t>户</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2"/>
                <w:szCs w:val="12"/>
                <w:u w:val="none"/>
              </w:rPr>
            </w:pPr>
            <w:r>
              <w:rPr>
                <w:rFonts w:hint="eastAsia" w:ascii="微软雅黑" w:hAnsi="微软雅黑" w:eastAsia="微软雅黑" w:cs="微软雅黑"/>
                <w:i/>
                <w:iCs/>
                <w:color w:val="000000"/>
                <w:kern w:val="0"/>
                <w:sz w:val="16"/>
                <w:szCs w:val="16"/>
                <w:u w:val="none"/>
                <w:lang w:val="en-US" w:eastAsia="zh-CN" w:bidi="ar"/>
              </w:rPr>
              <w:t>120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经济困难残疾人补贴标准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元/户</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在全国助残日集中发放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效益指标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宣传全国</w:t>
            </w:r>
            <w:r>
              <w:rPr>
                <w:rFonts w:hint="eastAsia" w:ascii="宋体" w:hAnsi="宋体" w:eastAsia="宋体" w:cs="宋体"/>
                <w:i w:val="0"/>
                <w:iCs w:val="0"/>
                <w:color w:val="000000"/>
                <w:kern w:val="0"/>
                <w:sz w:val="18"/>
                <w:szCs w:val="18"/>
                <w:u w:val="none"/>
                <w:lang w:val="en-US" w:eastAsia="zh-CN" w:bidi="ar"/>
              </w:rPr>
              <w:t>助</w:t>
            </w:r>
            <w:r>
              <w:rPr>
                <w:rFonts w:ascii="宋体" w:hAnsi="宋体" w:eastAsia="宋体" w:cs="宋体"/>
                <w:i w:val="0"/>
                <w:iCs w:val="0"/>
                <w:color w:val="000000"/>
                <w:kern w:val="0"/>
                <w:sz w:val="18"/>
                <w:szCs w:val="18"/>
                <w:u w:val="none"/>
                <w:lang w:val="en-US" w:eastAsia="zh-CN" w:bidi="ar"/>
              </w:rPr>
              <w:t>残日爱耳活动</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有所提高</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关心关爱残疾人，提高残疾人生活水平</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有所提高</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96</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全国助残日资金金额</w:t>
            </w:r>
          </w:p>
        </w:tc>
        <w:tc>
          <w:tcPr>
            <w:tcW w:w="39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128000</w:t>
            </w:r>
          </w:p>
        </w:tc>
        <w:tc>
          <w:tcPr>
            <w:tcW w:w="75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128000</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nil"/>
              <w:left w:val="nil"/>
              <w:bottom w:val="nil"/>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全国助残日活动制定实施方案，职责分工是明确，有具体的活动开展时间，有明确的工作程序，资金能足额保证。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51322822T000000306993-智慧量服手持终端费用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智慧量服”手持终端费用项目评估内容包括制定实施方案或计划，组织机构是健全，职责分工是明确，有具体的实施时间，有明确的工作程序，基础设施条件能够有效保障，资金能足额保证，具有相应的质量检查、验收等必要的控制措施或手段，有针对突发事件或未知风险的应急措施等。</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15乡镇专干、3个县级残联工作人员，每人每年补贴话费960元，共计1.728万元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1.73</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1.73</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1.73</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1.73</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1.73</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1.73</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残联工作人员3名，乡镇残联专干15名，联系帮扶残疾人人数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工作人员补贴标准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80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每月月底集中发放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提高残疾人生活水平，保障残疾人生活</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有所提高</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3"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提高工作效率</w:t>
            </w:r>
          </w:p>
        </w:tc>
        <w:tc>
          <w:tcPr>
            <w:tcW w:w="39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20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有所提高</w:t>
            </w:r>
          </w:p>
        </w:tc>
        <w:tc>
          <w:tcPr>
            <w:tcW w:w="756" w:type="dxa"/>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6" w:type="dxa"/>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nil"/>
              <w:left w:val="nil"/>
              <w:bottom w:val="nil"/>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000000"/>
                <w:sz w:val="30"/>
                <w:szCs w:val="30"/>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群众满意度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98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“智慧量服”手持终端费用金额</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17280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17280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严格执行相关政策，保障工资及时发放、足额发放，预算编制科学合理，减少结余资金。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51322822T000006766597-残疾学生助学工程资金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用于黑水县“净土阿坝 自强助学”残疾学生助学工程项目支出：助学人数64人，其中：小学22人，初中20人，高中9人，专科12人，本科1人，</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为64名残疾学生发放“净土阿坝 自强助学”补贴7.1万元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严格执行相关政策，保障工资及时发放、足额发放，预算编制科学合理，减少结余资金。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4.38</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4.97</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4.97</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4.38</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4.97</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4.97</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残疾学生助学补贴标准（专科）</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3000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3000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残疾学生助学补贴标准（小学、初中）</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全县104个村，每村慰问3人，特困慰问30人，合计342人，每人500元。州级补贴1.5万元，县级补贴15.6万元。</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3"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残疾学生助学补贴标准（高中）</w:t>
            </w:r>
          </w:p>
        </w:tc>
        <w:tc>
          <w:tcPr>
            <w:tcW w:w="39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75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w:t>
            </w:r>
          </w:p>
        </w:tc>
        <w:tc>
          <w:tcPr>
            <w:tcW w:w="102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1000</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nil"/>
              <w:left w:val="nil"/>
              <w:bottom w:val="nil"/>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000000"/>
                <w:sz w:val="30"/>
                <w:szCs w:val="3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残疾学生本科助学金补贴标准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5000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残疾学生小学、初中人数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42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残疾学生本科学生人数</w:t>
            </w:r>
          </w:p>
        </w:tc>
        <w:tc>
          <w:tcPr>
            <w:tcW w:w="39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残疾学生高中学生人数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9</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残疾学生专科学生人数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资金支付率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提高残疾人接受教育机会</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促进残疾人就业能力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残疾人学生及家属满意度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残疾学生助学资金金额</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71000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71000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严格执行相关政策，保障工资及时发放、足额发放，预算编制科学合理，减少结余资金。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51322822T000006843050-村（社区）残协建设资金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进一步加强村（社区）残疾人工作，全面提升基层残疾人组织服务能力和管理科学水平，更好为残疾人做好服务</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进一步加强村（社区）残疾人工作，全面提升基层残疾人组织服务能力和管理科学水平，更好为残疾人做好服务）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村(社区)残协工作站建设;开展残疾人文化、体育等活动及购置活动相应用品;开展残疾人康复训练、知识讲座等;村(社区)残协办公经费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0.20</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0.20</w:t>
            </w:r>
          </w:p>
        </w:tc>
        <w:tc>
          <w:tcPr>
            <w:tcW w:w="102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nil"/>
              <w:left w:val="nil"/>
              <w:bottom w:val="nil"/>
              <w:right w:val="nil"/>
            </w:tcBorders>
            <w:shd w:val="clear" w:color="auto" w:fill="auto"/>
            <w:vAlign w:val="center"/>
          </w:tcPr>
          <w:p>
            <w:pPr>
              <w:jc w:val="center"/>
            </w:pPr>
          </w:p>
        </w:tc>
        <w:tc>
          <w:tcPr>
            <w:tcW w:w="1418" w:type="dxa"/>
            <w:vMerge w:val="restart"/>
            <w:tcBorders>
              <w:top w:val="nil"/>
              <w:left w:val="nil"/>
              <w:bottom w:val="nil"/>
              <w:right w:val="nil"/>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000000"/>
                <w:sz w:val="30"/>
                <w:szCs w:val="30"/>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0.20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0.20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全县村（社区）数量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个</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104</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村（社区）建设资金补贴标准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元/村年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资金支付率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更好为残疾人做好服务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加强残联组织建设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村（社区）建设资金金额</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104000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104000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结合自评情况，说明项目自评总分，说明项目实施取得的成效或成果。（200字以内）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51322823T000007689951-年度考核奖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黑水县残疾人联合会人员7人，年度考核奖全年合计121320元。</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严格按照考核等次完成考核奖的兑现，根据个人基础绩效等次，按照组织考核，按质按量的完成了兑现工作。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严格按照考核等次完成考核奖的兑现，根据个人基础绩效等次，按照组织</w:t>
            </w:r>
            <w:r>
              <w:rPr>
                <w:rFonts w:hint="eastAsia" w:ascii="宋体" w:hAnsi="宋体" w:eastAsia="宋体" w:cs="宋体"/>
                <w:i w:val="0"/>
                <w:iCs w:val="0"/>
                <w:color w:val="000000"/>
                <w:kern w:val="0"/>
                <w:sz w:val="18"/>
                <w:szCs w:val="18"/>
                <w:u w:val="none"/>
                <w:lang w:val="en-US" w:eastAsia="zh-CN" w:bidi="ar"/>
              </w:rPr>
              <w:t>考核</w:t>
            </w:r>
            <w:r>
              <w:rPr>
                <w:rFonts w:ascii="宋体" w:hAnsi="宋体" w:eastAsia="宋体" w:cs="宋体"/>
                <w:i w:val="0"/>
                <w:iCs w:val="0"/>
                <w:color w:val="000000"/>
                <w:kern w:val="0"/>
                <w:sz w:val="18"/>
                <w:szCs w:val="18"/>
                <w:u w:val="none"/>
                <w:lang w:val="en-US" w:eastAsia="zh-CN" w:bidi="ar"/>
              </w:rPr>
              <w:t>，按质按量的完成了兑现工作。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000000"/>
                <w:sz w:val="30"/>
                <w:szCs w:val="30"/>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10.18</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10.18</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10.18</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10.18</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发放年度考核奖人数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15乡镇专干、3个县级残联工作人员，每人每年补贴话费960元，共计1.728万元</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财政局统一发放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年度考核奖保障了职工工作效益质量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优良差</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优良差</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享受年底考核奖职工工作满意度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严格按照考核等次完成考核奖的兑现，根据个人基础绩效等次，按照组织考核，按质按量的完成了兑现工作。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51322823T000009517717-残疾人事业发展补助资金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全面支持落实好残疾人就业、医疗康复、社会保障等扶持政策，健全残疾人权益保障制度和扶残助残服务体系，提升残疾人基本公共服务保障水平。</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目标1：通过开展残疾人基本康复服务项目年度工作，为残疾人配置辅助器具，为肢体、基本康复服务，努力提高受助残疾人生活自理和社会参与能力。</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目标2：完成农村实用技术培训年度工作，提高残疾人劳动技能，提高残疾人教育水平。</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目标3：通过“阳光家园计划”项目年度工作的实施，帮助残疾人得到托养照料。</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目标4：为残疾人机动轮椅车车主发放燃油补贴，弥补残疾人出行成本。</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目标5：为残疾人发放灵活就业补贴和一次性创业补贴支持残疾人实现居家灵活就业。</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目标6：为符合条件的 0-6岁残疾儿童提供人工耳蜗及助听器验配、肢体矫治手术、功能训练等基本康复服务，改善残疾儿童功能状况不断提高残疾儿童生活自理能力，增强社会参与。</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目标7：通过实施残疾人文化进家庭“五个一”和电视手语栏目及融媒体建设项目，残疾人参与文化活动需要得到满足。</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为自主创业、就业的残疾人发放直接补贴；为自主申报考取技能证书的残疾人发放学费补贴；为残疾人开展集中培训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为自主创业、就业的残疾人发放直接补贴；为自主申报考取技能证书的残疾人发放学费补贴；为残疾人开展集中培训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44.12</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43.89</w:t>
            </w:r>
          </w:p>
        </w:tc>
        <w:tc>
          <w:tcPr>
            <w:tcW w:w="102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99.48%</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nil"/>
              <w:left w:val="nil"/>
              <w:bottom w:val="nil"/>
              <w:right w:val="nil"/>
            </w:tcBorders>
            <w:shd w:val="clear" w:color="auto" w:fill="auto"/>
            <w:vAlign w:val="center"/>
          </w:tcPr>
          <w:p>
            <w:pPr>
              <w:jc w:val="center"/>
            </w:pPr>
          </w:p>
        </w:tc>
        <w:tc>
          <w:tcPr>
            <w:tcW w:w="1418" w:type="dxa"/>
            <w:vMerge w:val="restart"/>
            <w:tcBorders>
              <w:top w:val="nil"/>
              <w:left w:val="nil"/>
              <w:bottom w:val="nil"/>
              <w:right w:val="nil"/>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000000"/>
                <w:sz w:val="30"/>
                <w:szCs w:val="30"/>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44.12</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43.89</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99.48%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0-6岁残疾儿童康复救助人数3人（标准为20000元/人年）</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60000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元/人年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60000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居家托养人数预计120（标准为600元/年次）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72000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72000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7岁以上残疾人康复3人（标准20000元/人年）</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60000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农村贫困残疾人实用技术培训人数30人（标准为1500元/人次）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元/人·次</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45000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残疾人事业发展补助资金按时发放率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进一步提高农村实用技术培训的残疾人受教育水平和生活生产能力，提升残疾人康复服务水平等</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帮扶对象满意度指标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接受托养服务残疾人或其家属的满意度；接受农村实用技术培训残疾人或其家属满意度等</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97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残疾人事业发展补助资金</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640000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640000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为自主创业、就业的残疾人发放直接补贴；为自主申报考取技能证书的残疾人发放学费补贴；为残疾人开展集中培训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51322824T000011907607-2024年东西部对口援建项目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 xml:space="preserve">通过开展技能培训和发放就业创业补贴，实现残疾人就业能力提高，生产生活条件得到改善，收入稳定增加；通过康复救助、辅助器具适配改善提高残疾青少年学习、生活能力。  </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 xml:space="preserve">       </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 xml:space="preserve">       </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 xml:space="preserve">       </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为自主创业、就业的残疾人发放直接补贴；为自主申报考取技能证书的残疾人发放学费补贴；为残疾人开展集中培训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为自主创业、就业的残疾人发放直接补贴；为自主申报考取技能证书的残疾人发放学费补贴；为残疾人开展集中培训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30.00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30.00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30.00</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残疾人就业创业标准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参与残疾人实用技术培训人数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参加残疾人职业技能补助的数量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自主就业（创业）补贴1000*10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人/户</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在2025年集中完成相关发放补助工作</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提高残疾人生活水平、改善残疾人生活状况</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接受帮扶的残疾人及其家属满意度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95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东西部对口援建项目投入资金</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为自主创业、就业的残疾人发放直接补贴；为自主申报考取技能证书的残疾人发放学费补贴；为残疾人开展集中培训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iCs/>
                <w:color w:val="000000"/>
                <w:sz w:val="16"/>
                <w:szCs w:val="16"/>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51322824T000011967808-2024年劳务派遣服务费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宋体" w:eastAsia="黑体" w:cs="黑体"/>
                <w:b/>
                <w:bCs/>
                <w:i w:val="0"/>
                <w:iCs w:val="0"/>
                <w:color w:val="000000"/>
                <w:sz w:val="30"/>
                <w:szCs w:val="3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黑水县残疾人联合会现有编制4名，实有人员7名（含改非干部2名，驻村1名，驾驶员1名）。全会干部职工年龄在55岁以上4人，35岁至49岁3人，平均年龄52岁。因我会干部职工年龄普遍偏大，年龄结构不合理。近年来，我会涉残工作量多、面广、事务繁杂，民生资金发放较多，加之去年10月唯一的一名财务人员退休，办公室主任又于2023年10月选派任知木林镇木都村任第一书记，专业性工作人员严重不足，现办公室、财务室无正式编制人员，以我单位现有工作人员无法正常推进相关重点工作,现聘请2名残疾人大学生、2名家庭困难残疾人大学生子女到岗工</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因工作要求，现聘请2名残疾人大学生、2名家庭困难残疾人大学生子女到岗工作。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ascii="宋体" w:hAnsi="宋体" w:eastAsia="宋体" w:cs="宋体"/>
                <w:i w:val="0"/>
                <w:iCs w:val="0"/>
                <w:color w:val="000000"/>
                <w:kern w:val="0"/>
                <w:sz w:val="18"/>
                <w:szCs w:val="18"/>
                <w:u w:val="none"/>
                <w:lang w:val="en-US" w:eastAsia="zh-CN" w:bidi="ar"/>
              </w:rPr>
              <w:t>因工作要求，现聘请2名残疾人大学生、2名家庭困难残疾人大学生子女到岗工作。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21.27</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21.41</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21.41</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21.27</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21.41</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21.41</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劳务派遣服务人数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智选公司服务费</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180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残疾学生工资标准（办公室、康复工作人员）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3000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残疾人家属工资标准（保洁员、仓库管理员）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每月按时足月发放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为困难残疾学生及其家庭提供就业率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65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残疾学生及困难家庭满意度指标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90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2025年劳务派遣服务费金额</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214390.13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214390.13</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3"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91"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5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2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tc>
        <w:tc>
          <w:tcPr>
            <w:tcW w:w="486" w:type="dxa"/>
            <w:tcBorders>
              <w:top w:val="nil"/>
              <w:left w:val="nil"/>
              <w:bottom w:val="nil"/>
              <w:right w:val="nil"/>
            </w:tcBorders>
            <w:shd w:val="clear" w:color="auto" w:fill="auto"/>
            <w:vAlign w:val="center"/>
          </w:tcPr>
          <w:p/>
        </w:tc>
        <w:tc>
          <w:tcPr>
            <w:tcW w:w="1418" w:type="dxa"/>
            <w:tcBorders>
              <w:top w:val="nil"/>
              <w:left w:val="nil"/>
              <w:bottom w:val="nil"/>
              <w:right w:val="nil"/>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51322825T000012548879-为重度残疾人代缴城乡居民基本医疗保险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全县重度残疾人（包括三级、四级智力和精神残疾人）个人缴费部分进行全额资助参保，逐步建立健全残疾人城乡居民基本医疗保险保障制度，确保残疾人在“巩固脱贫攻坚和乡村振兴路上一个都不掉队”。全县重度残疾人（包括三级、四级智力和精神残疾人）有合计697人，其低保户和监测户有496人，补贴标准为100元/人；重度残疾普通居民有201人，补贴标准为400元/人（全额）合计130000元，州级承担30%。</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为630名全县重度残疾人(包括三、四级智力和精神残疾人)医保个人缴费部分进行全额资助参保,建立健全残疾人城乡居民基本医疗保险保障制度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为630名全县重度残疾人(包括三、四级智力和精神残疾人)医保个人缴费部分进行全额资助参保,建立健全残疾人城乡居民基本医疗保险保障制度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6.87</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6.87</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6.87</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6.87</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重度残疾普通居民人数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201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涉及低保和监测户重度残疾人数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496</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重度残疾普通居民补贴标准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400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低保和监测户重度残疾人补贴标准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增进残疾人民生福祉，提高残疾人的获得感</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中长期</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中长期</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可持续影响指标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提高残疾人社会保险覆盖率和待遇水平</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有所提高</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有所提高</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残疾人及其家属对此次项目实施满意度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30"/>
                <w:szCs w:val="30"/>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51322825T000012618228-残疾人事业发展补助资金项目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8"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全面支持落实好残疾人就业、医疗康复、社会保障等扶持政策，健全残疾人权益保障制度和扶残助残服务体系，提升残疾人基本公共服务保障水平。</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1：通过开展残疾人基本康复服务项目年度工作，为残疾人配置辅助器具，为肢体、视力、精神、智力残疾人提供基本康复服务，努力提高受助残疾人生活自理和社会参与能力。</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2：完成农村实用技术培训年度工作，提高残疾人劳动技能，提高残疾人教育水平。</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3：通过“阳光家园计划”项目年度工作的实施，帮助残疾人得到托养照料。</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全面支持落实残疾人就业，扶持残疾人发展生产，实现自主就业创业。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全面支持落实残疾人就业，扶持残疾人发展生产，实现自主就业创业。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10.22</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10.16</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99.37%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10.22</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10.16</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99.37%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2024年村（社区）残协专职副主席（委员）误工补贴标准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2400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2024年村（社区）残协专职副主席（委员）人数数量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104</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自强助学残疾学生补贴数量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51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建设村（社区）残协数量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元/村年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104</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2024年12月前资金拨付率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效益指标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提高残疾人生活水平及生活状况；残疾人享有公共文化服务水平</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服务对象满意度指标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残疾人及其家属的满意度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96</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残疾人事业发展补助金</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548440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548440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361"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nil"/>
              <w:left w:val="nil"/>
              <w:bottom w:val="nil"/>
              <w:right w:val="nil"/>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微软雅黑" w:hAnsi="微软雅黑" w:eastAsia="微软雅黑" w:cs="微软雅黑"/>
                <w:i/>
                <w:iCs/>
                <w:color w:val="000000"/>
                <w:kern w:val="0"/>
                <w:sz w:val="16"/>
                <w:szCs w:val="16"/>
                <w:u w:val="none"/>
                <w:lang w:val="en-US" w:eastAsia="zh-CN" w:bidi="ar"/>
              </w:rPr>
              <w:t>全面支持落实残疾人就业，扶持残疾人发展生产，实现自主就业创业。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财务负责人：占木基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9751"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51322825T000013819780-购买残疾人意外伤害保险资金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6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3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eastAsia="宋体" w:cs="宋体"/>
                <w:i w:val="0"/>
                <w:iCs w:val="0"/>
                <w:color w:val="000000"/>
                <w:sz w:val="18"/>
                <w:szCs w:val="18"/>
                <w:u w:val="none"/>
              </w:rPr>
            </w:pPr>
          </w:p>
        </w:tc>
        <w:tc>
          <w:tcPr>
            <w:tcW w:w="46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深入学习贯彻习近平新时代中国特色社会主义思想，认真落实习近平总书记关于“完善残疾人社会保障制度和关爱服务体系，促进残疾人事业全面发展”的重要指示批示要求，按照《黑水县群众工作“石榴籽”工程实施方案》“九大行动”工作部署，全面落实残疾人基本民生保障政策，以金融创新方式提升残疾人社会保障水平，有效降低残疾人家庭返贫风险，鼓励和引导残疾人走出家门实现就业，增加收入，促进社会和谐稳定。</w:t>
            </w:r>
          </w:p>
        </w:tc>
        <w:tc>
          <w:tcPr>
            <w:tcW w:w="34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为全县1911位残疾人购买50元/人身意外伤害保险，进一步提高残疾人风险抵御能力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807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为全县1911位残疾人购买50元/人身意外伤害保险，进一步提高残疾人风险抵御能力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年度预算数（万元）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年初预算</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调整后预算数</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iCs/>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9.56</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9.56</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4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9.56</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9.56</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23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4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得分</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购买意外伤害保险标准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元/人年</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iCs/>
                <w:color w:val="000000"/>
                <w:sz w:val="16"/>
                <w:szCs w:val="16"/>
                <w:u w:val="none"/>
              </w:rPr>
            </w:pPr>
            <w:r>
              <w:rPr>
                <w:rFonts w:ascii="宋体" w:hAnsi="宋体" w:eastAsia="宋体" w:cs="宋体"/>
                <w:i w:val="0"/>
                <w:iCs w:val="0"/>
                <w:color w:val="000000"/>
                <w:kern w:val="0"/>
                <w:sz w:val="18"/>
                <w:szCs w:val="18"/>
                <w:u w:val="none"/>
                <w:lang w:val="en-US" w:eastAsia="zh-CN" w:bidi="ar"/>
              </w:rPr>
              <w:t>50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二级残疾人人数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四级残疾人人数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778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778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三级残疾人人数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489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489</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一级残疾人人数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281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人</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281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黑体" w:eastAsia="黑体" w:cs="黑体"/>
                <w:i w:val="0"/>
                <w:iCs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时效指标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资金拨付率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7" w:type="dxa"/>
            <w:vMerge w:val="restart"/>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13" w:type="dxa"/>
            <w:vMerge w:val="restart"/>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91"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提高残疾人风险抵御能力，减轻因意外伤害给残疾人及其家庭带来的经济负担</w:t>
            </w:r>
          </w:p>
        </w:tc>
        <w:tc>
          <w:tcPr>
            <w:tcW w:w="39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20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   100   %   5   　   　   效益指标   社会效益指标   提高残疾人风险抵御能力，减轻因意外伤害给残疾人及其家庭带来的经济负担   定性   有所提高   　   　   15   　   　   效益指标   社会效益指标   提升残疾人社会保障水平   定性   有所提高   　   　   15   　   　   满意度指标   帮扶对象满意度指标   残疾人或其家属对残疾人康复服务的满意度   ≥   98   　   %   5   　   　   成本指标   经济成本指标   购买残疾人意外伤害保险资金   ＝   97500   　   元   10   　   　 有所提高</w:t>
            </w:r>
          </w:p>
        </w:tc>
        <w:tc>
          <w:tcPr>
            <w:tcW w:w="756" w:type="dxa"/>
            <w:tcBorders>
              <w:top w:val="nil"/>
              <w:left w:val="nil"/>
              <w:bottom w:val="nil"/>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有所提高</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nil"/>
              <w:left w:val="nil"/>
              <w:bottom w:val="nil"/>
              <w:right w:val="nil"/>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nil"/>
              <w:left w:val="nil"/>
              <w:bottom w:val="nil"/>
              <w:right w:val="nil"/>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000000"/>
                <w:sz w:val="30"/>
                <w:szCs w:val="30"/>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提升残疾人社会保障水平</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定性</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Style w:val="28"/>
                <w:lang w:val="en-US" w:eastAsia="zh-CN" w:bidi="ar"/>
              </w:rPr>
              <w:t xml:space="preserve">100 </w:t>
            </w:r>
            <w:r>
              <w:rPr>
                <w:rStyle w:val="29"/>
                <w:rFonts w:eastAsia="宋体"/>
                <w:lang w:val="en-US" w:eastAsia="zh-CN" w:bidi="ar"/>
              </w:rPr>
              <w:t xml:space="preserve"> </w:t>
            </w:r>
            <w:r>
              <w:rPr>
                <w:rStyle w:val="28"/>
                <w:lang w:val="en-US" w:eastAsia="zh-CN" w:bidi="ar"/>
              </w:rPr>
              <w:t xml:space="preserve"> 100 </w:t>
            </w:r>
            <w:r>
              <w:rPr>
                <w:rStyle w:val="29"/>
                <w:rFonts w:eastAsia="宋体"/>
                <w:lang w:val="en-US" w:eastAsia="zh-CN" w:bidi="ar"/>
              </w:rPr>
              <w:t xml:space="preserve"> </w:t>
            </w:r>
            <w:r>
              <w:rPr>
                <w:rStyle w:val="28"/>
                <w:lang w:val="en-US" w:eastAsia="zh-CN" w:bidi="ar"/>
              </w:rPr>
              <w:t xml:space="preserve"> % </w:t>
            </w:r>
            <w:r>
              <w:rPr>
                <w:rStyle w:val="29"/>
                <w:rFonts w:eastAsia="宋体"/>
                <w:lang w:val="en-US" w:eastAsia="zh-CN" w:bidi="ar"/>
              </w:rPr>
              <w:t xml:space="preserve"> </w:t>
            </w:r>
            <w:r>
              <w:rPr>
                <w:rStyle w:val="28"/>
                <w:lang w:val="en-US" w:eastAsia="zh-CN" w:bidi="ar"/>
              </w:rPr>
              <w:t xml:space="preserve"> 5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效益指标 </w:t>
            </w:r>
            <w:r>
              <w:rPr>
                <w:rStyle w:val="29"/>
                <w:rFonts w:eastAsia="宋体"/>
                <w:lang w:val="en-US" w:eastAsia="zh-CN" w:bidi="ar"/>
              </w:rPr>
              <w:t xml:space="preserve"> </w:t>
            </w:r>
            <w:r>
              <w:rPr>
                <w:rStyle w:val="28"/>
                <w:lang w:val="en-US" w:eastAsia="zh-CN" w:bidi="ar"/>
              </w:rPr>
              <w:t xml:space="preserve"> 社会效益指标 </w:t>
            </w:r>
            <w:r>
              <w:rPr>
                <w:rStyle w:val="29"/>
                <w:rFonts w:eastAsia="宋体"/>
                <w:lang w:val="en-US" w:eastAsia="zh-CN" w:bidi="ar"/>
              </w:rPr>
              <w:t xml:space="preserve"> </w:t>
            </w:r>
            <w:r>
              <w:rPr>
                <w:rStyle w:val="28"/>
                <w:lang w:val="en-US" w:eastAsia="zh-CN" w:bidi="ar"/>
              </w:rPr>
              <w:t xml:space="preserve"> 提高残疾人风险抵御能力，减轻因意外伤害给残疾人及其家庭带来的经济负担 </w:t>
            </w:r>
            <w:r>
              <w:rPr>
                <w:rStyle w:val="29"/>
                <w:rFonts w:eastAsia="宋体"/>
                <w:lang w:val="en-US" w:eastAsia="zh-CN" w:bidi="ar"/>
              </w:rPr>
              <w:t xml:space="preserve"> </w:t>
            </w:r>
            <w:r>
              <w:rPr>
                <w:rStyle w:val="28"/>
                <w:lang w:val="en-US" w:eastAsia="zh-CN" w:bidi="ar"/>
              </w:rPr>
              <w:t xml:space="preserve"> 定性 </w:t>
            </w:r>
            <w:r>
              <w:rPr>
                <w:rStyle w:val="29"/>
                <w:rFonts w:eastAsia="宋体"/>
                <w:lang w:val="en-US" w:eastAsia="zh-CN" w:bidi="ar"/>
              </w:rPr>
              <w:t xml:space="preserve"> </w:t>
            </w:r>
            <w:r>
              <w:rPr>
                <w:rStyle w:val="28"/>
                <w:lang w:val="en-US" w:eastAsia="zh-CN" w:bidi="ar"/>
              </w:rPr>
              <w:t xml:space="preserve"> 有所提高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15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效益指标 </w:t>
            </w:r>
            <w:r>
              <w:rPr>
                <w:rStyle w:val="29"/>
                <w:rFonts w:eastAsia="宋体"/>
                <w:lang w:val="en-US" w:eastAsia="zh-CN" w:bidi="ar"/>
              </w:rPr>
              <w:t xml:space="preserve"> </w:t>
            </w:r>
            <w:r>
              <w:rPr>
                <w:rStyle w:val="28"/>
                <w:lang w:val="en-US" w:eastAsia="zh-CN" w:bidi="ar"/>
              </w:rPr>
              <w:t xml:space="preserve"> 社会效益指标 </w:t>
            </w:r>
            <w:r>
              <w:rPr>
                <w:rStyle w:val="29"/>
                <w:rFonts w:eastAsia="宋体"/>
                <w:lang w:val="en-US" w:eastAsia="zh-CN" w:bidi="ar"/>
              </w:rPr>
              <w:t xml:space="preserve"> </w:t>
            </w:r>
            <w:r>
              <w:rPr>
                <w:rStyle w:val="28"/>
                <w:lang w:val="en-US" w:eastAsia="zh-CN" w:bidi="ar"/>
              </w:rPr>
              <w:t xml:space="preserve"> 提升残疾人社会保障水平 </w:t>
            </w:r>
            <w:r>
              <w:rPr>
                <w:rStyle w:val="29"/>
                <w:rFonts w:eastAsia="宋体"/>
                <w:lang w:val="en-US" w:eastAsia="zh-CN" w:bidi="ar"/>
              </w:rPr>
              <w:t xml:space="preserve"> </w:t>
            </w:r>
            <w:r>
              <w:rPr>
                <w:rStyle w:val="28"/>
                <w:lang w:val="en-US" w:eastAsia="zh-CN" w:bidi="ar"/>
              </w:rPr>
              <w:t xml:space="preserve"> 定性 </w:t>
            </w:r>
            <w:r>
              <w:rPr>
                <w:rStyle w:val="29"/>
                <w:rFonts w:eastAsia="宋体"/>
                <w:lang w:val="en-US" w:eastAsia="zh-CN" w:bidi="ar"/>
              </w:rPr>
              <w:t xml:space="preserve"> </w:t>
            </w:r>
            <w:r>
              <w:rPr>
                <w:rStyle w:val="28"/>
                <w:lang w:val="en-US" w:eastAsia="zh-CN" w:bidi="ar"/>
              </w:rPr>
              <w:t xml:space="preserve"> 有所提高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15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满意度指标 </w:t>
            </w:r>
            <w:r>
              <w:rPr>
                <w:rStyle w:val="29"/>
                <w:rFonts w:eastAsia="宋体"/>
                <w:lang w:val="en-US" w:eastAsia="zh-CN" w:bidi="ar"/>
              </w:rPr>
              <w:t xml:space="preserve"> </w:t>
            </w:r>
            <w:r>
              <w:rPr>
                <w:rStyle w:val="28"/>
                <w:lang w:val="en-US" w:eastAsia="zh-CN" w:bidi="ar"/>
              </w:rPr>
              <w:t xml:space="preserve"> 帮扶对象满意度指标 </w:t>
            </w:r>
            <w:r>
              <w:rPr>
                <w:rStyle w:val="29"/>
                <w:rFonts w:eastAsia="宋体"/>
                <w:lang w:val="en-US" w:eastAsia="zh-CN" w:bidi="ar"/>
              </w:rPr>
              <w:t xml:space="preserve"> </w:t>
            </w:r>
            <w:r>
              <w:rPr>
                <w:rStyle w:val="28"/>
                <w:lang w:val="en-US" w:eastAsia="zh-CN" w:bidi="ar"/>
              </w:rPr>
              <w:t xml:space="preserve"> 残疾人或其家属对残疾人康复服务的满意度 </w:t>
            </w:r>
            <w:r>
              <w:rPr>
                <w:rStyle w:val="29"/>
                <w:rFonts w:eastAsia="宋体"/>
                <w:lang w:val="en-US" w:eastAsia="zh-CN" w:bidi="ar"/>
              </w:rPr>
              <w:t xml:space="preserve"> </w:t>
            </w:r>
            <w:r>
              <w:rPr>
                <w:rStyle w:val="28"/>
                <w:lang w:val="en-US" w:eastAsia="zh-CN" w:bidi="ar"/>
              </w:rPr>
              <w:t xml:space="preserve"> ≥ </w:t>
            </w:r>
            <w:r>
              <w:rPr>
                <w:rStyle w:val="29"/>
                <w:rFonts w:eastAsia="宋体"/>
                <w:lang w:val="en-US" w:eastAsia="zh-CN" w:bidi="ar"/>
              </w:rPr>
              <w:t xml:space="preserve"> </w:t>
            </w:r>
            <w:r>
              <w:rPr>
                <w:rStyle w:val="28"/>
                <w:lang w:val="en-US" w:eastAsia="zh-CN" w:bidi="ar"/>
              </w:rPr>
              <w:t xml:space="preserve"> 98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 </w:t>
            </w:r>
            <w:r>
              <w:rPr>
                <w:rStyle w:val="29"/>
                <w:rFonts w:eastAsia="宋体"/>
                <w:lang w:val="en-US" w:eastAsia="zh-CN" w:bidi="ar"/>
              </w:rPr>
              <w:t xml:space="preserve"> </w:t>
            </w:r>
            <w:r>
              <w:rPr>
                <w:rStyle w:val="28"/>
                <w:lang w:val="en-US" w:eastAsia="zh-CN" w:bidi="ar"/>
              </w:rPr>
              <w:t xml:space="preserve"> 5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成本指标 </w:t>
            </w:r>
            <w:r>
              <w:rPr>
                <w:rStyle w:val="29"/>
                <w:rFonts w:eastAsia="宋体"/>
                <w:lang w:val="en-US" w:eastAsia="zh-CN" w:bidi="ar"/>
              </w:rPr>
              <w:t xml:space="preserve"> </w:t>
            </w:r>
            <w:r>
              <w:rPr>
                <w:rStyle w:val="28"/>
                <w:lang w:val="en-US" w:eastAsia="zh-CN" w:bidi="ar"/>
              </w:rPr>
              <w:t xml:space="preserve"> 经济成本指标 </w:t>
            </w:r>
            <w:r>
              <w:rPr>
                <w:rStyle w:val="29"/>
                <w:rFonts w:eastAsia="宋体"/>
                <w:lang w:val="en-US" w:eastAsia="zh-CN" w:bidi="ar"/>
              </w:rPr>
              <w:t xml:space="preserve"> </w:t>
            </w:r>
            <w:r>
              <w:rPr>
                <w:rStyle w:val="28"/>
                <w:lang w:val="en-US" w:eastAsia="zh-CN" w:bidi="ar"/>
              </w:rPr>
              <w:t xml:space="preserve"> 购买残疾人意外伤害保险资金 </w:t>
            </w:r>
            <w:r>
              <w:rPr>
                <w:rStyle w:val="29"/>
                <w:rFonts w:eastAsia="宋体"/>
                <w:lang w:val="en-US" w:eastAsia="zh-CN" w:bidi="ar"/>
              </w:rPr>
              <w:t xml:space="preserve"> </w:t>
            </w:r>
            <w:r>
              <w:rPr>
                <w:rStyle w:val="28"/>
                <w:lang w:val="en-US" w:eastAsia="zh-CN" w:bidi="ar"/>
              </w:rPr>
              <w:t xml:space="preserve"> ＝ </w:t>
            </w:r>
            <w:r>
              <w:rPr>
                <w:rStyle w:val="29"/>
                <w:rFonts w:eastAsia="宋体"/>
                <w:lang w:val="en-US" w:eastAsia="zh-CN" w:bidi="ar"/>
              </w:rPr>
              <w:t xml:space="preserve"> </w:t>
            </w:r>
            <w:r>
              <w:rPr>
                <w:rStyle w:val="28"/>
                <w:lang w:val="en-US" w:eastAsia="zh-CN" w:bidi="ar"/>
              </w:rPr>
              <w:t xml:space="preserve"> 97500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元 </w:t>
            </w:r>
            <w:r>
              <w:rPr>
                <w:rStyle w:val="29"/>
                <w:rFonts w:eastAsia="宋体"/>
                <w:lang w:val="en-US" w:eastAsia="zh-CN" w:bidi="ar"/>
              </w:rPr>
              <w:t xml:space="preserve"> </w:t>
            </w:r>
            <w:r>
              <w:rPr>
                <w:rStyle w:val="28"/>
                <w:lang w:val="en-US" w:eastAsia="zh-CN" w:bidi="ar"/>
              </w:rPr>
              <w:t xml:space="preserve"> 10 </w:t>
            </w:r>
            <w:r>
              <w:rPr>
                <w:rStyle w:val="29"/>
                <w:rFonts w:eastAsia="宋体"/>
                <w:lang w:val="en-US" w:eastAsia="zh-CN" w:bidi="ar"/>
              </w:rPr>
              <w:t xml:space="preserve"> </w:t>
            </w:r>
            <w:r>
              <w:rPr>
                <w:rStyle w:val="28"/>
                <w:lang w:val="en-US" w:eastAsia="zh-CN" w:bidi="ar"/>
              </w:rPr>
              <w:t xml:space="preserve"> 　 </w:t>
            </w:r>
            <w:r>
              <w:rPr>
                <w:rStyle w:val="29"/>
                <w:rFonts w:eastAsia="宋体"/>
                <w:lang w:val="en-US" w:eastAsia="zh-CN" w:bidi="ar"/>
              </w:rPr>
              <w:t xml:space="preserve"> </w:t>
            </w:r>
            <w:r>
              <w:rPr>
                <w:rStyle w:val="28"/>
                <w:lang w:val="en-US" w:eastAsia="zh-CN" w:bidi="ar"/>
              </w:rPr>
              <w:t xml:space="preserve"> 　 有所提高</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 xml:space="preserve"> 有所提高</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帮扶对象满意度指标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残疾人或其家属对残疾人康复服务的满意度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98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98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i w:val="0"/>
                <w:iCs w:val="0"/>
                <w:color w:val="000000"/>
                <w:sz w:val="18"/>
                <w:szCs w:val="18"/>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经济成本指标</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购买残疾人意外伤害保险资金</w:t>
            </w:r>
          </w:p>
        </w:tc>
        <w:tc>
          <w:tcPr>
            <w:tcW w:w="396"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97500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元</w:t>
            </w:r>
          </w:p>
        </w:tc>
        <w:tc>
          <w:tcPr>
            <w:tcW w:w="10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hint="eastAsia" w:ascii="微软雅黑" w:hAnsi="微软雅黑" w:eastAsia="微软雅黑" w:cs="微软雅黑"/>
                <w:i/>
                <w:iCs/>
                <w:color w:val="000000"/>
                <w:kern w:val="0"/>
                <w:sz w:val="16"/>
                <w:szCs w:val="16"/>
                <w:u w:val="none"/>
                <w:lang w:val="en-US" w:eastAsia="zh-CN" w:bidi="ar"/>
              </w:rPr>
              <w:t>97500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36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pPr>
            <w:r>
              <w:rPr>
                <w:rFonts w:ascii="宋体" w:hAnsi="宋体" w:eastAsia="宋体" w:cs="宋体"/>
                <w:i w:val="0"/>
                <w:iCs w:val="0"/>
                <w:color w:val="000000"/>
                <w:kern w:val="0"/>
                <w:sz w:val="18"/>
                <w:szCs w:val="18"/>
                <w:u w:val="none"/>
                <w:lang w:val="en-US" w:eastAsia="zh-CN" w:bidi="ar"/>
              </w:rPr>
              <w:t>100</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为全县1911位残疾人购买50元/人身意外伤害保险，进一步提高残疾人风险抵御能力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917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43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项目负责人：陈邹杨</w:t>
            </w:r>
          </w:p>
        </w:tc>
        <w:tc>
          <w:tcPr>
            <w:tcW w:w="53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财务负责人：占木基</w:t>
            </w:r>
          </w:p>
        </w:tc>
      </w:tr>
    </w:tbl>
    <w:p>
      <w:pPr>
        <w:pStyle w:val="13"/>
        <w:ind w:left="0" w:leftChars="0" w:firstLine="0" w:firstLineChars="0"/>
        <w:rPr>
          <w:rFonts w:hint="default" w:ascii="Times New Roman" w:hAnsi="Times New Roman" w:eastAsia="黑体" w:cs="Times New Roman"/>
          <w:sz w:val="24"/>
          <w:szCs w:val="24"/>
          <w:highlight w:val="none"/>
          <w:lang w:val="en-US" w:eastAsia="zh-CN"/>
        </w:rPr>
      </w:pPr>
    </w:p>
    <w:p>
      <w:pPr>
        <w:pStyle w:val="13"/>
        <w:ind w:left="0" w:leftChars="0" w:firstLine="0" w:firstLineChars="0"/>
        <w:rPr>
          <w:rFonts w:hint="default" w:ascii="Times New Roman" w:hAnsi="Times New Roman" w:eastAsia="黑体" w:cs="Times New Roman"/>
          <w:sz w:val="24"/>
          <w:szCs w:val="24"/>
          <w:highlight w:val="none"/>
          <w:lang w:val="en-US" w:eastAsia="zh-CN"/>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88" w:type="dxa"/>
            <w:tcBorders>
              <w:left w:val="nil"/>
              <w:right w:val="nil"/>
            </w:tcBorders>
            <w:noWrap w:val="0"/>
            <w:vAlign w:val="top"/>
          </w:tcPr>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黑水县残疾人联合会办公室　     20</w:t>
            </w:r>
            <w:r>
              <w:rPr>
                <w:rFonts w:hint="eastAsia" w:ascii="仿宋_GB2312" w:hAnsi="仿宋_GB2312" w:eastAsia="仿宋_GB2312" w:cs="仿宋_GB2312"/>
                <w:sz w:val="32"/>
                <w:szCs w:val="32"/>
                <w:lang w:val="en-US" w:eastAsia="zh-CN"/>
              </w:rPr>
              <w:t>2</w:t>
            </w:r>
            <w:r>
              <w:rPr>
                <w:rFonts w:hint="eastAsia" w:ascii="仿宋_GB2312" w:hAnsi="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日印发</w:t>
            </w:r>
          </w:p>
        </w:tc>
      </w:tr>
    </w:tbl>
    <w:p>
      <w:pPr>
        <w:pStyle w:val="13"/>
        <w:ind w:firstLine="5120" w:firstLineChars="1600"/>
        <w:rPr>
          <w:rFonts w:hint="default" w:ascii="Times New Roman" w:hAnsi="Times New Roman" w:eastAsia="黑体" w:cs="Times New Roman"/>
          <w:sz w:val="24"/>
          <w:szCs w:val="24"/>
          <w:highlight w:val="none"/>
          <w:lang w:val="en-US" w:eastAsia="zh-CN"/>
        </w:rPr>
      </w:pPr>
      <w:r>
        <w:rPr>
          <w:rFonts w:hint="eastAsia" w:ascii="仿宋_GB2312" w:hAnsi="仿宋_GB2312" w:eastAsia="仿宋_GB2312" w:cs="仿宋_GB2312"/>
          <w:sz w:val="32"/>
          <w:szCs w:val="32"/>
          <w:lang w:val="en-US" w:eastAsia="zh-CN"/>
        </w:rPr>
        <w:t>（共印发</w:t>
      </w:r>
      <w:r>
        <w:rPr>
          <w:rFonts w:hint="eastAsia" w:hAnsi="仿宋_GB2312" w:cs="仿宋_GB2312"/>
          <w:sz w:val="32"/>
          <w:szCs w:val="32"/>
          <w:lang w:val="en-US" w:eastAsia="zh-CN"/>
        </w:rPr>
        <w:t>2</w:t>
      </w:r>
      <w:r>
        <w:rPr>
          <w:rFonts w:hint="eastAsia" w:ascii="仿宋_GB2312" w:hAnsi="仿宋_GB2312" w:eastAsia="仿宋_GB2312" w:cs="仿宋_GB2312"/>
          <w:sz w:val="32"/>
          <w:szCs w:val="32"/>
          <w:lang w:val="en-US" w:eastAsia="zh-CN"/>
        </w:rPr>
        <w:t>份）</w:t>
      </w:r>
    </w:p>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方正小标宋简体">
    <w:altName w:val="方正小标宋_GBK"/>
    <w:panose1 w:val="02010601030101010101"/>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DejaVu Math TeX Gyre">
    <w:panose1 w:val="02000503000000000000"/>
    <w:charset w:val="00"/>
    <w:family w:val="auto"/>
    <w:pitch w:val="default"/>
    <w:sig w:usb0="A10000EF" w:usb1="4201F9EE" w:usb2="02000000" w:usb3="00000000" w:csb0="60000193" w:csb1="0DD4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9"/>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37782"/>
    <w:multiLevelType w:val="singleLevel"/>
    <w:tmpl w:val="A8937782"/>
    <w:lvl w:ilvl="0" w:tentative="0">
      <w:start w:val="2"/>
      <w:numFmt w:val="chineseCounting"/>
      <w:suff w:val="nothing"/>
      <w:lvlText w:val="（%1）"/>
      <w:lvlJc w:val="left"/>
      <w:rPr>
        <w:rFonts w:hint="eastAsia"/>
        <w:b/>
        <w:bCs/>
      </w:rPr>
    </w:lvl>
  </w:abstractNum>
  <w:abstractNum w:abstractNumId="1">
    <w:nsid w:val="CC5F4BE6"/>
    <w:multiLevelType w:val="singleLevel"/>
    <w:tmpl w:val="CC5F4BE6"/>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wZTgxMDM1ZDI5NjdhZDViMjc3ZjgyOGMzMDMwZGIifQ=="/>
  </w:docVars>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16"/>
    <w:rsid w:val="001A4749"/>
    <w:rsid w:val="001A4842"/>
    <w:rsid w:val="001A5833"/>
    <w:rsid w:val="001C2158"/>
    <w:rsid w:val="001C51F2"/>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022BF"/>
    <w:rsid w:val="00515198"/>
    <w:rsid w:val="00521C44"/>
    <w:rsid w:val="00522102"/>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E51AE"/>
    <w:rsid w:val="0070081F"/>
    <w:rsid w:val="007018F5"/>
    <w:rsid w:val="00710897"/>
    <w:rsid w:val="00712F45"/>
    <w:rsid w:val="00734305"/>
    <w:rsid w:val="007370E1"/>
    <w:rsid w:val="007732A1"/>
    <w:rsid w:val="00774C4A"/>
    <w:rsid w:val="00782BBB"/>
    <w:rsid w:val="007A0690"/>
    <w:rsid w:val="007A078F"/>
    <w:rsid w:val="007B34D4"/>
    <w:rsid w:val="007C0633"/>
    <w:rsid w:val="007D086C"/>
    <w:rsid w:val="007F1BE1"/>
    <w:rsid w:val="007F707F"/>
    <w:rsid w:val="007F794C"/>
    <w:rsid w:val="007F7AC9"/>
    <w:rsid w:val="00803B42"/>
    <w:rsid w:val="008073EF"/>
    <w:rsid w:val="0081095C"/>
    <w:rsid w:val="00810C41"/>
    <w:rsid w:val="008212FF"/>
    <w:rsid w:val="0082593B"/>
    <w:rsid w:val="00827537"/>
    <w:rsid w:val="008468EA"/>
    <w:rsid w:val="00867140"/>
    <w:rsid w:val="00881134"/>
    <w:rsid w:val="008904F0"/>
    <w:rsid w:val="008B2F27"/>
    <w:rsid w:val="008B4A72"/>
    <w:rsid w:val="008B585E"/>
    <w:rsid w:val="008E6C0C"/>
    <w:rsid w:val="008F1E63"/>
    <w:rsid w:val="008F3052"/>
    <w:rsid w:val="008F6EB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4FF0"/>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D0228"/>
    <w:rsid w:val="00FD3BB7"/>
    <w:rsid w:val="00FE0D93"/>
    <w:rsid w:val="00FF2572"/>
    <w:rsid w:val="00FF32AD"/>
    <w:rsid w:val="010C0502"/>
    <w:rsid w:val="01325A8F"/>
    <w:rsid w:val="0179664A"/>
    <w:rsid w:val="01ED40AA"/>
    <w:rsid w:val="024A0BB7"/>
    <w:rsid w:val="027D71DE"/>
    <w:rsid w:val="02DA4630"/>
    <w:rsid w:val="02DD1A2B"/>
    <w:rsid w:val="03D35307"/>
    <w:rsid w:val="03F359AA"/>
    <w:rsid w:val="043D4E77"/>
    <w:rsid w:val="04567CE7"/>
    <w:rsid w:val="0458580D"/>
    <w:rsid w:val="047B14FB"/>
    <w:rsid w:val="04E6106A"/>
    <w:rsid w:val="055A7363"/>
    <w:rsid w:val="05656433"/>
    <w:rsid w:val="059F0961"/>
    <w:rsid w:val="05E76E48"/>
    <w:rsid w:val="06AD6368"/>
    <w:rsid w:val="06B34F7C"/>
    <w:rsid w:val="06CE1DB6"/>
    <w:rsid w:val="06EB2968"/>
    <w:rsid w:val="077010BF"/>
    <w:rsid w:val="08053EFD"/>
    <w:rsid w:val="082D7BF8"/>
    <w:rsid w:val="084C7436"/>
    <w:rsid w:val="08626C5A"/>
    <w:rsid w:val="08674270"/>
    <w:rsid w:val="08F655F4"/>
    <w:rsid w:val="092403B3"/>
    <w:rsid w:val="09727371"/>
    <w:rsid w:val="09774987"/>
    <w:rsid w:val="09826EFE"/>
    <w:rsid w:val="09F9091A"/>
    <w:rsid w:val="0A2C39C3"/>
    <w:rsid w:val="0A36214C"/>
    <w:rsid w:val="0A3E54A5"/>
    <w:rsid w:val="0A622F41"/>
    <w:rsid w:val="0ABD092B"/>
    <w:rsid w:val="0AD64EFF"/>
    <w:rsid w:val="0AE20526"/>
    <w:rsid w:val="0AED02F0"/>
    <w:rsid w:val="0AEE0C79"/>
    <w:rsid w:val="0B2226D0"/>
    <w:rsid w:val="0BA80E28"/>
    <w:rsid w:val="0C0F534B"/>
    <w:rsid w:val="0C177D5B"/>
    <w:rsid w:val="0C281F69"/>
    <w:rsid w:val="0C34090D"/>
    <w:rsid w:val="0C71390F"/>
    <w:rsid w:val="0D046532"/>
    <w:rsid w:val="0D5A43A4"/>
    <w:rsid w:val="0D6214AA"/>
    <w:rsid w:val="0D905727"/>
    <w:rsid w:val="0DC31556"/>
    <w:rsid w:val="0DE16873"/>
    <w:rsid w:val="0DE27833"/>
    <w:rsid w:val="0DFC18FF"/>
    <w:rsid w:val="0E680D42"/>
    <w:rsid w:val="0EF3685E"/>
    <w:rsid w:val="0F6E4136"/>
    <w:rsid w:val="0F7F00F1"/>
    <w:rsid w:val="0FD117A2"/>
    <w:rsid w:val="100876A9"/>
    <w:rsid w:val="10090303"/>
    <w:rsid w:val="102B0279"/>
    <w:rsid w:val="10C83D1A"/>
    <w:rsid w:val="10E548CC"/>
    <w:rsid w:val="10F16DCD"/>
    <w:rsid w:val="110E7A88"/>
    <w:rsid w:val="112E0021"/>
    <w:rsid w:val="115B2DE0"/>
    <w:rsid w:val="120E739A"/>
    <w:rsid w:val="12307DC9"/>
    <w:rsid w:val="12974DF4"/>
    <w:rsid w:val="12AF6D1A"/>
    <w:rsid w:val="12F11306"/>
    <w:rsid w:val="12F708E7"/>
    <w:rsid w:val="130C25E4"/>
    <w:rsid w:val="13180F89"/>
    <w:rsid w:val="136917E4"/>
    <w:rsid w:val="13725A70"/>
    <w:rsid w:val="137E6912"/>
    <w:rsid w:val="142C636E"/>
    <w:rsid w:val="143376FC"/>
    <w:rsid w:val="148D1503"/>
    <w:rsid w:val="14A8633C"/>
    <w:rsid w:val="14C02123"/>
    <w:rsid w:val="14DB4F49"/>
    <w:rsid w:val="14DC7D94"/>
    <w:rsid w:val="14F73EAC"/>
    <w:rsid w:val="151A266A"/>
    <w:rsid w:val="15510782"/>
    <w:rsid w:val="1585667E"/>
    <w:rsid w:val="15CA668E"/>
    <w:rsid w:val="15E50ECA"/>
    <w:rsid w:val="15F73C82"/>
    <w:rsid w:val="16167A80"/>
    <w:rsid w:val="165E3157"/>
    <w:rsid w:val="167C538B"/>
    <w:rsid w:val="16DF5F0E"/>
    <w:rsid w:val="16E66CA8"/>
    <w:rsid w:val="16E86EC4"/>
    <w:rsid w:val="16EB42BE"/>
    <w:rsid w:val="16F5338F"/>
    <w:rsid w:val="17163A31"/>
    <w:rsid w:val="177B7D38"/>
    <w:rsid w:val="17920BDE"/>
    <w:rsid w:val="17E4768B"/>
    <w:rsid w:val="17E8514D"/>
    <w:rsid w:val="187F73B4"/>
    <w:rsid w:val="18D70F9E"/>
    <w:rsid w:val="18FF4051"/>
    <w:rsid w:val="1901426D"/>
    <w:rsid w:val="191B2DE9"/>
    <w:rsid w:val="19622F5E"/>
    <w:rsid w:val="19BB567E"/>
    <w:rsid w:val="19C5529B"/>
    <w:rsid w:val="19D35C0A"/>
    <w:rsid w:val="19FA13E8"/>
    <w:rsid w:val="1A3D6143"/>
    <w:rsid w:val="1A544545"/>
    <w:rsid w:val="1A8A3DEE"/>
    <w:rsid w:val="1AA255DC"/>
    <w:rsid w:val="1AF02593"/>
    <w:rsid w:val="1B527002"/>
    <w:rsid w:val="1B650AE3"/>
    <w:rsid w:val="1BB2184F"/>
    <w:rsid w:val="1C013801"/>
    <w:rsid w:val="1C077DEC"/>
    <w:rsid w:val="1C1D183F"/>
    <w:rsid w:val="1C44694B"/>
    <w:rsid w:val="1C7134B8"/>
    <w:rsid w:val="1C76287C"/>
    <w:rsid w:val="1C890801"/>
    <w:rsid w:val="1C984EE8"/>
    <w:rsid w:val="1CEB6DC6"/>
    <w:rsid w:val="1CEE2D5A"/>
    <w:rsid w:val="1D0D1432"/>
    <w:rsid w:val="1D7F36F4"/>
    <w:rsid w:val="1D9E208B"/>
    <w:rsid w:val="1DBA2E3C"/>
    <w:rsid w:val="1DE008F5"/>
    <w:rsid w:val="1DFD8D3B"/>
    <w:rsid w:val="1E1B192D"/>
    <w:rsid w:val="1E6F3A27"/>
    <w:rsid w:val="1EC2624D"/>
    <w:rsid w:val="1EDA5344"/>
    <w:rsid w:val="1F046865"/>
    <w:rsid w:val="1F065227"/>
    <w:rsid w:val="1F2B5BA0"/>
    <w:rsid w:val="1F6E1F30"/>
    <w:rsid w:val="1FB79DC9"/>
    <w:rsid w:val="1FBD771C"/>
    <w:rsid w:val="1FBFC3F2"/>
    <w:rsid w:val="1FF42436"/>
    <w:rsid w:val="1FFFE033"/>
    <w:rsid w:val="202D1DEC"/>
    <w:rsid w:val="203E5DA7"/>
    <w:rsid w:val="206C2914"/>
    <w:rsid w:val="21134B3E"/>
    <w:rsid w:val="213A47C0"/>
    <w:rsid w:val="21717AB6"/>
    <w:rsid w:val="218477E9"/>
    <w:rsid w:val="21C9664B"/>
    <w:rsid w:val="21DE15EF"/>
    <w:rsid w:val="224F6049"/>
    <w:rsid w:val="22BD43D4"/>
    <w:rsid w:val="22CA3922"/>
    <w:rsid w:val="22F17100"/>
    <w:rsid w:val="22F97D63"/>
    <w:rsid w:val="23BB4A67"/>
    <w:rsid w:val="23BF71FF"/>
    <w:rsid w:val="24A501A2"/>
    <w:rsid w:val="258351C4"/>
    <w:rsid w:val="25C805EC"/>
    <w:rsid w:val="25CE197B"/>
    <w:rsid w:val="25D32AED"/>
    <w:rsid w:val="25F3318F"/>
    <w:rsid w:val="25F52A64"/>
    <w:rsid w:val="25FD7B6A"/>
    <w:rsid w:val="262A4E03"/>
    <w:rsid w:val="26655E3B"/>
    <w:rsid w:val="26712A32"/>
    <w:rsid w:val="268169ED"/>
    <w:rsid w:val="268564DD"/>
    <w:rsid w:val="27231728"/>
    <w:rsid w:val="27710810"/>
    <w:rsid w:val="27822A1D"/>
    <w:rsid w:val="278422F1"/>
    <w:rsid w:val="27F352A6"/>
    <w:rsid w:val="28305FD5"/>
    <w:rsid w:val="28B906C0"/>
    <w:rsid w:val="28F70270"/>
    <w:rsid w:val="28FE21DA"/>
    <w:rsid w:val="29194CBB"/>
    <w:rsid w:val="294A68D0"/>
    <w:rsid w:val="295D729E"/>
    <w:rsid w:val="29A24CB1"/>
    <w:rsid w:val="2A48213D"/>
    <w:rsid w:val="2A491CFE"/>
    <w:rsid w:val="2ABB0720"/>
    <w:rsid w:val="2AD96DF8"/>
    <w:rsid w:val="2B2F6A18"/>
    <w:rsid w:val="2B653E78"/>
    <w:rsid w:val="2B9351F9"/>
    <w:rsid w:val="2BC03B14"/>
    <w:rsid w:val="2C1C3440"/>
    <w:rsid w:val="2C792640"/>
    <w:rsid w:val="2D524C40"/>
    <w:rsid w:val="2D527252"/>
    <w:rsid w:val="2D713318"/>
    <w:rsid w:val="2DC01BA9"/>
    <w:rsid w:val="2DD12008"/>
    <w:rsid w:val="2DD218DC"/>
    <w:rsid w:val="2DDC1740"/>
    <w:rsid w:val="2DF87595"/>
    <w:rsid w:val="2E00644A"/>
    <w:rsid w:val="2E2A1718"/>
    <w:rsid w:val="2E56250D"/>
    <w:rsid w:val="2E61338C"/>
    <w:rsid w:val="2EA42B11"/>
    <w:rsid w:val="2EAE55F2"/>
    <w:rsid w:val="2EC35DF5"/>
    <w:rsid w:val="2ECE479A"/>
    <w:rsid w:val="2EDF4302"/>
    <w:rsid w:val="2EFE1A04"/>
    <w:rsid w:val="2F4405B8"/>
    <w:rsid w:val="2FDB7CEF"/>
    <w:rsid w:val="300F6E18"/>
    <w:rsid w:val="303845C1"/>
    <w:rsid w:val="3095556F"/>
    <w:rsid w:val="309A2B85"/>
    <w:rsid w:val="30CC4D09"/>
    <w:rsid w:val="31307046"/>
    <w:rsid w:val="313B4368"/>
    <w:rsid w:val="31440D43"/>
    <w:rsid w:val="318B6972"/>
    <w:rsid w:val="31F369F1"/>
    <w:rsid w:val="320D7387"/>
    <w:rsid w:val="321E5749"/>
    <w:rsid w:val="32285F6F"/>
    <w:rsid w:val="33095DA0"/>
    <w:rsid w:val="331F7372"/>
    <w:rsid w:val="337F6063"/>
    <w:rsid w:val="33BE531D"/>
    <w:rsid w:val="33CB102B"/>
    <w:rsid w:val="33E67E90"/>
    <w:rsid w:val="33E83C08"/>
    <w:rsid w:val="34000F51"/>
    <w:rsid w:val="3434509F"/>
    <w:rsid w:val="35040F15"/>
    <w:rsid w:val="352A7547"/>
    <w:rsid w:val="35731D6B"/>
    <w:rsid w:val="35BBF80F"/>
    <w:rsid w:val="36010FB1"/>
    <w:rsid w:val="36323860"/>
    <w:rsid w:val="367E2601"/>
    <w:rsid w:val="36BB5604"/>
    <w:rsid w:val="37343C8E"/>
    <w:rsid w:val="37C624B2"/>
    <w:rsid w:val="37FC58DA"/>
    <w:rsid w:val="38593326"/>
    <w:rsid w:val="385E26EA"/>
    <w:rsid w:val="38997BC6"/>
    <w:rsid w:val="38EF191E"/>
    <w:rsid w:val="39932868"/>
    <w:rsid w:val="39D96878"/>
    <w:rsid w:val="3AD13648"/>
    <w:rsid w:val="3B385DCC"/>
    <w:rsid w:val="3B4E4C98"/>
    <w:rsid w:val="3B677B08"/>
    <w:rsid w:val="3B736F08"/>
    <w:rsid w:val="3B7A783B"/>
    <w:rsid w:val="3BAC5E63"/>
    <w:rsid w:val="3BE3D531"/>
    <w:rsid w:val="3C047A4D"/>
    <w:rsid w:val="3C1557B6"/>
    <w:rsid w:val="3C395948"/>
    <w:rsid w:val="3C667DC0"/>
    <w:rsid w:val="3C771FCD"/>
    <w:rsid w:val="3C836BC3"/>
    <w:rsid w:val="3C9C7C85"/>
    <w:rsid w:val="3D0402D1"/>
    <w:rsid w:val="3D431A40"/>
    <w:rsid w:val="3D793B23"/>
    <w:rsid w:val="3D8E5820"/>
    <w:rsid w:val="3DA74B34"/>
    <w:rsid w:val="3DB8289D"/>
    <w:rsid w:val="3E027FBC"/>
    <w:rsid w:val="3E235F81"/>
    <w:rsid w:val="3E2B7513"/>
    <w:rsid w:val="3E817133"/>
    <w:rsid w:val="3EC7548D"/>
    <w:rsid w:val="3ECA0ADA"/>
    <w:rsid w:val="3ECB6600"/>
    <w:rsid w:val="3ED71449"/>
    <w:rsid w:val="3EFF42CA"/>
    <w:rsid w:val="3F6FCA38"/>
    <w:rsid w:val="3FA7706D"/>
    <w:rsid w:val="3FBD419A"/>
    <w:rsid w:val="3FD5AF3D"/>
    <w:rsid w:val="3FFED8BE"/>
    <w:rsid w:val="3FFF43BB"/>
    <w:rsid w:val="402661E4"/>
    <w:rsid w:val="404E1296"/>
    <w:rsid w:val="4061721C"/>
    <w:rsid w:val="408973D9"/>
    <w:rsid w:val="40F2256A"/>
    <w:rsid w:val="40F24318"/>
    <w:rsid w:val="41285F8B"/>
    <w:rsid w:val="41546D80"/>
    <w:rsid w:val="417D62D7"/>
    <w:rsid w:val="421A1D78"/>
    <w:rsid w:val="4249440B"/>
    <w:rsid w:val="425828A0"/>
    <w:rsid w:val="42731488"/>
    <w:rsid w:val="42A11B51"/>
    <w:rsid w:val="42E72F43"/>
    <w:rsid w:val="433DCF8E"/>
    <w:rsid w:val="434F5A51"/>
    <w:rsid w:val="43615785"/>
    <w:rsid w:val="43DB4BD8"/>
    <w:rsid w:val="44224F14"/>
    <w:rsid w:val="44250560"/>
    <w:rsid w:val="44354C47"/>
    <w:rsid w:val="44421112"/>
    <w:rsid w:val="445075EE"/>
    <w:rsid w:val="44A92F3F"/>
    <w:rsid w:val="44BC7116"/>
    <w:rsid w:val="44C1472D"/>
    <w:rsid w:val="44F22B38"/>
    <w:rsid w:val="45044A15"/>
    <w:rsid w:val="45107462"/>
    <w:rsid w:val="45156827"/>
    <w:rsid w:val="456B6447"/>
    <w:rsid w:val="459650CE"/>
    <w:rsid w:val="459C4852"/>
    <w:rsid w:val="45A73923"/>
    <w:rsid w:val="45C36283"/>
    <w:rsid w:val="45D73ADC"/>
    <w:rsid w:val="45EF52CA"/>
    <w:rsid w:val="45FF973D"/>
    <w:rsid w:val="46D544C0"/>
    <w:rsid w:val="46FC37FA"/>
    <w:rsid w:val="470E352E"/>
    <w:rsid w:val="471A797B"/>
    <w:rsid w:val="474927B8"/>
    <w:rsid w:val="47550EBA"/>
    <w:rsid w:val="47FE17F4"/>
    <w:rsid w:val="481021DD"/>
    <w:rsid w:val="481E3C44"/>
    <w:rsid w:val="48D158D6"/>
    <w:rsid w:val="49044BE8"/>
    <w:rsid w:val="49A5461D"/>
    <w:rsid w:val="49CD147E"/>
    <w:rsid w:val="4A657908"/>
    <w:rsid w:val="4AD00809"/>
    <w:rsid w:val="4AD66A58"/>
    <w:rsid w:val="4B0610EB"/>
    <w:rsid w:val="4B2F13BC"/>
    <w:rsid w:val="4B465EA0"/>
    <w:rsid w:val="4B702A09"/>
    <w:rsid w:val="4BA6642B"/>
    <w:rsid w:val="4BF453E8"/>
    <w:rsid w:val="4BF7E09D"/>
    <w:rsid w:val="4C0C0983"/>
    <w:rsid w:val="4C5145E8"/>
    <w:rsid w:val="4C742085"/>
    <w:rsid w:val="4C9715CF"/>
    <w:rsid w:val="4C9B3AB5"/>
    <w:rsid w:val="4CB21034"/>
    <w:rsid w:val="4CC36B68"/>
    <w:rsid w:val="4CD34FFD"/>
    <w:rsid w:val="4CD80866"/>
    <w:rsid w:val="4CEE22E8"/>
    <w:rsid w:val="4CF2400B"/>
    <w:rsid w:val="4D1473C4"/>
    <w:rsid w:val="4D5A571F"/>
    <w:rsid w:val="4D754306"/>
    <w:rsid w:val="4DAB5F7A"/>
    <w:rsid w:val="4DB210B7"/>
    <w:rsid w:val="4DD76D6F"/>
    <w:rsid w:val="4DFF1E22"/>
    <w:rsid w:val="4E606D65"/>
    <w:rsid w:val="4E685C19"/>
    <w:rsid w:val="4E854A1D"/>
    <w:rsid w:val="4EB250E6"/>
    <w:rsid w:val="4EB40E5E"/>
    <w:rsid w:val="4EC15329"/>
    <w:rsid w:val="4ED908C5"/>
    <w:rsid w:val="4EE554BC"/>
    <w:rsid w:val="4EE72FE2"/>
    <w:rsid w:val="4EE80AAD"/>
    <w:rsid w:val="4F252614"/>
    <w:rsid w:val="4F642884"/>
    <w:rsid w:val="4FBA06F6"/>
    <w:rsid w:val="4FDD6193"/>
    <w:rsid w:val="4FEB6B02"/>
    <w:rsid w:val="4FFFFC3E"/>
    <w:rsid w:val="50C23D07"/>
    <w:rsid w:val="50E81293"/>
    <w:rsid w:val="50F96FFC"/>
    <w:rsid w:val="51600E2A"/>
    <w:rsid w:val="51656440"/>
    <w:rsid w:val="51844B18"/>
    <w:rsid w:val="51A46F68"/>
    <w:rsid w:val="52075749"/>
    <w:rsid w:val="52524C16"/>
    <w:rsid w:val="531829B6"/>
    <w:rsid w:val="53426A39"/>
    <w:rsid w:val="539B439B"/>
    <w:rsid w:val="53BB74FC"/>
    <w:rsid w:val="53C90F08"/>
    <w:rsid w:val="53D8114B"/>
    <w:rsid w:val="53DE6854"/>
    <w:rsid w:val="53E126F6"/>
    <w:rsid w:val="5422505B"/>
    <w:rsid w:val="549534E0"/>
    <w:rsid w:val="549C03CB"/>
    <w:rsid w:val="54D1276A"/>
    <w:rsid w:val="54D20290"/>
    <w:rsid w:val="54E12281"/>
    <w:rsid w:val="55450A62"/>
    <w:rsid w:val="557E5D22"/>
    <w:rsid w:val="55853555"/>
    <w:rsid w:val="55A03EEB"/>
    <w:rsid w:val="55B33C1E"/>
    <w:rsid w:val="55FDDF92"/>
    <w:rsid w:val="55FFBC03"/>
    <w:rsid w:val="56010E2D"/>
    <w:rsid w:val="56073F6A"/>
    <w:rsid w:val="56CDA72E"/>
    <w:rsid w:val="57201787"/>
    <w:rsid w:val="576F5916"/>
    <w:rsid w:val="577FDAE2"/>
    <w:rsid w:val="57A31A70"/>
    <w:rsid w:val="57A557E8"/>
    <w:rsid w:val="57FB28B2"/>
    <w:rsid w:val="57FBE2C7"/>
    <w:rsid w:val="5847689F"/>
    <w:rsid w:val="586D09FC"/>
    <w:rsid w:val="587D6765"/>
    <w:rsid w:val="589B01C2"/>
    <w:rsid w:val="59FB3DE5"/>
    <w:rsid w:val="5A5A4FB0"/>
    <w:rsid w:val="5AA75D1B"/>
    <w:rsid w:val="5AAB580B"/>
    <w:rsid w:val="5B335734"/>
    <w:rsid w:val="5B7C4AB2"/>
    <w:rsid w:val="5B7F322F"/>
    <w:rsid w:val="5BCAB023"/>
    <w:rsid w:val="5BE03293"/>
    <w:rsid w:val="5BE07737"/>
    <w:rsid w:val="5C0F3B78"/>
    <w:rsid w:val="5C390BF5"/>
    <w:rsid w:val="5C6E6AF1"/>
    <w:rsid w:val="5C7D4F86"/>
    <w:rsid w:val="5CFB4234"/>
    <w:rsid w:val="5CFF1E3E"/>
    <w:rsid w:val="5D83481E"/>
    <w:rsid w:val="5DDA9B94"/>
    <w:rsid w:val="5E2C0A11"/>
    <w:rsid w:val="5E9345EC"/>
    <w:rsid w:val="5EAB810D"/>
    <w:rsid w:val="5EFF9DA6"/>
    <w:rsid w:val="5F3F29C6"/>
    <w:rsid w:val="5F526256"/>
    <w:rsid w:val="5F7751B9"/>
    <w:rsid w:val="5F7F7267"/>
    <w:rsid w:val="5F874ED1"/>
    <w:rsid w:val="5F9F7232"/>
    <w:rsid w:val="5F9F9588"/>
    <w:rsid w:val="5FBD32D2"/>
    <w:rsid w:val="5FC5111D"/>
    <w:rsid w:val="5FD450B0"/>
    <w:rsid w:val="5FEF60CD"/>
    <w:rsid w:val="5FFB203D"/>
    <w:rsid w:val="5FFB8CF9"/>
    <w:rsid w:val="60067040"/>
    <w:rsid w:val="605C4EB2"/>
    <w:rsid w:val="608C1C3B"/>
    <w:rsid w:val="60CA4511"/>
    <w:rsid w:val="60E92064"/>
    <w:rsid w:val="610572F8"/>
    <w:rsid w:val="6118702B"/>
    <w:rsid w:val="61720E31"/>
    <w:rsid w:val="61A22D98"/>
    <w:rsid w:val="62A42602"/>
    <w:rsid w:val="62BD432E"/>
    <w:rsid w:val="62D00ABF"/>
    <w:rsid w:val="62F15D85"/>
    <w:rsid w:val="630B32EB"/>
    <w:rsid w:val="635D78BF"/>
    <w:rsid w:val="63691DC0"/>
    <w:rsid w:val="63944015"/>
    <w:rsid w:val="63B03E93"/>
    <w:rsid w:val="63DBAF21"/>
    <w:rsid w:val="63F0603D"/>
    <w:rsid w:val="63FF2724"/>
    <w:rsid w:val="6486074F"/>
    <w:rsid w:val="64A137DB"/>
    <w:rsid w:val="64AF7CA6"/>
    <w:rsid w:val="64D23995"/>
    <w:rsid w:val="65031DA0"/>
    <w:rsid w:val="655F791E"/>
    <w:rsid w:val="65C47781"/>
    <w:rsid w:val="65E63B9C"/>
    <w:rsid w:val="660B715E"/>
    <w:rsid w:val="6626043C"/>
    <w:rsid w:val="6636451A"/>
    <w:rsid w:val="668A4527"/>
    <w:rsid w:val="67784CC7"/>
    <w:rsid w:val="67DE80AA"/>
    <w:rsid w:val="68463678"/>
    <w:rsid w:val="6850354E"/>
    <w:rsid w:val="688431F8"/>
    <w:rsid w:val="68B37A97"/>
    <w:rsid w:val="68E51EE8"/>
    <w:rsid w:val="69034A64"/>
    <w:rsid w:val="69313380"/>
    <w:rsid w:val="697E3B47"/>
    <w:rsid w:val="69BF132E"/>
    <w:rsid w:val="69CB37D4"/>
    <w:rsid w:val="6A070584"/>
    <w:rsid w:val="6A18009C"/>
    <w:rsid w:val="6A3C022E"/>
    <w:rsid w:val="6A5918B5"/>
    <w:rsid w:val="6AB9362D"/>
    <w:rsid w:val="6B0F149F"/>
    <w:rsid w:val="6B15282D"/>
    <w:rsid w:val="6B217424"/>
    <w:rsid w:val="6B67752D"/>
    <w:rsid w:val="6B735ED1"/>
    <w:rsid w:val="6B94171A"/>
    <w:rsid w:val="6BB12556"/>
    <w:rsid w:val="6BD12BF8"/>
    <w:rsid w:val="6BE50451"/>
    <w:rsid w:val="6BEF307E"/>
    <w:rsid w:val="6BFEE5F3"/>
    <w:rsid w:val="6C054650"/>
    <w:rsid w:val="6C0E1756"/>
    <w:rsid w:val="6C292A34"/>
    <w:rsid w:val="6C360CAD"/>
    <w:rsid w:val="6C517895"/>
    <w:rsid w:val="6C555DCE"/>
    <w:rsid w:val="6C6B0957"/>
    <w:rsid w:val="6C81017A"/>
    <w:rsid w:val="6C830396"/>
    <w:rsid w:val="6CAF619F"/>
    <w:rsid w:val="6CAFF34E"/>
    <w:rsid w:val="6CFFCF4F"/>
    <w:rsid w:val="6DBE53FE"/>
    <w:rsid w:val="6DF9E098"/>
    <w:rsid w:val="6DFA6436"/>
    <w:rsid w:val="6DFFF8B6"/>
    <w:rsid w:val="6E105C5A"/>
    <w:rsid w:val="6E9FE641"/>
    <w:rsid w:val="6EEDE807"/>
    <w:rsid w:val="6EEE4BE4"/>
    <w:rsid w:val="6EF65E9C"/>
    <w:rsid w:val="6EFC4430"/>
    <w:rsid w:val="6F2D283B"/>
    <w:rsid w:val="6F3D9197"/>
    <w:rsid w:val="6F51652A"/>
    <w:rsid w:val="6FAB3EC4"/>
    <w:rsid w:val="6FB16FC8"/>
    <w:rsid w:val="6FB6AF41"/>
    <w:rsid w:val="6FC82564"/>
    <w:rsid w:val="6FD1581C"/>
    <w:rsid w:val="6FD894C8"/>
    <w:rsid w:val="6FE36A9E"/>
    <w:rsid w:val="6FEFB2D1"/>
    <w:rsid w:val="6FFF97E6"/>
    <w:rsid w:val="70027824"/>
    <w:rsid w:val="70077DE7"/>
    <w:rsid w:val="707D50FC"/>
    <w:rsid w:val="70ED4030"/>
    <w:rsid w:val="70F76C5D"/>
    <w:rsid w:val="71397E03"/>
    <w:rsid w:val="71520337"/>
    <w:rsid w:val="71D40D4C"/>
    <w:rsid w:val="71F80EDE"/>
    <w:rsid w:val="71FB5B08"/>
    <w:rsid w:val="72B17453"/>
    <w:rsid w:val="73076EFF"/>
    <w:rsid w:val="73124222"/>
    <w:rsid w:val="731735E6"/>
    <w:rsid w:val="73261A7B"/>
    <w:rsid w:val="735F0AE9"/>
    <w:rsid w:val="73685BF0"/>
    <w:rsid w:val="73774085"/>
    <w:rsid w:val="739A5FC5"/>
    <w:rsid w:val="73AB3D2F"/>
    <w:rsid w:val="73D96AEE"/>
    <w:rsid w:val="73FB87D9"/>
    <w:rsid w:val="741614AB"/>
    <w:rsid w:val="742064CB"/>
    <w:rsid w:val="742D0BE7"/>
    <w:rsid w:val="746A3BEA"/>
    <w:rsid w:val="748A7DE8"/>
    <w:rsid w:val="74A40EAA"/>
    <w:rsid w:val="75EB2B08"/>
    <w:rsid w:val="75EF0FBA"/>
    <w:rsid w:val="7607C293"/>
    <w:rsid w:val="766905FD"/>
    <w:rsid w:val="76DFA4E8"/>
    <w:rsid w:val="76F36118"/>
    <w:rsid w:val="775748F9"/>
    <w:rsid w:val="77674410"/>
    <w:rsid w:val="776F3C10"/>
    <w:rsid w:val="77707769"/>
    <w:rsid w:val="777C610E"/>
    <w:rsid w:val="778720BD"/>
    <w:rsid w:val="77980A6E"/>
    <w:rsid w:val="77A7D615"/>
    <w:rsid w:val="77BA09E4"/>
    <w:rsid w:val="77C655DB"/>
    <w:rsid w:val="77E37F3B"/>
    <w:rsid w:val="77ED0C72"/>
    <w:rsid w:val="77FF366A"/>
    <w:rsid w:val="77FF8C96"/>
    <w:rsid w:val="77FFA8F9"/>
    <w:rsid w:val="782347DB"/>
    <w:rsid w:val="7874387B"/>
    <w:rsid w:val="78762276"/>
    <w:rsid w:val="78773407"/>
    <w:rsid w:val="78F65A4C"/>
    <w:rsid w:val="793F3897"/>
    <w:rsid w:val="7976604B"/>
    <w:rsid w:val="79F3BC78"/>
    <w:rsid w:val="7A590988"/>
    <w:rsid w:val="7A5B6CAA"/>
    <w:rsid w:val="7A684AAF"/>
    <w:rsid w:val="7A9314AC"/>
    <w:rsid w:val="7A992B33"/>
    <w:rsid w:val="7AA339B1"/>
    <w:rsid w:val="7B2A2539"/>
    <w:rsid w:val="7B362A78"/>
    <w:rsid w:val="7B4F6850"/>
    <w:rsid w:val="7B5E4B5F"/>
    <w:rsid w:val="7B6C6499"/>
    <w:rsid w:val="7BABD5C4"/>
    <w:rsid w:val="7BB12055"/>
    <w:rsid w:val="7BBFADBA"/>
    <w:rsid w:val="7BDA17A4"/>
    <w:rsid w:val="7BE22196"/>
    <w:rsid w:val="7BF50B53"/>
    <w:rsid w:val="7BFF492D"/>
    <w:rsid w:val="7C2F7BF3"/>
    <w:rsid w:val="7C631402"/>
    <w:rsid w:val="7C7C095E"/>
    <w:rsid w:val="7C943EFA"/>
    <w:rsid w:val="7C978C63"/>
    <w:rsid w:val="7CA35AD0"/>
    <w:rsid w:val="7CB63E70"/>
    <w:rsid w:val="7CBC6FAC"/>
    <w:rsid w:val="7CC55E61"/>
    <w:rsid w:val="7CDF8BC3"/>
    <w:rsid w:val="7CEB72A5"/>
    <w:rsid w:val="7CFA6A9B"/>
    <w:rsid w:val="7D18750B"/>
    <w:rsid w:val="7D9615AC"/>
    <w:rsid w:val="7DDFDC39"/>
    <w:rsid w:val="7E0E55E6"/>
    <w:rsid w:val="7E140770"/>
    <w:rsid w:val="7E5D92FB"/>
    <w:rsid w:val="7EB048EF"/>
    <w:rsid w:val="7EDC636B"/>
    <w:rsid w:val="7EF51D64"/>
    <w:rsid w:val="7EFFF488"/>
    <w:rsid w:val="7F3472CE"/>
    <w:rsid w:val="7F574612"/>
    <w:rsid w:val="7F7F4920"/>
    <w:rsid w:val="7FAB3A34"/>
    <w:rsid w:val="7FAC3308"/>
    <w:rsid w:val="7FB7C299"/>
    <w:rsid w:val="7FBFFB92"/>
    <w:rsid w:val="7FD76ACB"/>
    <w:rsid w:val="7FD89DA2"/>
    <w:rsid w:val="7FDBD805"/>
    <w:rsid w:val="7FDEC14D"/>
    <w:rsid w:val="7FDF8B76"/>
    <w:rsid w:val="7FDFE693"/>
    <w:rsid w:val="7FEFB5DD"/>
    <w:rsid w:val="7FEFBBD9"/>
    <w:rsid w:val="7FF52148"/>
    <w:rsid w:val="7FF56A5D"/>
    <w:rsid w:val="7FFD6A57"/>
    <w:rsid w:val="7FFDA7EC"/>
    <w:rsid w:val="7FFDEA1E"/>
    <w:rsid w:val="7FFEC1F6"/>
    <w:rsid w:val="7FFF2F52"/>
    <w:rsid w:val="870F5072"/>
    <w:rsid w:val="8F7B4EC8"/>
    <w:rsid w:val="8FBD4480"/>
    <w:rsid w:val="8FF7AE96"/>
    <w:rsid w:val="955F5184"/>
    <w:rsid w:val="9F6311D7"/>
    <w:rsid w:val="9FF54399"/>
    <w:rsid w:val="A46D76C1"/>
    <w:rsid w:val="A7FF43C2"/>
    <w:rsid w:val="ABF66286"/>
    <w:rsid w:val="AD9E3F04"/>
    <w:rsid w:val="ADA70464"/>
    <w:rsid w:val="AFE97CD3"/>
    <w:rsid w:val="B1BF5C63"/>
    <w:rsid w:val="B1FF3A18"/>
    <w:rsid w:val="B3CDF284"/>
    <w:rsid w:val="B3E8107B"/>
    <w:rsid w:val="B5F66F24"/>
    <w:rsid w:val="B7F5200A"/>
    <w:rsid w:val="BABDA1AA"/>
    <w:rsid w:val="BB1B4BF1"/>
    <w:rsid w:val="BBE5FE68"/>
    <w:rsid w:val="BBFEB9C1"/>
    <w:rsid w:val="BDF7406A"/>
    <w:rsid w:val="BE6FD8DB"/>
    <w:rsid w:val="BEEF57C2"/>
    <w:rsid w:val="BF6D5596"/>
    <w:rsid w:val="BFBEBB2C"/>
    <w:rsid w:val="BFC68935"/>
    <w:rsid w:val="BFDD0F1D"/>
    <w:rsid w:val="BFDDD096"/>
    <w:rsid w:val="C5B3F496"/>
    <w:rsid w:val="C96F3E49"/>
    <w:rsid w:val="CBBF14F3"/>
    <w:rsid w:val="CBE5DCF2"/>
    <w:rsid w:val="CCFCC735"/>
    <w:rsid w:val="CEEB8A74"/>
    <w:rsid w:val="D37FB642"/>
    <w:rsid w:val="D7F99798"/>
    <w:rsid w:val="D7FF400C"/>
    <w:rsid w:val="DBED1CD4"/>
    <w:rsid w:val="DBFBB328"/>
    <w:rsid w:val="DDD7453A"/>
    <w:rsid w:val="DE3E1FD7"/>
    <w:rsid w:val="DFBE1B79"/>
    <w:rsid w:val="DFCF1FEC"/>
    <w:rsid w:val="DFE75A3D"/>
    <w:rsid w:val="DFED2117"/>
    <w:rsid w:val="DFEF594B"/>
    <w:rsid w:val="DFF3F960"/>
    <w:rsid w:val="DFFE0D61"/>
    <w:rsid w:val="E35C4B3C"/>
    <w:rsid w:val="E3A781CA"/>
    <w:rsid w:val="E5DFAB50"/>
    <w:rsid w:val="E6FC647F"/>
    <w:rsid w:val="EBFBC8F1"/>
    <w:rsid w:val="EBFDF757"/>
    <w:rsid w:val="ED758B5D"/>
    <w:rsid w:val="ED76A08D"/>
    <w:rsid w:val="EDBDD81F"/>
    <w:rsid w:val="EDFDB542"/>
    <w:rsid w:val="EF0FCF96"/>
    <w:rsid w:val="EF95E20F"/>
    <w:rsid w:val="EFAF7DFF"/>
    <w:rsid w:val="EFAFB283"/>
    <w:rsid w:val="EFBDA38B"/>
    <w:rsid w:val="EFEE9A76"/>
    <w:rsid w:val="F1BF6FBC"/>
    <w:rsid w:val="F1F9A9B5"/>
    <w:rsid w:val="F3779FC2"/>
    <w:rsid w:val="F3D5C239"/>
    <w:rsid w:val="F3F37DF4"/>
    <w:rsid w:val="F3F96DE6"/>
    <w:rsid w:val="F3FBC54A"/>
    <w:rsid w:val="F47BB68A"/>
    <w:rsid w:val="F47F523E"/>
    <w:rsid w:val="F69FD6B0"/>
    <w:rsid w:val="F7E7F921"/>
    <w:rsid w:val="F7F7AC6A"/>
    <w:rsid w:val="F7FD93B9"/>
    <w:rsid w:val="FABF64A5"/>
    <w:rsid w:val="FABF7411"/>
    <w:rsid w:val="FBA53981"/>
    <w:rsid w:val="FBE4457E"/>
    <w:rsid w:val="FBFC558A"/>
    <w:rsid w:val="FBFF71AC"/>
    <w:rsid w:val="FBFFEA2B"/>
    <w:rsid w:val="FCCB27AA"/>
    <w:rsid w:val="FCFF8F4B"/>
    <w:rsid w:val="FD9595AD"/>
    <w:rsid w:val="FDF9DD9A"/>
    <w:rsid w:val="FDFF2821"/>
    <w:rsid w:val="FDFFA696"/>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921F59"/>
    <w:rsid w:val="FFBB1E09"/>
    <w:rsid w:val="FFBB6A0C"/>
    <w:rsid w:val="FFBD894B"/>
    <w:rsid w:val="FFBF33B3"/>
    <w:rsid w:val="FFD09362"/>
    <w:rsid w:val="FFD1DA08"/>
    <w:rsid w:val="FFD7DEDD"/>
    <w:rsid w:val="FFDE369F"/>
    <w:rsid w:val="FFEF98C9"/>
    <w:rsid w:val="FFEFCE62"/>
    <w:rsid w:val="FFF973B0"/>
    <w:rsid w:val="FFFB4F05"/>
    <w:rsid w:val="FFFEC8F5"/>
    <w:rsid w:val="FFFEF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3">
    <w:name w:val="Normal Indent"/>
    <w:basedOn w:val="1"/>
    <w:next w:val="1"/>
    <w:qFormat/>
    <w:uiPriority w:val="0"/>
    <w:pPr>
      <w:spacing w:before="156" w:beforeLines="50" w:line="360" w:lineRule="auto"/>
      <w:ind w:firstLine="480" w:firstLineChars="200"/>
    </w:pPr>
    <w:rPr>
      <w:rFonts w:eastAsia="仿宋"/>
      <w:sz w:val="24"/>
      <w:szCs w:val="23"/>
      <w:lang w:eastAsia="ar-SA"/>
    </w:rPr>
  </w:style>
  <w:style w:type="paragraph" w:styleId="4">
    <w:name w:val="Document Map"/>
    <w:basedOn w:val="1"/>
    <w:link w:val="20"/>
    <w:qFormat/>
    <w:uiPriority w:val="0"/>
    <w:rPr>
      <w:rFonts w:ascii="宋体" w:eastAsia="宋体"/>
      <w:sz w:val="18"/>
      <w:szCs w:val="18"/>
    </w:rPr>
  </w:style>
  <w:style w:type="paragraph" w:styleId="5">
    <w:name w:val="Body Text"/>
    <w:basedOn w:val="1"/>
    <w:next w:val="1"/>
    <w:qFormat/>
    <w:uiPriority w:val="0"/>
    <w:pPr>
      <w:spacing w:after="120"/>
    </w:pPr>
  </w:style>
  <w:style w:type="paragraph" w:styleId="6">
    <w:name w:val="Body Text Indent"/>
    <w:basedOn w:val="1"/>
    <w:qFormat/>
    <w:uiPriority w:val="0"/>
    <w:pPr>
      <w:spacing w:after="120"/>
      <w:ind w:leftChars="200"/>
    </w:pPr>
    <w:rPr>
      <w:rFonts w:ascii="仿宋_GB2312"/>
      <w:szCs w:val="32"/>
    </w:rPr>
  </w:style>
  <w:style w:type="paragraph" w:styleId="7">
    <w:name w:val="Body Text Indent 2"/>
    <w:basedOn w:val="1"/>
    <w:qFormat/>
    <w:uiPriority w:val="0"/>
    <w:pPr>
      <w:spacing w:after="120" w:line="480" w:lineRule="auto"/>
      <w:ind w:left="420" w:leftChars="200"/>
    </w:pPr>
  </w:style>
  <w:style w:type="paragraph" w:styleId="8">
    <w:name w:val="Balloon Text"/>
    <w:basedOn w:val="1"/>
    <w:semiHidden/>
    <w:qFormat/>
    <w:uiPriority w:val="0"/>
    <w:rPr>
      <w:sz w:val="18"/>
      <w:szCs w:val="18"/>
    </w:rPr>
  </w:style>
  <w:style w:type="paragraph" w:styleId="9">
    <w:name w:val="footer"/>
    <w:basedOn w:val="1"/>
    <w:link w:val="22"/>
    <w:qFormat/>
    <w:uiPriority w:val="99"/>
    <w:pPr>
      <w:tabs>
        <w:tab w:val="center" w:pos="4153"/>
        <w:tab w:val="right" w:pos="8306"/>
      </w:tabs>
      <w:snapToGrid w:val="0"/>
      <w:jc w:val="left"/>
    </w:pPr>
    <w:rPr>
      <w:rFonts w:eastAsia="宋体"/>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1">
    <w:name w:val="toc 1"/>
    <w:basedOn w:val="1"/>
    <w:next w:val="1"/>
    <w:qFormat/>
    <w:uiPriority w:val="0"/>
  </w:style>
  <w:style w:type="paragraph" w:styleId="1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Body Text First Indent 2"/>
    <w:basedOn w:val="6"/>
    <w:unhideWhenUsed/>
    <w:qFormat/>
    <w:uiPriority w:val="99"/>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style>
  <w:style w:type="paragraph" w:customStyle="1" w:styleId="18">
    <w:name w:val="四号正文"/>
    <w:basedOn w:val="1"/>
    <w:link w:val="19"/>
    <w:qFormat/>
    <w:uiPriority w:val="0"/>
    <w:pPr>
      <w:spacing w:line="360" w:lineRule="auto"/>
    </w:pPr>
    <w:rPr>
      <w:rFonts w:ascii="??" w:hAnsi="??" w:eastAsia="宋体" w:cs="宋体"/>
      <w:color w:val="000000"/>
      <w:kern w:val="0"/>
      <w:sz w:val="28"/>
      <w:szCs w:val="21"/>
    </w:rPr>
  </w:style>
  <w:style w:type="character" w:customStyle="1" w:styleId="19">
    <w:name w:val="四号正文 Char"/>
    <w:basedOn w:val="16"/>
    <w:link w:val="18"/>
    <w:qFormat/>
    <w:uiPriority w:val="0"/>
    <w:rPr>
      <w:rFonts w:ascii="??" w:hAnsi="??" w:eastAsia="宋体" w:cs="宋体"/>
      <w:color w:val="000000"/>
      <w:sz w:val="28"/>
      <w:szCs w:val="21"/>
      <w:lang w:val="en-US" w:eastAsia="zh-CN" w:bidi="ar-SA"/>
    </w:rPr>
  </w:style>
  <w:style w:type="character" w:customStyle="1" w:styleId="20">
    <w:name w:val="文档结构图 Char"/>
    <w:basedOn w:val="16"/>
    <w:link w:val="4"/>
    <w:qFormat/>
    <w:uiPriority w:val="0"/>
    <w:rPr>
      <w:rFonts w:ascii="宋体"/>
      <w:kern w:val="2"/>
      <w:sz w:val="18"/>
      <w:szCs w:val="18"/>
    </w:rPr>
  </w:style>
  <w:style w:type="paragraph" w:customStyle="1" w:styleId="21">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2">
    <w:name w:val="页脚 Char"/>
    <w:basedOn w:val="16"/>
    <w:link w:val="9"/>
    <w:qFormat/>
    <w:uiPriority w:val="99"/>
    <w:rPr>
      <w:kern w:val="2"/>
      <w:sz w:val="18"/>
      <w:szCs w:val="18"/>
    </w:rPr>
  </w:style>
  <w:style w:type="character" w:customStyle="1" w:styleId="23">
    <w:name w:val="font31"/>
    <w:basedOn w:val="16"/>
    <w:qFormat/>
    <w:uiPriority w:val="0"/>
    <w:rPr>
      <w:rFonts w:hint="eastAsia" w:ascii="宋体" w:hAnsi="宋体" w:eastAsia="宋体" w:cs="宋体"/>
      <w:color w:val="000000"/>
      <w:sz w:val="24"/>
      <w:szCs w:val="24"/>
      <w:u w:val="none"/>
    </w:rPr>
  </w:style>
  <w:style w:type="character" w:customStyle="1" w:styleId="24">
    <w:name w:val="font51"/>
    <w:basedOn w:val="16"/>
    <w:qFormat/>
    <w:uiPriority w:val="0"/>
    <w:rPr>
      <w:rFonts w:hint="default" w:ascii="Wingdings 2" w:hAnsi="Wingdings 2" w:eastAsia="Wingdings 2" w:cs="Wingdings 2"/>
      <w:color w:val="000000"/>
      <w:sz w:val="18"/>
      <w:szCs w:val="18"/>
      <w:u w:val="none"/>
    </w:rPr>
  </w:style>
  <w:style w:type="character" w:customStyle="1" w:styleId="25">
    <w:name w:val="font01"/>
    <w:basedOn w:val="16"/>
    <w:qFormat/>
    <w:uiPriority w:val="0"/>
    <w:rPr>
      <w:rFonts w:ascii="宋体" w:hAnsi="宋体" w:eastAsia="宋体" w:cs="宋体"/>
      <w:color w:val="000000"/>
      <w:sz w:val="18"/>
      <w:szCs w:val="18"/>
      <w:u w:val="none"/>
    </w:rPr>
  </w:style>
  <w:style w:type="character" w:customStyle="1" w:styleId="26">
    <w:name w:val="font41"/>
    <w:basedOn w:val="16"/>
    <w:qFormat/>
    <w:uiPriority w:val="0"/>
    <w:rPr>
      <w:rFonts w:ascii="宋体" w:hAnsi="宋体" w:eastAsia="宋体" w:cs="宋体"/>
      <w:color w:val="000000"/>
      <w:sz w:val="18"/>
      <w:szCs w:val="18"/>
      <w:u w:val="none"/>
    </w:rPr>
  </w:style>
  <w:style w:type="paragraph" w:customStyle="1" w:styleId="27">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character" w:customStyle="1" w:styleId="28">
    <w:name w:val="font21"/>
    <w:basedOn w:val="16"/>
    <w:qFormat/>
    <w:uiPriority w:val="0"/>
    <w:rPr>
      <w:rFonts w:ascii="宋体" w:hAnsi="宋体" w:eastAsia="宋体" w:cs="宋体"/>
      <w:color w:val="000000"/>
      <w:sz w:val="18"/>
      <w:szCs w:val="18"/>
      <w:u w:val="none"/>
    </w:rPr>
  </w:style>
  <w:style w:type="character" w:customStyle="1" w:styleId="29">
    <w:name w:val="font81"/>
    <w:basedOn w:val="16"/>
    <w:qFormat/>
    <w:uiPriority w:val="0"/>
    <w:rPr>
      <w:rFonts w:ascii="Arial" w:hAnsi="Arial" w:cs="Arial"/>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PSZX</Company>
  <Pages>45</Pages>
  <Words>4687</Words>
  <Characters>5116</Characters>
  <Lines>2</Lines>
  <Paragraphs>1</Paragraphs>
  <TotalTime>31</TotalTime>
  <ScaleCrop>false</ScaleCrop>
  <LinksUpToDate>false</LinksUpToDate>
  <CharactersWithSpaces>5119</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2019-05-29T03:06:00Z</dcterms:created>
  <dc:creator>陈萍</dc:creator>
  <cp:lastModifiedBy>user</cp:lastModifiedBy>
  <cp:lastPrinted>2025-04-28T15:12:00Z</cp:lastPrinted>
  <dcterms:modified xsi:type="dcterms:W3CDTF">2026-09-29T10:34:55Z</dcterms:modified>
  <dc:title>区域性就业培训基地建设项目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53D30985261D4C60818305AC6B1DAD29_13</vt:lpwstr>
  </property>
  <property fmtid="{D5CDD505-2E9C-101B-9397-08002B2CF9AE}" pid="4" name="KSOTemplateDocerSaveRecord">
    <vt:lpwstr>eyJoZGlkIjoiYmMxZWViYzY2OTBkMWNmMDZlNjI2NmUwYzQyZTk2ZTMiLCJ1c2VySWQiOiIxMTM5OTQ5NTAyIn0=</vt:lpwstr>
  </property>
</Properties>
</file>