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78" w:lineRule="exact"/>
        <w:contextualSpacing/>
        <w:jc w:val="left"/>
        <w:rPr>
          <w:rFonts w:eastAsia="宋体"/>
          <w:b/>
          <w:sz w:val="44"/>
          <w:szCs w:val="44"/>
          <w:shd w:val="clear" w:color="auto" w:fill="FFFFFF"/>
        </w:rPr>
      </w:pPr>
    </w:p>
    <w:p>
      <w:pPr>
        <w:widowControl/>
        <w:spacing w:line="578" w:lineRule="exact"/>
        <w:contextualSpacing/>
        <w:jc w:val="center"/>
        <w:rPr>
          <w:rFonts w:hint="eastAsia" w:eastAsia="方正小标宋简体"/>
          <w:bCs/>
          <w:sz w:val="44"/>
          <w:szCs w:val="44"/>
          <w:shd w:val="clear" w:color="auto" w:fill="FFFFFF"/>
          <w:lang w:eastAsia="zh-CN"/>
        </w:rPr>
      </w:pPr>
      <w:r>
        <w:rPr>
          <w:rFonts w:hint="eastAsia" w:eastAsia="方正小标宋简体"/>
          <w:bCs/>
          <w:sz w:val="44"/>
          <w:szCs w:val="44"/>
          <w:shd w:val="clear" w:color="auto" w:fill="FFFFFF"/>
          <w:lang w:eastAsia="zh-CN"/>
        </w:rPr>
        <w:t>黑水县公务服务中心</w:t>
      </w:r>
    </w:p>
    <w:p>
      <w:pPr>
        <w:widowControl/>
        <w:spacing w:line="578" w:lineRule="exact"/>
        <w:ind w:firstLine="1760" w:firstLineChars="400"/>
        <w:contextualSpacing/>
        <w:jc w:val="both"/>
        <w:rPr>
          <w:rFonts w:eastAsia="方正小标宋简体"/>
          <w:bCs/>
          <w:sz w:val="44"/>
          <w:szCs w:val="44"/>
          <w:shd w:val="clear" w:color="auto" w:fill="FFFFFF"/>
        </w:rPr>
      </w:pPr>
      <w:r>
        <w:rPr>
          <w:rFonts w:hint="eastAsia" w:eastAsia="方正小标宋简体"/>
          <w:bCs/>
          <w:sz w:val="44"/>
          <w:szCs w:val="44"/>
          <w:shd w:val="clear" w:color="auto" w:fill="FFFFFF"/>
          <w:lang w:val="en-US" w:eastAsia="zh-CN"/>
        </w:rPr>
        <w:t>2025年度</w:t>
      </w:r>
      <w:r>
        <w:rPr>
          <w:rFonts w:eastAsia="方正小标宋简体"/>
          <w:bCs/>
          <w:sz w:val="44"/>
          <w:szCs w:val="44"/>
          <w:shd w:val="clear" w:color="auto" w:fill="FFFFFF"/>
        </w:rPr>
        <w:t>预算绩效</w:t>
      </w:r>
      <w:r>
        <w:rPr>
          <w:rFonts w:hint="eastAsia" w:eastAsia="方正小标宋简体"/>
          <w:bCs/>
          <w:sz w:val="44"/>
          <w:szCs w:val="44"/>
          <w:shd w:val="clear" w:color="auto" w:fill="FFFFFF"/>
        </w:rPr>
        <w:t>自评</w:t>
      </w:r>
      <w:r>
        <w:rPr>
          <w:rFonts w:eastAsia="方正小标宋简体"/>
          <w:bCs/>
          <w:sz w:val="44"/>
          <w:szCs w:val="44"/>
          <w:shd w:val="clear" w:color="auto" w:fill="FFFFFF"/>
        </w:rPr>
        <w:t>报告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contextualSpacing/>
        <w:jc w:val="left"/>
        <w:textAlignment w:val="auto"/>
        <w:rPr>
          <w:szCs w:val="32"/>
        </w:rPr>
      </w:pPr>
      <w:r>
        <w:rPr>
          <w:rFonts w:eastAsia="黑体"/>
          <w:color w:val="000000"/>
          <w:kern w:val="0"/>
          <w:szCs w:val="32"/>
          <w:shd w:val="clear" w:color="auto" w:fill="FFFFFF"/>
          <w:lang w:val="zh-CN"/>
        </w:rPr>
        <w:t>一、部门（单位）基本情况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eastAsia="楷体_GB2312"/>
          <w:b w:val="0"/>
          <w:bCs w:val="0"/>
          <w:color w:val="000000"/>
          <w:kern w:val="0"/>
          <w:szCs w:val="32"/>
          <w:shd w:val="clear" w:color="auto" w:fill="FFFFFF"/>
          <w:lang w:val="zh-CN"/>
        </w:rPr>
      </w:pPr>
      <w:r>
        <w:rPr>
          <w:rFonts w:eastAsia="楷体_GB2312"/>
          <w:b w:val="0"/>
          <w:bCs w:val="0"/>
          <w:color w:val="000000"/>
          <w:kern w:val="0"/>
          <w:szCs w:val="32"/>
          <w:shd w:val="clear" w:color="auto" w:fill="FFFFFF"/>
          <w:lang w:val="zh-CN"/>
        </w:rPr>
        <w:t>（一）机构组成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560" w:firstLineChars="200"/>
        <w:textAlignment w:val="auto"/>
        <w:rPr>
          <w:szCs w:val="32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 w:bidi="ar"/>
        </w:rPr>
        <w:t>黑水县公务服务中心为正科级公益一类事业单位，经费来源为财政全额预算，内设办公室、公务服务股两个股室。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eastAsia="楷体_GB2312"/>
          <w:b w:val="0"/>
          <w:bCs w:val="0"/>
          <w:color w:val="000000"/>
          <w:kern w:val="0"/>
          <w:szCs w:val="32"/>
          <w:shd w:val="clear" w:color="auto" w:fill="FFFFFF"/>
          <w:lang w:val="zh-CN"/>
        </w:rPr>
      </w:pPr>
      <w:r>
        <w:rPr>
          <w:rFonts w:eastAsia="楷体_GB2312"/>
          <w:b w:val="0"/>
          <w:bCs w:val="0"/>
          <w:color w:val="000000"/>
          <w:kern w:val="0"/>
          <w:szCs w:val="32"/>
          <w:shd w:val="clear" w:color="auto" w:fill="FFFFFF"/>
          <w:lang w:val="zh-CN"/>
        </w:rPr>
        <w:t>（二）机构职能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left="0" w:firstLine="640" w:firstLineChars="200"/>
        <w:textAlignment w:val="auto"/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1.贯彻执行《党政机关国内公务接待管理规定》、国家有关机关公务服务工作的方针政策，拟订全县公务服务工作的规划、规章制度并组织实施。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left="0" w:firstLine="640" w:firstLineChars="200"/>
        <w:textAlignment w:val="auto"/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2.负责中央、省、州及外省、市（州）各级领导来县开展公务活动的协调联络和服务保障，参与外省（区、市（州）、县）党政代表团来县考察的协调联络和服务保障。负责我县党政代表团赴外省（区、市（州）、县）开展公务活动的协调联络和服务保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left="0" w:firstLine="640" w:firstLineChars="200"/>
        <w:textAlignment w:val="auto"/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3.负责全县党政机关公务接待的管理和指导工作，完成县公务接待管理部门承担的接待任务。负责县委、县政府交办的服务保障工作。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left="0" w:firstLine="640" w:firstLineChars="200"/>
        <w:textAlignment w:val="auto"/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4.按照中央八项规定和省委、省政府十项规定，州委</w:t>
      </w:r>
      <w:r>
        <w:rPr>
          <w:rFonts w:hint="eastAsia" w:ascii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、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州政府八条意见及其实施细则要求，负责联系协调县级有关部门及关联单位承办县委、县政府重大公务活动的服务工作。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left="0" w:firstLine="640" w:firstLineChars="200"/>
        <w:textAlignment w:val="auto"/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5.会同县级有关部门承担县委、县政府交办的大型会议、活动的接待服务保障工作。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left="0" w:firstLine="640" w:firstLineChars="200"/>
        <w:textAlignment w:val="auto"/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6.负责机关伙食团人员选聘、人员管理、制度完善、卫生安全、物资采购、职工就餐等日常管理工作。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left="0" w:firstLine="640" w:firstLineChars="200"/>
        <w:textAlignment w:val="auto"/>
        <w:rPr>
          <w:rFonts w:eastAsia="楷体_GB2312"/>
          <w:b/>
          <w:bCs/>
          <w:color w:val="000000"/>
          <w:kern w:val="0"/>
          <w:szCs w:val="32"/>
          <w:shd w:val="clear" w:color="auto" w:fill="FFFFFF"/>
          <w:lang w:val="zh-CN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7.完成县委、县政府交办的其他任务。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eastAsia="楷体_GB2312"/>
          <w:b w:val="0"/>
          <w:bCs w:val="0"/>
          <w:color w:val="000000"/>
          <w:kern w:val="0"/>
          <w:szCs w:val="32"/>
          <w:shd w:val="clear" w:color="auto" w:fill="FFFFFF"/>
          <w:lang w:val="zh-CN"/>
        </w:rPr>
      </w:pPr>
      <w:r>
        <w:rPr>
          <w:rFonts w:eastAsia="楷体_GB2312"/>
          <w:b w:val="0"/>
          <w:bCs w:val="0"/>
          <w:color w:val="000000"/>
          <w:kern w:val="0"/>
          <w:szCs w:val="32"/>
          <w:shd w:val="clear" w:color="auto" w:fill="FFFFFF"/>
          <w:lang w:val="zh-CN"/>
        </w:rPr>
        <w:t>（三）人员概况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szCs w:val="32"/>
        </w:rPr>
      </w:pPr>
      <w:r>
        <w:rPr>
          <w:rFonts w:hint="default" w:ascii="Times New Roman" w:hAnsi="Times New Roman" w:cs="Times New Roman"/>
          <w:color w:val="auto"/>
          <w:szCs w:val="32"/>
          <w:highlight w:val="none"/>
        </w:rPr>
        <w:t>截至202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年末，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 w:bidi="ar"/>
        </w:rPr>
        <w:t>黑水县公务服务中心事业编制8名,在编人数8人。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contextualSpacing/>
        <w:jc w:val="left"/>
        <w:textAlignment w:val="auto"/>
        <w:rPr>
          <w:rFonts w:eastAsia="黑体"/>
          <w:color w:val="000000"/>
          <w:kern w:val="0"/>
          <w:szCs w:val="32"/>
          <w:shd w:val="clear" w:color="auto" w:fill="FFFFFF"/>
        </w:rPr>
      </w:pPr>
      <w:r>
        <w:rPr>
          <w:rFonts w:eastAsia="黑体"/>
          <w:color w:val="000000"/>
          <w:kern w:val="0"/>
          <w:szCs w:val="32"/>
          <w:shd w:val="clear" w:color="auto" w:fill="FFFFFF"/>
        </w:rPr>
        <w:t>二、部门资金收支情况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eastAsia="楷体_GB2312"/>
          <w:b w:val="0"/>
          <w:bCs w:val="0"/>
          <w:color w:val="000000"/>
          <w:kern w:val="0"/>
          <w:szCs w:val="32"/>
          <w:shd w:val="clear" w:color="auto" w:fill="FFFFFF"/>
          <w:lang w:val="zh-CN"/>
        </w:rPr>
      </w:pPr>
      <w:r>
        <w:rPr>
          <w:rFonts w:eastAsia="楷体_GB2312"/>
          <w:b w:val="0"/>
          <w:bCs w:val="0"/>
          <w:color w:val="000000"/>
          <w:kern w:val="0"/>
          <w:szCs w:val="32"/>
          <w:shd w:val="clear" w:color="auto" w:fill="FFFFFF"/>
          <w:lang w:val="zh-CN"/>
        </w:rPr>
        <w:t>（一）收入情况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contextualSpacing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 w:bidi="ar"/>
        </w:rPr>
        <w:t>黑水县公务服务中心2025年收入预算9350453.16元，其中：一般公共预算拨款收入9350453.16元，占总收入的100%。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eastAsia="楷体_GB2312"/>
          <w:b w:val="0"/>
          <w:bCs w:val="0"/>
          <w:color w:val="000000"/>
          <w:kern w:val="0"/>
          <w:szCs w:val="32"/>
          <w:shd w:val="clear" w:color="auto" w:fill="FFFFFF"/>
          <w:lang w:val="zh-CN"/>
        </w:rPr>
      </w:pPr>
      <w:r>
        <w:rPr>
          <w:rFonts w:hint="eastAsia" w:eastAsia="楷体_GB2312"/>
          <w:b w:val="0"/>
          <w:bCs w:val="0"/>
          <w:color w:val="000000"/>
          <w:kern w:val="0"/>
          <w:szCs w:val="32"/>
          <w:shd w:val="clear" w:color="auto" w:fill="FFFFFF"/>
          <w:lang w:val="en-US" w:eastAsia="zh-CN"/>
        </w:rPr>
        <w:t>(二）</w:t>
      </w:r>
      <w:r>
        <w:rPr>
          <w:rFonts w:eastAsia="楷体_GB2312"/>
          <w:b w:val="0"/>
          <w:bCs w:val="0"/>
          <w:color w:val="000000"/>
          <w:kern w:val="0"/>
          <w:szCs w:val="32"/>
          <w:shd w:val="clear" w:color="auto" w:fill="FFFFFF"/>
          <w:lang w:val="zh-CN"/>
        </w:rPr>
        <w:t>支出情况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 w:bidi="ar"/>
        </w:rPr>
        <w:t>黑水县公务服务中心2025年支出预算9350453.16元，其中：一般公共服务支出8814333.54元、占总支出94.26%；社会保障和就业支出285968.16元，占总支出3.05%；卫生健康支出107167.38元，占总支出1.15%；住房保障支出142984.08元，占总支出1.54%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contextualSpacing/>
        <w:jc w:val="left"/>
        <w:textAlignment w:val="auto"/>
        <w:outlineLvl w:val="9"/>
        <w:rPr>
          <w:rFonts w:eastAsia="楷体_GB2312"/>
          <w:b w:val="0"/>
          <w:bCs/>
          <w:szCs w:val="32"/>
        </w:rPr>
      </w:pPr>
      <w:r>
        <w:rPr>
          <w:rFonts w:eastAsia="楷体_GB2312"/>
          <w:b w:val="0"/>
          <w:bCs/>
          <w:szCs w:val="32"/>
        </w:rPr>
        <w:t>结余分配和结转结余情况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contextualSpacing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Cs w:val="32"/>
          <w:highlight w:val="none"/>
          <w:shd w:val="clear" w:color="auto" w:fill="FFFFFF"/>
          <w:lang w:val="zh-CN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Times New Roman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黑水县公务服务中心</w:t>
      </w:r>
      <w:r>
        <w:rPr>
          <w:rFonts w:hint="eastAsia" w:cs="Times New Roman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2025年</w:t>
      </w:r>
      <w:r>
        <w:rPr>
          <w:rFonts w:hint="eastAsia" w:ascii="Times New Roman" w:hAnsi="Times New Roman" w:cs="Times New Roman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决算报表</w:t>
      </w:r>
      <w:r>
        <w:rPr>
          <w:rFonts w:hint="eastAsia" w:cs="Times New Roman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无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Cs w:val="32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结转结余</w:t>
      </w:r>
      <w:r>
        <w:rPr>
          <w:rFonts w:hint="eastAsia" w:cs="Times New Roman"/>
          <w:b w:val="0"/>
          <w:bCs w:val="0"/>
          <w:color w:val="000000" w:themeColor="text1"/>
          <w:kern w:val="0"/>
          <w:szCs w:val="32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资金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Cs w:val="32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contextualSpacing/>
        <w:jc w:val="left"/>
        <w:textAlignment w:val="auto"/>
        <w:rPr>
          <w:rFonts w:eastAsia="黑体"/>
          <w:color w:val="000000" w:themeColor="text1"/>
          <w:kern w:val="0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eastAsia="黑体"/>
          <w:color w:val="000000"/>
          <w:kern w:val="0"/>
          <w:szCs w:val="32"/>
          <w:shd w:val="clear" w:color="auto" w:fill="FFFFFF"/>
        </w:rPr>
        <w:t>三、部门预算绩效分析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contextualSpacing/>
        <w:jc w:val="left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</w:rPr>
        <w:t>（一）部门预算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eastAsia="zh-CN"/>
        </w:rPr>
        <w:t>总体绩效分析（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分值65分，自评得分62分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</w:rPr>
        <w:t>我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中心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按照县级部门预算编制通知和有关要求，对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202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的各项收入及支出作了认真的清理，真实、准确、全面、及时的完成年度预、决算工作；认真对绩效目标的填报，对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eastAsia="zh-CN"/>
        </w:rPr>
        <w:t>特定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 xml:space="preserve">专项预算进行分期、分批并结合实际提前细化，保障正常运行。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1.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履职效能（分值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15分，自评得分15分）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left="0" w:firstLine="640" w:firstLineChars="200"/>
        <w:textAlignment w:val="auto"/>
        <w:rPr>
          <w:rFonts w:hint="default" w:ascii="Times New Roman" w:hAnsi="Times New Roman" w:cs="Times New Roman"/>
          <w:color w:val="0000FF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我中心根据三定方案职责，职责一、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贯彻执行中央、省、州有关公务接待工作的规定，拟订全县公务接待办法。完成公务接待任务。加强县本级公务接待工作的规范管理，指导全县党政机关公务</w:t>
      </w:r>
      <w:r>
        <w:rPr>
          <w:rFonts w:hint="eastAsia" w:ascii="Times New Roman" w:hAnsi="Times New Roman" w:cs="Times New Roman"/>
          <w:color w:val="000000" w:themeColor="text1"/>
          <w:szCs w:val="32"/>
          <w:highlight w:val="none"/>
          <w14:textFill>
            <w14:solidFill>
              <w14:schemeClr w14:val="tx1"/>
            </w14:solidFill>
          </w14:textFill>
        </w:rPr>
        <w:t>接待工作</w:t>
      </w:r>
      <w:r>
        <w:rPr>
          <w:rFonts w:hint="eastAsia" w:ascii="Times New Roman" w:hAnsi="Times New Roman" w:cs="Times New Roman"/>
          <w:color w:val="000000" w:themeColor="text1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cs="Times New Roman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得分3分；职责二：</w:t>
      </w:r>
      <w:r>
        <w:rPr>
          <w:rFonts w:hint="eastAsia" w:ascii="Times New Roman" w:hAnsi="Times New Roman" w:cs="Times New Roman"/>
          <w:color w:val="000000" w:themeColor="text1"/>
          <w:szCs w:val="32"/>
          <w:highlight w:val="none"/>
          <w14:textFill>
            <w14:solidFill>
              <w14:schemeClr w14:val="tx1"/>
            </w14:solidFill>
          </w14:textFill>
        </w:rPr>
        <w:t>负责机关伙食团人员选聘、物资采购、职工就餐等日常管理工作</w:t>
      </w:r>
      <w:r>
        <w:rPr>
          <w:rFonts w:hint="eastAsia" w:ascii="Times New Roman" w:hAnsi="Times New Roman" w:cs="Times New Roman"/>
          <w:color w:val="000000" w:themeColor="text1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cs="Times New Roman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得分3分；职责三：</w:t>
      </w:r>
      <w:r>
        <w:rPr>
          <w:rFonts w:hint="eastAsia" w:ascii="仿宋_GB2312" w:eastAsia="仿宋_GB2312" w:cs="仿宋_GB2312"/>
          <w:color w:val="000000" w:themeColor="text1"/>
          <w:kern w:val="0"/>
          <w:sz w:val="32"/>
          <w:szCs w:val="32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负责联系协调县级有关部门及关联单位承办县委、县政府重大公务活动的服务工作</w:t>
      </w:r>
      <w:r>
        <w:rPr>
          <w:rFonts w:hint="eastAsia" w:ascii="仿宋_GB2312" w:cs="仿宋_GB2312"/>
          <w:color w:val="000000" w:themeColor="text1"/>
          <w:kern w:val="0"/>
          <w:sz w:val="32"/>
          <w:szCs w:val="32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cs="Times New Roman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得分3分；职责四：</w:t>
      </w:r>
      <w:r>
        <w:rPr>
          <w:rFonts w:hint="eastAsia" w:ascii="仿宋_GB2312" w:eastAsia="仿宋_GB2312" w:cs="仿宋_GB2312"/>
          <w:color w:val="000000" w:themeColor="text1"/>
          <w:kern w:val="0"/>
          <w:sz w:val="32"/>
          <w:szCs w:val="32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会同县级有关部门承担县委、县政府交办的大型会议、活动的接待服务保障工作</w:t>
      </w:r>
      <w:r>
        <w:rPr>
          <w:rFonts w:hint="eastAsia" w:ascii="仿宋_GB2312" w:cs="仿宋_GB2312"/>
          <w:color w:val="000000" w:themeColor="text1"/>
          <w:kern w:val="0"/>
          <w:sz w:val="32"/>
          <w:szCs w:val="32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cs="Times New Roman"/>
          <w:color w:val="000000" w:themeColor="text1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得分3分；职责五：</w:t>
      </w:r>
      <w:r>
        <w:rPr>
          <w:rFonts w:hint="eastAsia" w:ascii="Times New Roman" w:hAnsi="Times New Roman" w:cs="Times New Roman"/>
          <w:color w:val="000000" w:themeColor="text1"/>
          <w:szCs w:val="32"/>
          <w:highlight w:val="none"/>
          <w14:textFill>
            <w14:solidFill>
              <w14:schemeClr w14:val="tx1"/>
            </w14:solidFill>
          </w14:textFill>
        </w:rPr>
        <w:t>负责制定全县机关统一的机关后勤服务管理制度，负责指导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和管理县级机关后勤服务工作。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得分3分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2.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预算管理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25分，自评得分22分）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（1）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预算编制质量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8分，自评得分7分）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黑水县公务服务中心能严格按要求编制年初部门预算，年初预算编制科学合理和准确性较高。本年度预算收入总数为935.04万元，支出总数为935.04万元，</w:t>
      </w:r>
      <w:r>
        <w:rPr>
          <w:rFonts w:hint="eastAsia" w:cs="Times New Roman"/>
          <w:color w:val="auto"/>
          <w:szCs w:val="32"/>
          <w:highlight w:val="none"/>
          <w:lang w:eastAsia="zh-CN"/>
        </w:rPr>
        <w:t>截至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202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年度我单位资金无结转结余。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该项指标得分7分。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（2）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单位收入统筹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4分，自评得分4分）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黑水县公务服务中心未有统筹自有收入。该项指标得分4分。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（3）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支出执行进度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6分，自评得分4分）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黑水县公务服务中心1至6月、1至10月预算执行按照实际要求及时支付，完成情况较好，有时由于资料未收集完整，导致拨付进度迟缓，该项指标得分4分。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（4）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预算年终结余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2分，自评得分2分）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黑水县公务服务中心在年底结余资金为0万元。该项指标得分2分。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（5）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严控一般性支出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5分，自评得分5分）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黑水县公务服务中心严控“三公”经费、会议费、培训费、差旅费、办公设备购置、信息网络及软件购置换新严格按照相关制度执行。该项指标得分5分。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3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.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账务管理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10分，自评得分10分）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（1）财务管理制度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4分，自评得分4分）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资金管理办法等管理制度体系健全完善，不存在管理制度缺失、管理办法过期情况。该项指标得分4分。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（2）财务岗位设置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2分，自评得分2分）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财务岗位设置严格按照内控设置，符合相关财务制度要求，合理设置财务工作岗位，明确职责权限，并严格实行不相容岗位分离。该项指标得分2分。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（3）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资金使用规范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4分，自评得分4分）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黑水县公务服务中心部门资金使用严格按照财务管理制度规定、根据各项专项费用使用范围，专款专用。该项指标得分4分。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4.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资产管理。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9分，自评得分9分）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（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）人均资产变化率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3分，自评得分3分）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color w:val="auto"/>
          <w:szCs w:val="32"/>
          <w:highlight w:val="none"/>
          <w:lang w:val="en-US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人均资产变化率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=(期末人均资产-期初人均资产)/期初人均资产*100%。均符合相关规定，低于规定值。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指标分值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分，自评得分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（2）资产利用率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3分，自评得分3分）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</w:rPr>
        <w:t>固定资产在用率。</w:t>
      </w:r>
      <w:r>
        <w:rPr>
          <w:rFonts w:hint="eastAsia" w:cs="Times New Roman"/>
          <w:color w:val="auto"/>
          <w:szCs w:val="32"/>
          <w:highlight w:val="none"/>
          <w:lang w:eastAsia="zh-CN"/>
        </w:rPr>
        <w:t>截至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202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年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12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月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31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日，固定资产总计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258.17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万元，在用的固定资产总计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258.17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万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元，固定资产在用率达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100%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该项指标得分3分。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（3）资产盘活率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3分，自评得分3分）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eastAsia="zh-CN"/>
        </w:rPr>
        <w:t>资产闲置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0万元，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eastAsia="zh-CN"/>
        </w:rPr>
        <w:t>资产盘活率达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100%。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该项指标得分3分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，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采购管理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6分，自评得分6分）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支持中小企业发展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（分值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3分，自评得分3分）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</w:rPr>
        <w:t>采购执行率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采购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eastAsia="zh-CN"/>
        </w:rPr>
        <w:t>执行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规范性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2025年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年度政府采购货物支出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0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万元，政府采购工程支出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0万元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，政府采购服务支出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0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万元。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促进中小企业发展相关管理办法。该项指标得分3分。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（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）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支持中小企业发展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政府采购授予中小企业合同金额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0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万元，其中：授予小微企业合同金额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0</w:t>
      </w:r>
      <w:r>
        <w:rPr>
          <w:rFonts w:hint="eastAsia" w:ascii="Times New Roman" w:hAnsi="Times New Roman" w:cs="Times New Roman"/>
          <w:color w:val="auto"/>
          <w:szCs w:val="32"/>
          <w:highlight w:val="none"/>
        </w:rPr>
        <w:t>万元。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该项指标得分3分。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22" w:firstLineChars="200"/>
        <w:contextualSpacing/>
        <w:jc w:val="left"/>
        <w:textAlignment w:val="auto"/>
        <w:outlineLvl w:val="9"/>
        <w:rPr>
          <w:rFonts w:hint="default" w:ascii="Times New Roman" w:hAnsi="Times New Roman" w:eastAsia="楷体_GB2312" w:cs="Times New Roman"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eastAsia="楷体_GB2312" w:cs="Times New Roman"/>
          <w:b/>
          <w:bCs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（二）部门预算项目绩效分析。</w:t>
      </w:r>
      <w:r>
        <w:rPr>
          <w:rFonts w:hint="eastAsia" w:eastAsia="楷体_GB2312" w:cs="Times New Roman"/>
          <w:b/>
          <w:bCs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指标分值</w:t>
      </w:r>
      <w:r>
        <w:rPr>
          <w:rFonts w:hint="eastAsia" w:eastAsia="楷体_GB2312" w:cs="Times New Roman"/>
          <w:b/>
          <w:bCs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  <w:t>35分，自评得分35分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常年项目绩效分析。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该类项目总数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个，涉及预算总金额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 xml:space="preserve">  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362.35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万元，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1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—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1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月预算执行总体进度为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100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%，其中：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预算结余率大于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10%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的项目共计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0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个。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阶段（一次性）项目绩效分析。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该类项目总数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个，涉及预算总金额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362.35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万元，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1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—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1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月预算执行总体进度为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 xml:space="preserve">100 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/>
        </w:rPr>
        <w:t>%，其中：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预算结余率大于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10%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的项目共计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0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left="0" w:firstLine="720" w:firstLineChars="200"/>
        <w:textAlignment w:val="auto"/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</w:pPr>
      <w:r>
        <w:rPr>
          <w:rFonts w:hint="eastAsia" w:ascii="楷体_GB2312" w:eastAsia="楷体_GB2312" w:cs="楷体_GB2312"/>
          <w:b w:val="0"/>
          <w:bCs w:val="0"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  <w:t>1.</w:t>
      </w:r>
      <w:r>
        <w:rPr>
          <w:rFonts w:hint="eastAsia" w:ascii="楷体_GB2312" w:eastAsia="楷体_GB2312" w:cs="楷体_GB2312"/>
          <w:b w:val="0"/>
          <w:bCs w:val="0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项目决策。</w:t>
      </w:r>
      <w:r>
        <w:rPr>
          <w:rFonts w:ascii="楷体_GB2312" w:eastAsia="楷体_GB2312" w:cs="楷体_GB2312"/>
          <w:b w:val="0"/>
          <w:bCs w:val="0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指标分</w:t>
      </w:r>
      <w:r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值</w:t>
      </w:r>
      <w:r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  <w:t>12</w:t>
      </w:r>
      <w:r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  <w:t>12</w:t>
      </w:r>
      <w:r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决策程序;我中心从项目立项必要性、投入经济性、目标合理性、实施可行性、筹资合规性。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按照厉行节约的要求，结合项目开支情况结合实际需求、相关费用标准及市场价格水平，重点对目标数量是否合理、投入是否经济、预算测算是否准确、测算过程是否详细、测算依据是否充分等方面进行了分析。确定项目实施。指标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分，自评得分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项目入库；我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中心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按照项目建设要求在规定时间完成项目入库。指标分值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分，自评得分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目标设置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: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申报的资金项目内容与具体实施内容相符的、申报目标是合理可行。指标分值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分，自评得分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720" w:firstLineChars="200"/>
        <w:textAlignment w:val="auto"/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</w:pPr>
      <w:r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  <w:t>2.项目执行</w:t>
      </w:r>
      <w:r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。</w:t>
      </w:r>
      <w:r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指标分值</w:t>
      </w:r>
      <w:r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  <w:t>12</w:t>
      </w:r>
      <w:r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  <w:t>12</w:t>
      </w:r>
      <w:r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执行同向：各项目实际列支内容是否与绩效目标设置方向相符。项目组织管理架构及具体实施流程，包括机构设置、监管措施、执行相关管理制度等符合相关规定。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指标分值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分，自评得分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项目调整：按照县委资金分配，设立项目，未调整。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指标分值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分，自评得分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执行结果：资金开支范围、标准及支付进度，支付依据合规合法，资金支付与预算相符。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指标分值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分，自评得分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20" w:firstLineChars="200"/>
        <w:contextualSpacing/>
        <w:jc w:val="left"/>
        <w:textAlignment w:val="auto"/>
        <w:outlineLvl w:val="9"/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</w:pPr>
      <w:r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  <w:t>3.</w:t>
      </w:r>
      <w:r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目标实现。</w:t>
      </w:r>
      <w:r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指标分值</w:t>
      </w:r>
      <w:r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  <w:t>11</w:t>
      </w:r>
      <w:r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en-US" w:eastAsia="zh-CN"/>
        </w:rPr>
        <w:t>11</w:t>
      </w:r>
      <w:r>
        <w:rPr>
          <w:rFonts w:ascii="楷体_GB2312" w:eastAsia="楷体_GB2312" w:cs="楷体_GB2312"/>
          <w:color w:val="auto"/>
          <w:kern w:val="0"/>
          <w:sz w:val="36"/>
          <w:szCs w:val="36"/>
          <w:highlight w:val="none"/>
          <w:shd w:val="clear" w:color="auto" w:fill="FFFFFF"/>
          <w:lang w:val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目标完成：项目从经济、社会、生态、可持续效益以及服务对象满意度等方面科学制定目标任务。</w:t>
      </w:r>
      <w:r>
        <w:rPr>
          <w:rFonts w:hint="eastAsia" w:cs="Times New Roman"/>
          <w:color w:val="auto"/>
          <w:szCs w:val="32"/>
          <w:highlight w:val="none"/>
          <w:lang w:val="zh-CN" w:eastAsia="zh-CN"/>
        </w:rPr>
        <w:t>截至</w:t>
      </w:r>
      <w:bookmarkStart w:id="0" w:name="_GoBack"/>
      <w:bookmarkEnd w:id="0"/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2024年年底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项目按照目标任务完成数量、质量、时效、成本等计划完成目标。指标分值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分，自评得分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目标偏离：预算项目绩效目标数量指标实现程度与预期目标的无偏离情况。各项目实际工作中达到预期的目标或标准，与设定的绩效目标之间不存在差异。指标分值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分，自评得分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实现效果：加快构建全方位、全过程、全覆盖预算绩效管理体系，财政资源配置效率和资金使用效益实现“双提升”。指标分值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分，自评得分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我单位不涉及2025年度国有资本经营预算、社会保险基金预算。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2025年年度政府采购货物支出0万元，政府采购工程支出0万元，政府采购服务支出0万元。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政府采购授予中小企业合同金额0万元，其中：授予小微企业合同金额0万元。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left="0" w:firstLine="640" w:firstLineChars="200"/>
        <w:textAlignment w:val="auto"/>
        <w:rPr>
          <w:rFonts w:hint="eastAsia" w:ascii="Times New Roman" w:hAnsi="Times New Roman" w:eastAsia="楷体_GB2312" w:cs="Times New Roman"/>
          <w:b w:val="0"/>
          <w:bCs w:val="0"/>
          <w:color w:val="auto"/>
          <w:szCs w:val="32"/>
          <w:highlight w:val="none"/>
          <w:lang w:val="zh-CN"/>
        </w:rPr>
      </w:pPr>
      <w:r>
        <w:rPr>
          <w:rFonts w:ascii="Times New Roman" w:hAnsi="Times New Roman" w:eastAsia="楷体_GB2312" w:cs="Times New Roman"/>
          <w:b w:val="0"/>
          <w:bCs w:val="0"/>
          <w:color w:val="auto"/>
          <w:szCs w:val="32"/>
          <w:highlight w:val="none"/>
          <w:lang w:val="zh-CN"/>
        </w:rPr>
        <w:t>绩效结果应用情况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我单位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按要求在规定时间内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在黑水县人民政府信息公开网站上公开了《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黑水县公务服务中心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202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年预算编制说明》</w:t>
      </w:r>
      <w:r>
        <w:rPr>
          <w:rFonts w:hint="eastAsia" w:cs="Times New Roman"/>
          <w:color w:val="auto"/>
          <w:szCs w:val="32"/>
          <w:highlight w:val="none"/>
          <w:lang w:val="zh-CN" w:eastAsia="zh-CN"/>
        </w:rPr>
        <w:t>及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《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黑水县公务服务中心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202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年预算编制说明》。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绩效信息公开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/>
          <w:bCs w:val="0"/>
          <w:color w:val="auto"/>
          <w:szCs w:val="32"/>
          <w:highlight w:val="none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我单位在黑水县政府信息公开网站上公开了《202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年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黑水县公务服务中心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部门决算编制说明》，说明中公开了预算绩效管理工作开展情况，并公开了202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年整体支出绩效报告。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contextualSpacing/>
        <w:jc w:val="left"/>
        <w:textAlignment w:val="auto"/>
        <w:outlineLvl w:val="9"/>
        <w:rPr>
          <w:rFonts w:ascii="Times New Roman" w:hAnsi="Times New Roman" w:eastAsia="黑体" w:cs="Times New Roman"/>
          <w:color w:val="auto"/>
          <w:kern w:val="0"/>
          <w:szCs w:val="32"/>
          <w:highlight w:val="none"/>
          <w:shd w:val="clear" w:color="auto" w:fill="FFFFFF"/>
        </w:rPr>
      </w:pPr>
      <w:r>
        <w:rPr>
          <w:rFonts w:ascii="Times New Roman" w:hAnsi="Times New Roman" w:eastAsia="黑体" w:cs="Times New Roman"/>
          <w:color w:val="auto"/>
          <w:kern w:val="0"/>
          <w:szCs w:val="32"/>
          <w:highlight w:val="none"/>
          <w:shd w:val="clear" w:color="auto" w:fill="FFFFFF"/>
          <w:lang w:eastAsia="zh-CN"/>
        </w:rPr>
        <w:t>四、</w:t>
      </w:r>
      <w:r>
        <w:rPr>
          <w:rFonts w:ascii="Times New Roman" w:hAnsi="Times New Roman" w:eastAsia="黑体" w:cs="Times New Roman"/>
          <w:color w:val="auto"/>
          <w:kern w:val="0"/>
          <w:szCs w:val="32"/>
          <w:highlight w:val="none"/>
          <w:shd w:val="clear" w:color="auto" w:fill="FFFFFF"/>
        </w:rPr>
        <w:t>评价结论及建议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ascii="Times New Roman" w:hAnsi="Times New Roman" w:eastAsia="楷体_GB2312" w:cs="Times New Roman"/>
          <w:b w:val="0"/>
          <w:bCs w:val="0"/>
          <w:color w:val="auto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ascii="Times New Roman" w:hAnsi="Times New Roman" w:eastAsia="楷体_GB2312" w:cs="Times New Roman"/>
          <w:b w:val="0"/>
          <w:bCs w:val="0"/>
          <w:color w:val="auto"/>
          <w:kern w:val="0"/>
          <w:szCs w:val="32"/>
          <w:highlight w:val="none"/>
          <w:shd w:val="clear" w:color="auto" w:fill="FFFFFF"/>
          <w:lang w:val="zh-CN"/>
        </w:rPr>
        <w:t>（一）评价结论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ascii="仿宋" w:eastAsia="仿宋" w:cs="??_GB2312"/>
          <w:color w:val="auto"/>
          <w:szCs w:val="32"/>
          <w:highlight w:val="none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我中心严格对照评分标准，202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年度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公务服务中心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部门整体支出绩效评价自评分数为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97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分（详情见附件）。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contextualSpacing/>
        <w:jc w:val="left"/>
        <w:textAlignment w:val="auto"/>
        <w:outlineLvl w:val="9"/>
        <w:rPr>
          <w:rFonts w:ascii="Times New Roman" w:hAnsi="Times New Roman" w:eastAsia="楷体_GB2312" w:cs="Times New Roman"/>
          <w:b w:val="0"/>
          <w:bCs w:val="0"/>
          <w:color w:val="auto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ascii="Times New Roman" w:hAnsi="Times New Roman" w:eastAsia="楷体_GB2312" w:cs="Times New Roman"/>
          <w:b w:val="0"/>
          <w:bCs w:val="0"/>
          <w:color w:val="auto"/>
          <w:kern w:val="0"/>
          <w:szCs w:val="32"/>
          <w:highlight w:val="none"/>
          <w:shd w:val="clear" w:color="auto" w:fill="FFFFFF"/>
          <w:lang w:val="zh-CN"/>
        </w:rPr>
        <w:t>（二）存在问题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1、预算编制不够精确，财政资金紧张，存在中期调整取消资金的情况。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zh-CN" w:eastAsia="zh-CN"/>
        </w:rPr>
        <w:t>2、因本部门整体支出预算资金的安排及使用上有不可预见性。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contextualSpacing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Cs w:val="32"/>
          <w:highlight w:val="none"/>
          <w:shd w:val="clear" w:color="auto" w:fill="FFFFFF"/>
          <w:lang w:val="zh-CN" w:eastAsia="zh-CN"/>
        </w:rPr>
        <w:t>（三）改进建议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" w:eastAsia="仿宋" w:cs="??_GB2312"/>
          <w:color w:val="auto"/>
          <w:szCs w:val="32"/>
          <w:highlight w:val="none"/>
          <w:lang w:val="en-US" w:eastAsia="zh-CN"/>
        </w:rPr>
      </w:pPr>
      <w:r>
        <w:rPr>
          <w:rFonts w:hint="eastAsia" w:ascii="仿宋" w:eastAsia="仿宋" w:cs="??_GB2312"/>
          <w:color w:val="auto"/>
          <w:szCs w:val="32"/>
          <w:highlight w:val="none"/>
          <w:lang w:val="en-US" w:eastAsia="zh-CN"/>
        </w:rPr>
        <w:t>一是重视绩效管理，切实履行好职责。努力提升工作绩效，围绕财政项目计划安排，合理使用财政资金，让财政监督职责发挥作用。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" w:eastAsia="仿宋" w:cs="??_GB2312"/>
          <w:color w:val="auto"/>
          <w:szCs w:val="32"/>
          <w:highlight w:val="none"/>
          <w:lang w:val="en-US" w:eastAsia="zh-CN"/>
        </w:rPr>
        <w:t>二是建立长效机制。把绩效评价作为部门内控的日常工作，建立绩效评价管理工作考核长效机制。科学设定绩效目标，加强预算执行管理。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color w:val="000000"/>
          <w:kern w:val="0"/>
          <w:szCs w:val="32"/>
          <w:shd w:val="clear" w:color="auto" w:fill="FFFFFF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szCs w:val="32"/>
        </w:rPr>
      </w:pPr>
      <w:r>
        <w:rPr>
          <w:color w:val="000000"/>
          <w:kern w:val="0"/>
          <w:szCs w:val="32"/>
          <w:shd w:val="clear" w:color="auto" w:fill="FFFFFF"/>
        </w:rPr>
        <w:t>附表：</w:t>
      </w:r>
      <w:r>
        <w:rPr>
          <w:rFonts w:hint="eastAsia"/>
          <w:color w:val="000000"/>
          <w:kern w:val="0"/>
          <w:szCs w:val="32"/>
          <w:shd w:val="clear" w:color="auto" w:fill="FFFFFF"/>
        </w:rPr>
        <w:t>1.</w:t>
      </w:r>
      <w:r>
        <w:rPr>
          <w:rFonts w:hint="eastAsia"/>
          <w:szCs w:val="32"/>
        </w:rPr>
        <w:t>部门预算绩效自评打分表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color w:val="000000"/>
          <w:kern w:val="0"/>
          <w:szCs w:val="32"/>
          <w:shd w:val="clear" w:color="auto" w:fill="FFFFFF"/>
        </w:rPr>
      </w:pPr>
      <w:r>
        <w:rPr>
          <w:rFonts w:hint="eastAsia"/>
          <w:szCs w:val="32"/>
        </w:rPr>
        <w:t>2.</w:t>
      </w:r>
      <w:r>
        <w:rPr>
          <w:color w:val="000000"/>
          <w:kern w:val="0"/>
          <w:szCs w:val="32"/>
          <w:shd w:val="clear" w:color="auto" w:fill="FFFFFF"/>
        </w:rPr>
        <w:t>部门整体</w:t>
      </w:r>
      <w:r>
        <w:rPr>
          <w:rFonts w:hint="eastAsia"/>
          <w:color w:val="000000"/>
          <w:kern w:val="0"/>
          <w:szCs w:val="32"/>
          <w:shd w:val="clear" w:color="auto" w:fill="FFFFFF"/>
        </w:rPr>
        <w:t>支出</w:t>
      </w:r>
      <w:r>
        <w:rPr>
          <w:color w:val="000000"/>
          <w:kern w:val="0"/>
          <w:szCs w:val="32"/>
          <w:shd w:val="clear" w:color="auto" w:fill="FFFFFF"/>
        </w:rPr>
        <w:t>绩效目标完成情况自评表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rFonts w:eastAsia="黑体"/>
        </w:rPr>
      </w:pPr>
      <w:r>
        <w:rPr>
          <w:color w:val="000000"/>
          <w:kern w:val="0"/>
          <w:szCs w:val="32"/>
          <w:shd w:val="clear" w:color="auto" w:fill="FFFFFF"/>
        </w:rPr>
        <w:br w:type="page"/>
      </w:r>
    </w:p>
    <w:p>
      <w:pPr>
        <w:spacing w:line="578" w:lineRule="exact"/>
        <w:jc w:val="left"/>
        <w:rPr>
          <w:rFonts w:eastAsia="黑体"/>
        </w:rPr>
      </w:pPr>
      <w:r>
        <w:rPr>
          <w:rFonts w:eastAsia="黑体"/>
        </w:rPr>
        <w:t>附表</w:t>
      </w:r>
      <w:r>
        <w:rPr>
          <w:rFonts w:hint="eastAsia" w:eastAsia="黑体"/>
        </w:rPr>
        <w:t>1</w:t>
      </w:r>
    </w:p>
    <w:p>
      <w:pPr>
        <w:widowControl/>
        <w:spacing w:line="600" w:lineRule="exact"/>
        <w:jc w:val="center"/>
        <w:textAlignment w:val="center"/>
        <w:rPr>
          <w:rFonts w:eastAsia="方正小标宋简体"/>
          <w:color w:val="000000"/>
          <w:kern w:val="0"/>
          <w:sz w:val="44"/>
          <w:szCs w:val="44"/>
        </w:rPr>
      </w:pPr>
      <w:r>
        <w:rPr>
          <w:rFonts w:hint="eastAsia" w:eastAsia="方正小标宋简体"/>
          <w:color w:val="000000"/>
          <w:kern w:val="0"/>
          <w:sz w:val="44"/>
          <w:szCs w:val="44"/>
        </w:rPr>
        <w:t>部门预算绩效自评打分表</w:t>
      </w:r>
    </w:p>
    <w:tbl>
      <w:tblPr>
        <w:tblStyle w:val="13"/>
        <w:tblW w:w="906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35"/>
        <w:gridCol w:w="1539"/>
        <w:gridCol w:w="516"/>
        <w:gridCol w:w="4184"/>
        <w:gridCol w:w="636"/>
        <w:gridCol w:w="51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7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</w:rPr>
              <w:t>绩效评价指标指标分值</w:t>
            </w:r>
          </w:p>
        </w:tc>
        <w:tc>
          <w:tcPr>
            <w:tcW w:w="41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</w:rPr>
              <w:t>指标解释</w:t>
            </w:r>
          </w:p>
        </w:tc>
        <w:tc>
          <w:tcPr>
            <w:tcW w:w="6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</w:rPr>
              <w:t>自评得分</w:t>
            </w:r>
          </w:p>
        </w:tc>
        <w:tc>
          <w:tcPr>
            <w:tcW w:w="51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</w:rPr>
              <w:t>一级指标</w:t>
            </w:r>
          </w:p>
        </w:tc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</w:rPr>
              <w:t>二级指标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</w:rPr>
              <w:t>三级指标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</w:rPr>
              <w:t>指标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</w:rPr>
              <w:t>分值</w:t>
            </w:r>
          </w:p>
        </w:tc>
        <w:tc>
          <w:tcPr>
            <w:tcW w:w="4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黑体" w:hAnsi="宋体" w:eastAsia="黑体" w:cs="黑体"/>
                <w:color w:val="000000"/>
                <w:sz w:val="24"/>
              </w:rPr>
            </w:pPr>
          </w:p>
        </w:tc>
        <w:tc>
          <w:tcPr>
            <w:tcW w:w="6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黑体" w:hAnsi="宋体" w:eastAsia="黑体" w:cs="黑体"/>
                <w:color w:val="000000"/>
                <w:sz w:val="24"/>
              </w:rPr>
            </w:pPr>
          </w:p>
        </w:tc>
        <w:tc>
          <w:tcPr>
            <w:tcW w:w="5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黑体" w:hAnsi="宋体" w:eastAsia="黑体" w:cs="黑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总体绩效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（65分）</w:t>
            </w:r>
          </w:p>
        </w:tc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履职效能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（15分）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预算执行管理</w:t>
            </w:r>
          </w:p>
        </w:tc>
        <w:tc>
          <w:tcPr>
            <w:tcW w:w="516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41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部门整体绩效目标中选定3-5个核心职能目标，反映该项职能目标完成效果情况</w:t>
            </w:r>
          </w:p>
        </w:tc>
        <w:tc>
          <w:tcPr>
            <w:tcW w:w="6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51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8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持续提升财政管理服务水平</w:t>
            </w:r>
          </w:p>
        </w:tc>
        <w:tc>
          <w:tcPr>
            <w:tcW w:w="51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41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6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51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8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强化监督检查</w:t>
            </w:r>
          </w:p>
        </w:tc>
        <w:tc>
          <w:tcPr>
            <w:tcW w:w="51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41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6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51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8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执行中央八项规定精神和党政机关厉行节约</w:t>
            </w:r>
          </w:p>
        </w:tc>
        <w:tc>
          <w:tcPr>
            <w:tcW w:w="5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41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6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5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预算管理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（25分）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预算编制质量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部门是否严格按要求编制年初部门预算，年初预算编制的科学性和准确性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7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单位收入统筹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部门统筹自有收入程度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支出执行进度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部门1至6月、1至10月预算执行情况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预算年终结余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部门整体年终预算结余情况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严控一般性支出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部门严控“三公”经费、会议、培训、差旅、办节办展、办公设备购置、信息网络及软件购置更新、课题经费等8项一般性支出情况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财务管理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（10分）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财务管理制度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部门财务管理制度建立情况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财务岗位设置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部门财务岗位设置是否符合相关财务管理制度要求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资金使用规范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部门资金使用是否符合相关财务管理制度规定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资产管理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（9分）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人均资产变化率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部门人均资产变化情况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资产利用率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部门资产超最低使用年限情况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总体绩效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（65分）</w:t>
            </w:r>
          </w:p>
        </w:tc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资产管理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（9分）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资产盘活率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部门闲置一年以上的资产盘活情况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采购管理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（6分）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支持中小企业发展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部门是否严格执行政府采购促进中小企业发展相关管理办法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采购执行率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部门政府采购项目资金支付比例情况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项目绩效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（35分）</w:t>
            </w:r>
          </w:p>
        </w:tc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项目决策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（12分）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决策程序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部门预算项目设立是否按规定履行评估论证、申报程序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目标设置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部门预算项目绩效目标与计划期内的任务量、预算安排的资金量匹配情况，绩效目标设置是否科学合理、规范完整、量化细化、预算匹配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项目入库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部门预算项目是否在规定时间完成项目入库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项目执行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（12分）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执行同向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部门预算项目实际列支内容是否与绩效目标设置方向相符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项目调整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部门预算项目是否采取对应调整措施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执行结果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部门预算项目预算执行情况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目标实现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（11分）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目标完成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部门预算项目绩效目标数量指标完成情况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目标偏离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部门预算项目绩效目标数量指标实现程度与预期目标的偏离情况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实现效果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部门预算项目绩效目标效益指标实施效果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扣分项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（10分）</w:t>
            </w:r>
          </w:p>
        </w:tc>
        <w:tc>
          <w:tcPr>
            <w:tcW w:w="23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被评价部门配合度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-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被评价对象工作配合情况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600" w:firstLineChars="500"/>
        <w:jc w:val="left"/>
        <w:textAlignment w:val="auto"/>
        <w:rPr>
          <w:rFonts w:eastAsia="黑体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1280" w:firstLineChars="400"/>
        <w:jc w:val="left"/>
        <w:textAlignment w:val="auto"/>
        <w:rPr>
          <w:rFonts w:eastAsia="黑体"/>
        </w:rPr>
      </w:pPr>
      <w:r>
        <w:rPr>
          <w:rFonts w:eastAsia="黑体"/>
        </w:rPr>
        <w:t>附表</w:t>
      </w:r>
      <w:r>
        <w:rPr>
          <w:rFonts w:hint="eastAsia" w:eastAsia="黑体"/>
        </w:rPr>
        <w:t>2</w:t>
      </w:r>
      <w:r>
        <w:rPr>
          <w:rFonts w:eastAsia="黑体"/>
        </w:rPr>
        <w:t>部门整体</w:t>
      </w:r>
      <w:r>
        <w:rPr>
          <w:rFonts w:hint="eastAsia" w:eastAsia="黑体"/>
        </w:rPr>
        <w:t>支出</w:t>
      </w:r>
      <w:r>
        <w:rPr>
          <w:rFonts w:eastAsia="黑体"/>
        </w:rPr>
        <w:t>绩效目标完成情况自评表</w:t>
      </w:r>
    </w:p>
    <w:p>
      <w:pPr>
        <w:spacing w:line="578" w:lineRule="exact"/>
        <w:jc w:val="left"/>
        <w:rPr>
          <w:rFonts w:eastAsia="黑体"/>
        </w:rPr>
      </w:pPr>
    </w:p>
    <w:tbl>
      <w:tblPr>
        <w:tblStyle w:val="13"/>
        <w:tblW w:w="9285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9"/>
        <w:gridCol w:w="963"/>
        <w:gridCol w:w="1064"/>
        <w:gridCol w:w="1244"/>
        <w:gridCol w:w="1475"/>
        <w:gridCol w:w="789"/>
        <w:gridCol w:w="281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92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ind w:firstLine="2710" w:firstLineChars="90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2025年度部门整体绩效目标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部门名称：</w:t>
            </w:r>
          </w:p>
        </w:tc>
        <w:tc>
          <w:tcPr>
            <w:tcW w:w="3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黑水县公务服务中心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单位：万元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年度部门整体预算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资金总额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财政拨款</w:t>
            </w:r>
          </w:p>
        </w:tc>
        <w:tc>
          <w:tcPr>
            <w:tcW w:w="50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其他资金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收入预算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</w:t>
            </w:r>
          </w:p>
        </w:tc>
        <w:tc>
          <w:tcPr>
            <w:tcW w:w="5075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支出预算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935.05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935.05</w:t>
            </w:r>
          </w:p>
        </w:tc>
        <w:tc>
          <w:tcPr>
            <w:tcW w:w="2264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</w:t>
            </w:r>
          </w:p>
        </w:tc>
        <w:tc>
          <w:tcPr>
            <w:tcW w:w="28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0" w:hRule="atLeast"/>
        </w:trPr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457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一）进一步加强公有住房管理：严格按照《黑水县县级机关公有住房管理暂行办法》，切实加强公有住房管理，充分发挥国有资产效益，公平、公正、公开的及时对各部门对腾退公房进行分配，避免公房闲置时间过长，加强对物业的管理，不断优化改善服务环境，督促各单位对本单位公房情况基本了解，联合纪委监委、组织部、公安局因不定时对公房居住情况进行清查，并督促住房职工按时缴纳房租、物管费，对违规使用公房的情况进行通报并严肃处理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二）进一步强办公用房管理。严格按照中央关于办公用房管理的政策要求，督促全县党政机关按新标准规范使用办公用房，严格办公用房管理，及时研究制定腾空办公用房的处置意见，加大办公用房的统筹利用力度，推进办公区域的相对集中和后勤资源的统筹共享。强化机关办公用房的统一集中管理，建立办公用房数据库，力争实现办公用房的数字化管理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（三）进一步加强公务用车管理工作。严格按照州公车领导小组要求，切实做到公车报废更新调剂等工作，及时形成一套程序和模板，扎实开展好党政机关公务用车统计报告工作。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四）进一步推进节能工作。继续深入贯彻落实习近平生态文明思想，积极对接州机关事务管理局工作安排，加强全县各单位的节能意识和业务水平，督促各单位能耗票据填报工作，有效提高一体化平台的熟悉度。增强各下属单位节能降耗负责人工作责任心和业务水平，持续加大宣传力度，加强业务培训活动，争取自主填报意识和填报效率双提升。积极推进绩效考评各项相关工作。抓紧创建新的能耗监测站相关事宜，协调组织各单位高标准、高质量完成节能降耗数据收集工作，进一步加大宣传工作力度，引导广大干部职工切实增强节能观念、自觉养成节能良好习惯，绿色生态可持续发展出一份力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五）进一步强化服务保障工作。一是突出公务接待保障，着力做好县重大会议（活动）及中央、省州领导及各级代表团来指导、检查和考察等接待服务工作。二是突出干部职工周转房服务保障，强化卫生保洁管理，提升服务质量。三是突出会务服务保障，细致周到，争取做到零差错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六）进一步加强后勤自身建设。一是认真贯彻落实国务院《机关事务管理条例》和《四川省机关事务管理办法》，继续深化“法治后勤”建设，建立和完善后勤服务标准和保障制度体系，依法开展后勤服务、保障和管理工作，切实运用法治思维和法治方式解决后勤发展中的难题。二是继续把党建和党风廉政建设放在突出重要的位置，加强党的组织建设。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647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管理效率</w:t>
            </w:r>
          </w:p>
        </w:tc>
        <w:tc>
          <w:tcPr>
            <w:tcW w:w="28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指标实际完成值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9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0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指标参考值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三年均值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2024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财政拨款预算偏离度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82.19%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99.39%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3.13%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单位收入统筹度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预算年终结余率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一般性支出金额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252.91万元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252.91万元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财务管理规范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资产配置预算偏离度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采购执行率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12.08%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12.08%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647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履职效能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指标值（包括数字及文字描述）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各项工作完成及时率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按月进度完成工作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已按月进度完成工作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各项工作完成时间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2025年12月前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2025年12月前已完成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食堂招聘员工人数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食堂招聘员工人数30人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食堂招聘员工人数30人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职工人数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职工人数9人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职工人数9人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发放职工工资保险人数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发放职工工资保险人数9人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发放职工工资保险人数9人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涉及职工食堂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涉及职工食堂4个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涉及职工食堂4个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工资保险完成时间及项目完成时间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2025年12月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2025年12月前已完成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差旅费发放准确率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大于98%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大于98%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提升职工工作效率、营造良好工作环境</w:t>
            </w:r>
          </w:p>
        </w:tc>
        <w:tc>
          <w:tcPr>
            <w:tcW w:w="3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提升职工工作效率、营造良好工作环境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提升职工工作效率、营造良好工作环境</w:t>
            </w:r>
          </w:p>
        </w:tc>
      </w:tr>
    </w:tbl>
    <w:p>
      <w:pPr>
        <w:pStyle w:val="17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8" w:lineRule="exact"/>
        <w:ind w:firstLine="481" w:firstLineChars="200"/>
        <w:jc w:val="center"/>
      </w:pP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">
    <w:altName w:val="仿宋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7"/>
                            <w:ind w:right="451" w:rightChars="141"/>
                            <w:jc w:val="right"/>
                            <w:rPr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t xml:space="preserve"> 6 -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u9gqJIgIAADc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meQrMh36MKmrc+lJit2261vd&#10;2uqITr09UyU4vm5QyoaF+Mg8uIHywff4gEMqi5S2lyiprf/0t/fkj5HBSkkLrpXUYBkoUW8NRplo&#10;OQh+ELaDYPb6zoK8E+yR41nEBx/VIEpv9UcswSrlkEwFBGaGIxsGNYh3EVpvxDJxsVpd9L3zza6+&#10;fgYxHYsb8+R4P+qEXnCrfQTaeQgJszNQGF5SwM48xn6TEv1/1bPXdd+XP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WAAAAZHJzL1BLAQIU&#10;ABQAAAAIAIdO4kCzSVju0AAAAAUBAAAPAAAAAAAAAAEAIAAAADgAAABkcnMvZG93bnJldi54bWxQ&#10;SwECFAAUAAAACACHTuJA7vYKiSICAAA3BAAADgAAAAAAAAABACAAAAA1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ind w:right="451" w:rightChars="141"/>
                      <w:jc w:val="right"/>
                      <w:rPr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t xml:space="preserve"> 6 -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</w:p>
                  <w:p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00D33C"/>
    <w:multiLevelType w:val="singleLevel"/>
    <w:tmpl w:val="1B00D33C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52710CDF"/>
    <w:multiLevelType w:val="singleLevel"/>
    <w:tmpl w:val="52710CDF"/>
    <w:lvl w:ilvl="0" w:tentative="0">
      <w:start w:val="4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false"/>
  <w:bordersDoNotSurroundFooter w:val="false"/>
  <w:documentProtection w:enforcement="0"/>
  <w:defaultTabStop w:val="420"/>
  <w:drawingGridHorizontalSpacing w:val="160"/>
  <w:drawingGridVerticalSpacing w:val="435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174"/>
    <w:rsid w:val="00006E4D"/>
    <w:rsid w:val="00021652"/>
    <w:rsid w:val="00030311"/>
    <w:rsid w:val="00030782"/>
    <w:rsid w:val="00030B66"/>
    <w:rsid w:val="0006102A"/>
    <w:rsid w:val="00065B0F"/>
    <w:rsid w:val="00065E7E"/>
    <w:rsid w:val="000820BB"/>
    <w:rsid w:val="0008241B"/>
    <w:rsid w:val="00092280"/>
    <w:rsid w:val="00097FAE"/>
    <w:rsid w:val="000A3233"/>
    <w:rsid w:val="000A7CE3"/>
    <w:rsid w:val="000B04D6"/>
    <w:rsid w:val="000B15CE"/>
    <w:rsid w:val="000C40C6"/>
    <w:rsid w:val="000C79C1"/>
    <w:rsid w:val="000D208A"/>
    <w:rsid w:val="000E037E"/>
    <w:rsid w:val="000F659A"/>
    <w:rsid w:val="000F77B0"/>
    <w:rsid w:val="0010235D"/>
    <w:rsid w:val="00103A47"/>
    <w:rsid w:val="00106D4D"/>
    <w:rsid w:val="001119A2"/>
    <w:rsid w:val="001221D6"/>
    <w:rsid w:val="0012510A"/>
    <w:rsid w:val="00125F67"/>
    <w:rsid w:val="001261AE"/>
    <w:rsid w:val="001348A4"/>
    <w:rsid w:val="0014117C"/>
    <w:rsid w:val="00146FE8"/>
    <w:rsid w:val="0014767B"/>
    <w:rsid w:val="00147AED"/>
    <w:rsid w:val="00177AAF"/>
    <w:rsid w:val="00183850"/>
    <w:rsid w:val="00184D9F"/>
    <w:rsid w:val="001A4749"/>
    <w:rsid w:val="001A4842"/>
    <w:rsid w:val="001A5833"/>
    <w:rsid w:val="001C2158"/>
    <w:rsid w:val="001C51F2"/>
    <w:rsid w:val="001C73AB"/>
    <w:rsid w:val="001D2EA4"/>
    <w:rsid w:val="001F47CE"/>
    <w:rsid w:val="001F5776"/>
    <w:rsid w:val="0020620D"/>
    <w:rsid w:val="002069BC"/>
    <w:rsid w:val="002069EB"/>
    <w:rsid w:val="002201B0"/>
    <w:rsid w:val="00220900"/>
    <w:rsid w:val="0022307E"/>
    <w:rsid w:val="00224D05"/>
    <w:rsid w:val="002323A3"/>
    <w:rsid w:val="00236EF7"/>
    <w:rsid w:val="0024058A"/>
    <w:rsid w:val="002410C0"/>
    <w:rsid w:val="00252894"/>
    <w:rsid w:val="00253FA6"/>
    <w:rsid w:val="00254728"/>
    <w:rsid w:val="002550E7"/>
    <w:rsid w:val="002558D4"/>
    <w:rsid w:val="002560E2"/>
    <w:rsid w:val="00264CFA"/>
    <w:rsid w:val="00270DD7"/>
    <w:rsid w:val="00276F4A"/>
    <w:rsid w:val="00280BFB"/>
    <w:rsid w:val="00280C88"/>
    <w:rsid w:val="002973A4"/>
    <w:rsid w:val="002A0195"/>
    <w:rsid w:val="002B5B34"/>
    <w:rsid w:val="002B6906"/>
    <w:rsid w:val="002B7215"/>
    <w:rsid w:val="002C0AFD"/>
    <w:rsid w:val="002C59D0"/>
    <w:rsid w:val="002D1A18"/>
    <w:rsid w:val="002D6C79"/>
    <w:rsid w:val="002E1104"/>
    <w:rsid w:val="002E3FDD"/>
    <w:rsid w:val="00300EF4"/>
    <w:rsid w:val="00301353"/>
    <w:rsid w:val="00305FF6"/>
    <w:rsid w:val="00307568"/>
    <w:rsid w:val="00311506"/>
    <w:rsid w:val="00316ADB"/>
    <w:rsid w:val="00317623"/>
    <w:rsid w:val="00335F67"/>
    <w:rsid w:val="003361E9"/>
    <w:rsid w:val="00350A65"/>
    <w:rsid w:val="00361C85"/>
    <w:rsid w:val="00371352"/>
    <w:rsid w:val="00376753"/>
    <w:rsid w:val="0038541D"/>
    <w:rsid w:val="00387818"/>
    <w:rsid w:val="00391A13"/>
    <w:rsid w:val="00391FD0"/>
    <w:rsid w:val="003A44FC"/>
    <w:rsid w:val="003B3299"/>
    <w:rsid w:val="003D10A2"/>
    <w:rsid w:val="003D33B8"/>
    <w:rsid w:val="003D624D"/>
    <w:rsid w:val="003D719A"/>
    <w:rsid w:val="003F5EB7"/>
    <w:rsid w:val="003F7FE2"/>
    <w:rsid w:val="004004E7"/>
    <w:rsid w:val="00416E1A"/>
    <w:rsid w:val="00426A3F"/>
    <w:rsid w:val="004277D4"/>
    <w:rsid w:val="00461638"/>
    <w:rsid w:val="004706FA"/>
    <w:rsid w:val="00474D8D"/>
    <w:rsid w:val="00475CCD"/>
    <w:rsid w:val="00477266"/>
    <w:rsid w:val="004811BC"/>
    <w:rsid w:val="004838F2"/>
    <w:rsid w:val="00486492"/>
    <w:rsid w:val="00492CF6"/>
    <w:rsid w:val="004A4C9D"/>
    <w:rsid w:val="004C2078"/>
    <w:rsid w:val="004C228F"/>
    <w:rsid w:val="004E752F"/>
    <w:rsid w:val="004F1E37"/>
    <w:rsid w:val="00515198"/>
    <w:rsid w:val="00521C44"/>
    <w:rsid w:val="00527206"/>
    <w:rsid w:val="005274E1"/>
    <w:rsid w:val="00531DDF"/>
    <w:rsid w:val="00535FA6"/>
    <w:rsid w:val="00542AB7"/>
    <w:rsid w:val="0055358D"/>
    <w:rsid w:val="005540C8"/>
    <w:rsid w:val="00555809"/>
    <w:rsid w:val="00562165"/>
    <w:rsid w:val="005756AF"/>
    <w:rsid w:val="00575A4A"/>
    <w:rsid w:val="00591B6F"/>
    <w:rsid w:val="005A1DAF"/>
    <w:rsid w:val="005C17C8"/>
    <w:rsid w:val="005C2098"/>
    <w:rsid w:val="005C2E6C"/>
    <w:rsid w:val="005D0CCF"/>
    <w:rsid w:val="005D1C01"/>
    <w:rsid w:val="005E297D"/>
    <w:rsid w:val="005E3F12"/>
    <w:rsid w:val="005F627E"/>
    <w:rsid w:val="0061652E"/>
    <w:rsid w:val="006205E9"/>
    <w:rsid w:val="00622D0B"/>
    <w:rsid w:val="006270DA"/>
    <w:rsid w:val="00630B75"/>
    <w:rsid w:val="00634DFF"/>
    <w:rsid w:val="00635337"/>
    <w:rsid w:val="0064265B"/>
    <w:rsid w:val="0064519C"/>
    <w:rsid w:val="0065082E"/>
    <w:rsid w:val="006512D0"/>
    <w:rsid w:val="006560A3"/>
    <w:rsid w:val="00656301"/>
    <w:rsid w:val="006600C9"/>
    <w:rsid w:val="006701CC"/>
    <w:rsid w:val="00671F58"/>
    <w:rsid w:val="006762A4"/>
    <w:rsid w:val="006900E7"/>
    <w:rsid w:val="006A00A8"/>
    <w:rsid w:val="006A482D"/>
    <w:rsid w:val="006B11E0"/>
    <w:rsid w:val="006B386A"/>
    <w:rsid w:val="006B7CB4"/>
    <w:rsid w:val="006C24D3"/>
    <w:rsid w:val="006C7917"/>
    <w:rsid w:val="006D1F80"/>
    <w:rsid w:val="006E51AE"/>
    <w:rsid w:val="0070081F"/>
    <w:rsid w:val="007018F5"/>
    <w:rsid w:val="00710897"/>
    <w:rsid w:val="00712F45"/>
    <w:rsid w:val="00734305"/>
    <w:rsid w:val="007370E1"/>
    <w:rsid w:val="007732A1"/>
    <w:rsid w:val="00774C4A"/>
    <w:rsid w:val="00782BBB"/>
    <w:rsid w:val="007A0690"/>
    <w:rsid w:val="007A078F"/>
    <w:rsid w:val="007A0985"/>
    <w:rsid w:val="007B34D4"/>
    <w:rsid w:val="007C0633"/>
    <w:rsid w:val="007D086C"/>
    <w:rsid w:val="007F1BE1"/>
    <w:rsid w:val="007F707F"/>
    <w:rsid w:val="007F794C"/>
    <w:rsid w:val="007F7AC9"/>
    <w:rsid w:val="00803B42"/>
    <w:rsid w:val="008073EF"/>
    <w:rsid w:val="0081095C"/>
    <w:rsid w:val="00810C41"/>
    <w:rsid w:val="008212FF"/>
    <w:rsid w:val="0082593B"/>
    <w:rsid w:val="00827537"/>
    <w:rsid w:val="008468EA"/>
    <w:rsid w:val="00867140"/>
    <w:rsid w:val="00881134"/>
    <w:rsid w:val="008904F0"/>
    <w:rsid w:val="008B2F27"/>
    <w:rsid w:val="008B4A72"/>
    <w:rsid w:val="008B585E"/>
    <w:rsid w:val="008E6C0C"/>
    <w:rsid w:val="008F1E63"/>
    <w:rsid w:val="008F3052"/>
    <w:rsid w:val="00901E19"/>
    <w:rsid w:val="009214F7"/>
    <w:rsid w:val="00921CD7"/>
    <w:rsid w:val="00940EB6"/>
    <w:rsid w:val="00944771"/>
    <w:rsid w:val="009601FC"/>
    <w:rsid w:val="00965426"/>
    <w:rsid w:val="0096654A"/>
    <w:rsid w:val="009711E4"/>
    <w:rsid w:val="00971572"/>
    <w:rsid w:val="00981E55"/>
    <w:rsid w:val="00986CEF"/>
    <w:rsid w:val="00987212"/>
    <w:rsid w:val="009A0E5F"/>
    <w:rsid w:val="009F1AF3"/>
    <w:rsid w:val="009F233E"/>
    <w:rsid w:val="00A024AB"/>
    <w:rsid w:val="00A050A5"/>
    <w:rsid w:val="00A05B8B"/>
    <w:rsid w:val="00A1372F"/>
    <w:rsid w:val="00A170EC"/>
    <w:rsid w:val="00A217B3"/>
    <w:rsid w:val="00A23D04"/>
    <w:rsid w:val="00A277D9"/>
    <w:rsid w:val="00A30CEB"/>
    <w:rsid w:val="00A31318"/>
    <w:rsid w:val="00A5432A"/>
    <w:rsid w:val="00A55F8A"/>
    <w:rsid w:val="00A9670E"/>
    <w:rsid w:val="00AA1423"/>
    <w:rsid w:val="00AB7996"/>
    <w:rsid w:val="00AC43C3"/>
    <w:rsid w:val="00AE2EAD"/>
    <w:rsid w:val="00AF77BE"/>
    <w:rsid w:val="00B11CEE"/>
    <w:rsid w:val="00B23428"/>
    <w:rsid w:val="00B264BF"/>
    <w:rsid w:val="00B42E74"/>
    <w:rsid w:val="00B46874"/>
    <w:rsid w:val="00B50E8F"/>
    <w:rsid w:val="00B51151"/>
    <w:rsid w:val="00B523E4"/>
    <w:rsid w:val="00B52B4F"/>
    <w:rsid w:val="00B6108C"/>
    <w:rsid w:val="00B649AD"/>
    <w:rsid w:val="00B64B9C"/>
    <w:rsid w:val="00B67A3E"/>
    <w:rsid w:val="00B735CC"/>
    <w:rsid w:val="00B82C95"/>
    <w:rsid w:val="00B83F87"/>
    <w:rsid w:val="00B84DFD"/>
    <w:rsid w:val="00BB4E38"/>
    <w:rsid w:val="00BC3879"/>
    <w:rsid w:val="00BD0E0D"/>
    <w:rsid w:val="00BD41BC"/>
    <w:rsid w:val="00BD55AD"/>
    <w:rsid w:val="00BE0305"/>
    <w:rsid w:val="00BF15F0"/>
    <w:rsid w:val="00BF7DF9"/>
    <w:rsid w:val="00C03559"/>
    <w:rsid w:val="00C05395"/>
    <w:rsid w:val="00C22AD7"/>
    <w:rsid w:val="00C272C1"/>
    <w:rsid w:val="00C32A68"/>
    <w:rsid w:val="00C34282"/>
    <w:rsid w:val="00C35350"/>
    <w:rsid w:val="00C3564B"/>
    <w:rsid w:val="00C53721"/>
    <w:rsid w:val="00C64D2E"/>
    <w:rsid w:val="00C70F97"/>
    <w:rsid w:val="00C7497C"/>
    <w:rsid w:val="00C757A2"/>
    <w:rsid w:val="00C75966"/>
    <w:rsid w:val="00C76577"/>
    <w:rsid w:val="00C80225"/>
    <w:rsid w:val="00C81349"/>
    <w:rsid w:val="00C93139"/>
    <w:rsid w:val="00CA08A0"/>
    <w:rsid w:val="00CA32D2"/>
    <w:rsid w:val="00CA4E07"/>
    <w:rsid w:val="00CA737D"/>
    <w:rsid w:val="00CB1EF5"/>
    <w:rsid w:val="00CC05D4"/>
    <w:rsid w:val="00CC7166"/>
    <w:rsid w:val="00CF5275"/>
    <w:rsid w:val="00CF6136"/>
    <w:rsid w:val="00D0023D"/>
    <w:rsid w:val="00D006C6"/>
    <w:rsid w:val="00D14A65"/>
    <w:rsid w:val="00D162B9"/>
    <w:rsid w:val="00D251E2"/>
    <w:rsid w:val="00D254F4"/>
    <w:rsid w:val="00D263A7"/>
    <w:rsid w:val="00D26B5D"/>
    <w:rsid w:val="00D33159"/>
    <w:rsid w:val="00D33A19"/>
    <w:rsid w:val="00D355B5"/>
    <w:rsid w:val="00D43DC3"/>
    <w:rsid w:val="00D51791"/>
    <w:rsid w:val="00D5281E"/>
    <w:rsid w:val="00D6531B"/>
    <w:rsid w:val="00D6612D"/>
    <w:rsid w:val="00D71AD9"/>
    <w:rsid w:val="00D73C02"/>
    <w:rsid w:val="00D872ED"/>
    <w:rsid w:val="00D913C6"/>
    <w:rsid w:val="00DA0236"/>
    <w:rsid w:val="00DA5D51"/>
    <w:rsid w:val="00DA5E29"/>
    <w:rsid w:val="00DA61CA"/>
    <w:rsid w:val="00DB66BB"/>
    <w:rsid w:val="00DB73AF"/>
    <w:rsid w:val="00DC2865"/>
    <w:rsid w:val="00DD0894"/>
    <w:rsid w:val="00DE1888"/>
    <w:rsid w:val="00DF1250"/>
    <w:rsid w:val="00DF6EF7"/>
    <w:rsid w:val="00E05454"/>
    <w:rsid w:val="00E074C3"/>
    <w:rsid w:val="00E23329"/>
    <w:rsid w:val="00E24D6D"/>
    <w:rsid w:val="00E341B2"/>
    <w:rsid w:val="00E42633"/>
    <w:rsid w:val="00E5699E"/>
    <w:rsid w:val="00E570E1"/>
    <w:rsid w:val="00E72773"/>
    <w:rsid w:val="00E76739"/>
    <w:rsid w:val="00E81946"/>
    <w:rsid w:val="00E82BB7"/>
    <w:rsid w:val="00E86D13"/>
    <w:rsid w:val="00E936C2"/>
    <w:rsid w:val="00E95346"/>
    <w:rsid w:val="00EA0CEF"/>
    <w:rsid w:val="00EA2E2A"/>
    <w:rsid w:val="00EB79D2"/>
    <w:rsid w:val="00EC0174"/>
    <w:rsid w:val="00ED3EEB"/>
    <w:rsid w:val="00ED5749"/>
    <w:rsid w:val="00ED5FA3"/>
    <w:rsid w:val="00ED68C4"/>
    <w:rsid w:val="00ED6A4E"/>
    <w:rsid w:val="00ED72EA"/>
    <w:rsid w:val="00EE3A4F"/>
    <w:rsid w:val="00EF10C3"/>
    <w:rsid w:val="00EF3BD2"/>
    <w:rsid w:val="00F16BCE"/>
    <w:rsid w:val="00F45DA1"/>
    <w:rsid w:val="00F5267B"/>
    <w:rsid w:val="00F53E8B"/>
    <w:rsid w:val="00F663FD"/>
    <w:rsid w:val="00F743B0"/>
    <w:rsid w:val="00F82409"/>
    <w:rsid w:val="00F8264F"/>
    <w:rsid w:val="00F833E9"/>
    <w:rsid w:val="00F84580"/>
    <w:rsid w:val="00F873DA"/>
    <w:rsid w:val="00F95982"/>
    <w:rsid w:val="00FA006C"/>
    <w:rsid w:val="00FA190E"/>
    <w:rsid w:val="00FA288B"/>
    <w:rsid w:val="00FA2997"/>
    <w:rsid w:val="00FA2C71"/>
    <w:rsid w:val="00FB3345"/>
    <w:rsid w:val="00FB4EB4"/>
    <w:rsid w:val="00FD0228"/>
    <w:rsid w:val="00FD3BB7"/>
    <w:rsid w:val="00FE0D93"/>
    <w:rsid w:val="00FF2572"/>
    <w:rsid w:val="00FF32AD"/>
    <w:rsid w:val="030F7567"/>
    <w:rsid w:val="041F60D6"/>
    <w:rsid w:val="0DC31556"/>
    <w:rsid w:val="0DCD4455"/>
    <w:rsid w:val="10235C35"/>
    <w:rsid w:val="1A3D6143"/>
    <w:rsid w:val="1C013801"/>
    <w:rsid w:val="1C7F9B9E"/>
    <w:rsid w:val="1DFD8D3B"/>
    <w:rsid w:val="1FB79DC9"/>
    <w:rsid w:val="1FBFC3F2"/>
    <w:rsid w:val="1FFFE033"/>
    <w:rsid w:val="24B02F60"/>
    <w:rsid w:val="27F352A6"/>
    <w:rsid w:val="2D527252"/>
    <w:rsid w:val="2DDC1740"/>
    <w:rsid w:val="2EAE55F2"/>
    <w:rsid w:val="2EDF4302"/>
    <w:rsid w:val="2EFE1A04"/>
    <w:rsid w:val="2FFF3854"/>
    <w:rsid w:val="30974B54"/>
    <w:rsid w:val="35BBF80F"/>
    <w:rsid w:val="3B0B3937"/>
    <w:rsid w:val="3B736F08"/>
    <w:rsid w:val="3B7BA6C9"/>
    <w:rsid w:val="3BE3D531"/>
    <w:rsid w:val="3D431A40"/>
    <w:rsid w:val="3E476EBB"/>
    <w:rsid w:val="3EFF42CA"/>
    <w:rsid w:val="3F6FCA38"/>
    <w:rsid w:val="3F9F3E33"/>
    <w:rsid w:val="3FD5AF3D"/>
    <w:rsid w:val="3FFED8BE"/>
    <w:rsid w:val="3FFF43BB"/>
    <w:rsid w:val="3FFF8C20"/>
    <w:rsid w:val="3FFFFC14"/>
    <w:rsid w:val="433DCF8E"/>
    <w:rsid w:val="45FF973D"/>
    <w:rsid w:val="47550EBA"/>
    <w:rsid w:val="48603D60"/>
    <w:rsid w:val="4BF7E09D"/>
    <w:rsid w:val="538F7AA9"/>
    <w:rsid w:val="53BB74FC"/>
    <w:rsid w:val="55FDDF92"/>
    <w:rsid w:val="55FFBC03"/>
    <w:rsid w:val="56CDA72E"/>
    <w:rsid w:val="576F5916"/>
    <w:rsid w:val="577FDAE2"/>
    <w:rsid w:val="57FBE2C7"/>
    <w:rsid w:val="5B335734"/>
    <w:rsid w:val="5B7F322F"/>
    <w:rsid w:val="5BCAB023"/>
    <w:rsid w:val="5BEACB58"/>
    <w:rsid w:val="5CFBB71D"/>
    <w:rsid w:val="5D8649C7"/>
    <w:rsid w:val="5DDA9B94"/>
    <w:rsid w:val="5EAB810D"/>
    <w:rsid w:val="5EFA9846"/>
    <w:rsid w:val="5EFF9DA6"/>
    <w:rsid w:val="5F7751B9"/>
    <w:rsid w:val="5F9F7232"/>
    <w:rsid w:val="5F9F9588"/>
    <w:rsid w:val="5FBD32D2"/>
    <w:rsid w:val="5FD450B0"/>
    <w:rsid w:val="5FEF60CD"/>
    <w:rsid w:val="5FEF6AEC"/>
    <w:rsid w:val="5FFB203D"/>
    <w:rsid w:val="5FFB8CF9"/>
    <w:rsid w:val="63DBAF21"/>
    <w:rsid w:val="655046C0"/>
    <w:rsid w:val="6636451A"/>
    <w:rsid w:val="67DE80AA"/>
    <w:rsid w:val="697E3B47"/>
    <w:rsid w:val="69BF132E"/>
    <w:rsid w:val="6B7F84D8"/>
    <w:rsid w:val="6BFEE5F3"/>
    <w:rsid w:val="6CAFF34E"/>
    <w:rsid w:val="6CFFCF4F"/>
    <w:rsid w:val="6DFFF8B6"/>
    <w:rsid w:val="6E9FE641"/>
    <w:rsid w:val="6EEDE807"/>
    <w:rsid w:val="6EEE4BE4"/>
    <w:rsid w:val="6EF65E9C"/>
    <w:rsid w:val="6F3D33C4"/>
    <w:rsid w:val="6F3D9197"/>
    <w:rsid w:val="6F6F75B6"/>
    <w:rsid w:val="6FAB3EC4"/>
    <w:rsid w:val="6FB6AF41"/>
    <w:rsid w:val="6FD52DA7"/>
    <w:rsid w:val="6FD894C8"/>
    <w:rsid w:val="6FE36A9E"/>
    <w:rsid w:val="6FEFB2D1"/>
    <w:rsid w:val="6FFF97E6"/>
    <w:rsid w:val="71397E03"/>
    <w:rsid w:val="71FB5B08"/>
    <w:rsid w:val="73FB87D9"/>
    <w:rsid w:val="75EF0FBA"/>
    <w:rsid w:val="7607C293"/>
    <w:rsid w:val="76793C4E"/>
    <w:rsid w:val="767B0EE7"/>
    <w:rsid w:val="76A77BD9"/>
    <w:rsid w:val="76DF783A"/>
    <w:rsid w:val="76DFA4E8"/>
    <w:rsid w:val="771F844E"/>
    <w:rsid w:val="778720BD"/>
    <w:rsid w:val="77A7D615"/>
    <w:rsid w:val="77FF366A"/>
    <w:rsid w:val="77FF8C96"/>
    <w:rsid w:val="77FFA8F9"/>
    <w:rsid w:val="7976604B"/>
    <w:rsid w:val="79F3BC78"/>
    <w:rsid w:val="7A5B6CAA"/>
    <w:rsid w:val="7A9314AC"/>
    <w:rsid w:val="7B4F6850"/>
    <w:rsid w:val="7BABD5C4"/>
    <w:rsid w:val="7BB12055"/>
    <w:rsid w:val="7BBFADBA"/>
    <w:rsid w:val="7BF7F9C6"/>
    <w:rsid w:val="7BFF492D"/>
    <w:rsid w:val="7C631402"/>
    <w:rsid w:val="7C978C63"/>
    <w:rsid w:val="7CA35AD0"/>
    <w:rsid w:val="7CDF8BC3"/>
    <w:rsid w:val="7CEB72A5"/>
    <w:rsid w:val="7D18750B"/>
    <w:rsid w:val="7DDFDC39"/>
    <w:rsid w:val="7DFDEECD"/>
    <w:rsid w:val="7E140770"/>
    <w:rsid w:val="7E5D92FB"/>
    <w:rsid w:val="7E635AE7"/>
    <w:rsid w:val="7EF51D64"/>
    <w:rsid w:val="7EFFF488"/>
    <w:rsid w:val="7F574612"/>
    <w:rsid w:val="7F7F4920"/>
    <w:rsid w:val="7F9D05A9"/>
    <w:rsid w:val="7FB7C299"/>
    <w:rsid w:val="7FBFFB92"/>
    <w:rsid w:val="7FD76ACB"/>
    <w:rsid w:val="7FD89DA2"/>
    <w:rsid w:val="7FDBD805"/>
    <w:rsid w:val="7FDEC14D"/>
    <w:rsid w:val="7FDF8B76"/>
    <w:rsid w:val="7FDFE693"/>
    <w:rsid w:val="7FEFB5DD"/>
    <w:rsid w:val="7FEFBBD9"/>
    <w:rsid w:val="7FFD6A57"/>
    <w:rsid w:val="7FFDA7EC"/>
    <w:rsid w:val="7FFDEA1E"/>
    <w:rsid w:val="7FFEC1F6"/>
    <w:rsid w:val="7FFF0917"/>
    <w:rsid w:val="7FFF2F52"/>
    <w:rsid w:val="8F7B4EC8"/>
    <w:rsid w:val="8FBD4480"/>
    <w:rsid w:val="8FF7AE96"/>
    <w:rsid w:val="955F5184"/>
    <w:rsid w:val="9F6311D7"/>
    <w:rsid w:val="9FF54399"/>
    <w:rsid w:val="A46D76C1"/>
    <w:rsid w:val="A7FF43C2"/>
    <w:rsid w:val="ABF66286"/>
    <w:rsid w:val="AD9E3F04"/>
    <w:rsid w:val="ADA70464"/>
    <w:rsid w:val="AFE97CD3"/>
    <w:rsid w:val="B1BF5C63"/>
    <w:rsid w:val="B1FF3A18"/>
    <w:rsid w:val="B3CDF284"/>
    <w:rsid w:val="B3E8107B"/>
    <w:rsid w:val="B579A608"/>
    <w:rsid w:val="B5F66F24"/>
    <w:rsid w:val="B7F5200A"/>
    <w:rsid w:val="BABDA1AA"/>
    <w:rsid w:val="BB1B4BF1"/>
    <w:rsid w:val="BBE5FE68"/>
    <w:rsid w:val="BBFEB9C1"/>
    <w:rsid w:val="BDF7406A"/>
    <w:rsid w:val="BE6FD8DB"/>
    <w:rsid w:val="BEEF57C2"/>
    <w:rsid w:val="BF6CD6FF"/>
    <w:rsid w:val="BF6D5596"/>
    <w:rsid w:val="BFBEBB2C"/>
    <w:rsid w:val="BFC68935"/>
    <w:rsid w:val="BFDD0F1D"/>
    <w:rsid w:val="BFDDD096"/>
    <w:rsid w:val="C5B3F496"/>
    <w:rsid w:val="C96F3E49"/>
    <w:rsid w:val="CBBF14F3"/>
    <w:rsid w:val="CBE5DCF2"/>
    <w:rsid w:val="CCFCC735"/>
    <w:rsid w:val="CEEB8A74"/>
    <w:rsid w:val="D37FB642"/>
    <w:rsid w:val="D7F99798"/>
    <w:rsid w:val="D7FF400C"/>
    <w:rsid w:val="D9DB2628"/>
    <w:rsid w:val="DBED1CD4"/>
    <w:rsid w:val="DBFBB328"/>
    <w:rsid w:val="DDD7453A"/>
    <w:rsid w:val="DE3E1FD7"/>
    <w:rsid w:val="DEBFCF8E"/>
    <w:rsid w:val="DFBE1B79"/>
    <w:rsid w:val="DFCF1FEC"/>
    <w:rsid w:val="DFE75A3D"/>
    <w:rsid w:val="DFED2117"/>
    <w:rsid w:val="DFEF594B"/>
    <w:rsid w:val="DFF3F960"/>
    <w:rsid w:val="DFFE0D61"/>
    <w:rsid w:val="E35C4B3C"/>
    <w:rsid w:val="E3A781CA"/>
    <w:rsid w:val="E5DFAB50"/>
    <w:rsid w:val="E6FC647F"/>
    <w:rsid w:val="EAE6D6D4"/>
    <w:rsid w:val="EBFBC8F1"/>
    <w:rsid w:val="EBFDF757"/>
    <w:rsid w:val="ED758B5D"/>
    <w:rsid w:val="ED76A08D"/>
    <w:rsid w:val="EDBDD81F"/>
    <w:rsid w:val="EDFDB542"/>
    <w:rsid w:val="EF0FCF96"/>
    <w:rsid w:val="EF7F3FF6"/>
    <w:rsid w:val="EF95E20F"/>
    <w:rsid w:val="EFAF7DFF"/>
    <w:rsid w:val="EFAFB283"/>
    <w:rsid w:val="EFBDA38B"/>
    <w:rsid w:val="EFEE9A76"/>
    <w:rsid w:val="F1BF6FBC"/>
    <w:rsid w:val="F1F9A9B5"/>
    <w:rsid w:val="F3779FC2"/>
    <w:rsid w:val="F3D5C239"/>
    <w:rsid w:val="F3F37DF4"/>
    <w:rsid w:val="F3F96DE6"/>
    <w:rsid w:val="F3FBC54A"/>
    <w:rsid w:val="F47BB68A"/>
    <w:rsid w:val="F47F523E"/>
    <w:rsid w:val="F69FD6B0"/>
    <w:rsid w:val="F6BEF9AB"/>
    <w:rsid w:val="F7E7F921"/>
    <w:rsid w:val="F7F7AC6A"/>
    <w:rsid w:val="F7FD93B9"/>
    <w:rsid w:val="F8D9A400"/>
    <w:rsid w:val="FABF64A5"/>
    <w:rsid w:val="FABF7411"/>
    <w:rsid w:val="FBA53981"/>
    <w:rsid w:val="FBE4457E"/>
    <w:rsid w:val="FBFC558A"/>
    <w:rsid w:val="FBFF71AC"/>
    <w:rsid w:val="FBFFEA2B"/>
    <w:rsid w:val="FCCB27AA"/>
    <w:rsid w:val="FCFF8F4B"/>
    <w:rsid w:val="FD9595AD"/>
    <w:rsid w:val="FDDF4F05"/>
    <w:rsid w:val="FDF9DD9A"/>
    <w:rsid w:val="FDFD5427"/>
    <w:rsid w:val="FDFF2821"/>
    <w:rsid w:val="FDFFA696"/>
    <w:rsid w:val="FE6F591C"/>
    <w:rsid w:val="FE7FB02B"/>
    <w:rsid w:val="FEBD0232"/>
    <w:rsid w:val="FED5A77F"/>
    <w:rsid w:val="FEDFD193"/>
    <w:rsid w:val="FEE7097E"/>
    <w:rsid w:val="FEEF8230"/>
    <w:rsid w:val="FEF1F1BE"/>
    <w:rsid w:val="FEF99316"/>
    <w:rsid w:val="FEFB20CB"/>
    <w:rsid w:val="FEFD95B3"/>
    <w:rsid w:val="FEFE4E93"/>
    <w:rsid w:val="FEFFA483"/>
    <w:rsid w:val="FF29B32D"/>
    <w:rsid w:val="FF2E6944"/>
    <w:rsid w:val="FF5F9D52"/>
    <w:rsid w:val="FF7A0B6A"/>
    <w:rsid w:val="FF7B6DC2"/>
    <w:rsid w:val="FF7FFF75"/>
    <w:rsid w:val="FF921F59"/>
    <w:rsid w:val="FFAF540A"/>
    <w:rsid w:val="FFB75E44"/>
    <w:rsid w:val="FFBB1E09"/>
    <w:rsid w:val="FFBB6A0C"/>
    <w:rsid w:val="FFBD894B"/>
    <w:rsid w:val="FFBF33B3"/>
    <w:rsid w:val="FFD09362"/>
    <w:rsid w:val="FFD1DA08"/>
    <w:rsid w:val="FFD54B8A"/>
    <w:rsid w:val="FFD7DEDD"/>
    <w:rsid w:val="FFDE369F"/>
    <w:rsid w:val="FFEF98C9"/>
    <w:rsid w:val="FFEFCE62"/>
    <w:rsid w:val="FFF973B0"/>
    <w:rsid w:val="FFFB4F05"/>
    <w:rsid w:val="FFFEC8F5"/>
    <w:rsid w:val="FFFEFE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spacing w:beforeLines="50" w:line="360" w:lineRule="auto"/>
      <w:ind w:firstLine="480" w:firstLineChars="200"/>
    </w:pPr>
    <w:rPr>
      <w:rFonts w:eastAsia="仿宋"/>
      <w:sz w:val="24"/>
      <w:szCs w:val="23"/>
      <w:lang w:eastAsia="ar-SA"/>
    </w:rPr>
  </w:style>
  <w:style w:type="paragraph" w:styleId="3">
    <w:name w:val="Document Map"/>
    <w:basedOn w:val="1"/>
    <w:link w:val="20"/>
    <w:qFormat/>
    <w:uiPriority w:val="0"/>
    <w:rPr>
      <w:rFonts w:ascii="宋体" w:eastAsia="宋体"/>
      <w:sz w:val="18"/>
      <w:szCs w:val="18"/>
    </w:r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Body Text Indent"/>
    <w:basedOn w:val="1"/>
    <w:qFormat/>
    <w:uiPriority w:val="0"/>
    <w:pPr>
      <w:spacing w:after="120"/>
      <w:ind w:left="200" w:leftChars="200"/>
    </w:pPr>
    <w:rPr>
      <w:rFonts w:ascii="仿宋_GB2312"/>
      <w:szCs w:val="32"/>
    </w:r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22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  <w:szCs w:val="18"/>
    </w:rPr>
  </w:style>
  <w:style w:type="paragraph" w:styleId="9">
    <w:name w:val="toc 1"/>
    <w:basedOn w:val="1"/>
    <w:next w:val="1"/>
    <w:qFormat/>
    <w:uiPriority w:val="0"/>
  </w:style>
  <w:style w:type="paragraph" w:styleId="10">
    <w:name w:val="table of figures"/>
    <w:basedOn w:val="1"/>
    <w:next w:val="1"/>
    <w:unhideWhenUsed/>
    <w:qFormat/>
    <w:uiPriority w:val="99"/>
    <w:pPr>
      <w:ind w:leftChars="200" w:hanging="200" w:hangingChars="200"/>
    </w:p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eastAsia="宋体"/>
      <w:kern w:val="0"/>
      <w:sz w:val="24"/>
    </w:rPr>
  </w:style>
  <w:style w:type="paragraph" w:styleId="12">
    <w:name w:val="Body Text First Indent 2"/>
    <w:basedOn w:val="5"/>
    <w:unhideWhenUsed/>
    <w:qFormat/>
    <w:uiPriority w:val="99"/>
    <w:pPr>
      <w:ind w:firstLine="420" w:firstLineChars="200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page number"/>
    <w:basedOn w:val="15"/>
    <w:qFormat/>
    <w:uiPriority w:val="0"/>
  </w:style>
  <w:style w:type="paragraph" w:customStyle="1" w:styleId="17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8">
    <w:name w:val="四号正文"/>
    <w:basedOn w:val="1"/>
    <w:link w:val="19"/>
    <w:qFormat/>
    <w:uiPriority w:val="0"/>
    <w:pPr>
      <w:spacing w:line="360" w:lineRule="auto"/>
    </w:pPr>
    <w:rPr>
      <w:rFonts w:ascii="??" w:hAnsi="??" w:eastAsia="宋体" w:cs="宋体"/>
      <w:color w:val="000000"/>
      <w:kern w:val="0"/>
      <w:sz w:val="28"/>
      <w:szCs w:val="21"/>
    </w:rPr>
  </w:style>
  <w:style w:type="character" w:customStyle="1" w:styleId="19">
    <w:name w:val="四号正文 Char"/>
    <w:basedOn w:val="15"/>
    <w:link w:val="18"/>
    <w:qFormat/>
    <w:uiPriority w:val="0"/>
    <w:rPr>
      <w:rFonts w:ascii="??" w:hAnsi="??" w:eastAsia="宋体" w:cs="宋体"/>
      <w:color w:val="000000"/>
      <w:sz w:val="28"/>
      <w:szCs w:val="21"/>
      <w:lang w:val="en-US" w:eastAsia="zh-CN" w:bidi="ar-SA"/>
    </w:rPr>
  </w:style>
  <w:style w:type="character" w:customStyle="1" w:styleId="20">
    <w:name w:val="文档结构图 Char"/>
    <w:basedOn w:val="15"/>
    <w:link w:val="3"/>
    <w:qFormat/>
    <w:uiPriority w:val="0"/>
    <w:rPr>
      <w:rFonts w:ascii="宋体"/>
      <w:kern w:val="2"/>
      <w:sz w:val="18"/>
      <w:szCs w:val="18"/>
    </w:rPr>
  </w:style>
  <w:style w:type="paragraph" w:customStyle="1" w:styleId="21">
    <w:name w:val="a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customStyle="1" w:styleId="22">
    <w:name w:val="页脚 Char"/>
    <w:basedOn w:val="15"/>
    <w:link w:val="7"/>
    <w:qFormat/>
    <w:uiPriority w:val="99"/>
    <w:rPr>
      <w:kern w:val="2"/>
      <w:sz w:val="18"/>
      <w:szCs w:val="18"/>
    </w:rPr>
  </w:style>
  <w:style w:type="character" w:customStyle="1" w:styleId="23">
    <w:name w:val="font31"/>
    <w:basedOn w:val="1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4">
    <w:name w:val="font51"/>
    <w:basedOn w:val="15"/>
    <w:qFormat/>
    <w:uiPriority w:val="0"/>
    <w:rPr>
      <w:rFonts w:hint="default" w:ascii="Wingdings 2" w:hAnsi="Wingdings 2" w:eastAsia="Wingdings 2" w:cs="Wingdings 2"/>
      <w:color w:val="000000"/>
      <w:sz w:val="18"/>
      <w:szCs w:val="18"/>
      <w:u w:val="none"/>
    </w:rPr>
  </w:style>
  <w:style w:type="character" w:customStyle="1" w:styleId="25">
    <w:name w:val="font01"/>
    <w:basedOn w:val="15"/>
    <w:qFormat/>
    <w:uiPriority w:val="0"/>
    <w:rPr>
      <w:rFonts w:ascii="宋体" w:hAnsi="宋体" w:eastAsia="宋体" w:cs="宋体"/>
      <w:color w:val="000000"/>
      <w:sz w:val="18"/>
      <w:szCs w:val="18"/>
      <w:u w:val="none"/>
    </w:rPr>
  </w:style>
  <w:style w:type="character" w:customStyle="1" w:styleId="26">
    <w:name w:val="font41"/>
    <w:basedOn w:val="15"/>
    <w:qFormat/>
    <w:uiPriority w:val="0"/>
    <w:rPr>
      <w:rFonts w:ascii="宋体" w:hAnsi="宋体" w:eastAsia="宋体" w:cs="宋体"/>
      <w:color w:val="000000"/>
      <w:sz w:val="18"/>
      <w:szCs w:val="18"/>
      <w:u w:val="none"/>
    </w:rPr>
  </w:style>
  <w:style w:type="character" w:customStyle="1" w:styleId="27">
    <w:name w:val="font11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28">
    <w:name w:val="font2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PSZX</Company>
  <Pages>15</Pages>
  <Words>3830</Words>
  <Characters>4064</Characters>
  <Lines>20</Lines>
  <Paragraphs>5</Paragraphs>
  <TotalTime>13</TotalTime>
  <ScaleCrop>false</ScaleCrop>
  <LinksUpToDate>false</LinksUpToDate>
  <CharactersWithSpaces>4068</CharactersWithSpaces>
  <Application>WPS Office_11.1.0.10161_F1E327BC-269C-435d-A152-05C5408002CA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2019-06-02T19:06:00Z</dcterms:created>
  <dc:creator>陈萍</dc:creator>
  <cp:lastModifiedBy>user</cp:lastModifiedBy>
  <cp:lastPrinted>2026-04-10T11:53:00Z</cp:lastPrinted>
  <dcterms:modified xsi:type="dcterms:W3CDTF">2026-10-13T16:50:35Z</dcterms:modified>
  <dc:title>区域性就业培训基地建设项目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EA0448A1106B0901B2EE4969E222A9A1</vt:lpwstr>
  </property>
  <property fmtid="{D5CDD505-2E9C-101B-9397-08002B2CF9AE}" pid="4" name="KSOTemplateDocerSaveRecord">
    <vt:lpwstr>eyJoZGlkIjoiNmNhNjVkNDBhNjk5OTEwYWQ3MTc0ZmMwYmI0NTA3ZTUiLCJ1c2VySWQiOiIzMDYxNzA1MzYifQ==</vt:lpwstr>
  </property>
</Properties>
</file>