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114300" distR="114300">
            <wp:extent cx="5618480" cy="1132840"/>
            <wp:effectExtent l="0" t="0" r="1270" b="10160"/>
            <wp:docPr id="2" name="图片 1" descr="说明: 红头文件模板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说明: 红头文件模板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spacing w:line="400" w:lineRule="exact"/>
        <w:rPr>
          <w:rFonts w:hint="eastAsia" w:ascii="仿宋_GB2312" w:eastAsia="仿宋_GB2312" w:cs="仿宋_GB2312"/>
          <w:sz w:val="32"/>
          <w:szCs w:val="32"/>
          <w:lang w:bidi="ar-SA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ascii="仿宋_GB2312" w:eastAsia="仿宋_GB2312" w:cs="仿宋_GB2312"/>
          <w:sz w:val="32"/>
          <w:szCs w:val="32"/>
          <w:lang w:bidi="ar-SA"/>
        </w:rPr>
        <w:drawing>
          <wp:inline distT="0" distB="0" distL="114300" distR="114300">
            <wp:extent cx="5598795" cy="38100"/>
            <wp:effectExtent l="0" t="0" r="1905" b="0"/>
            <wp:docPr id="3" name="图片 2" descr="说明: 机关事务局红头文件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说明: 机关事务局红头文件2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879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公务用车购置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  <w:t>预算项目绩效评价报告</w:t>
      </w: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0"/>
        <w:jc w:val="center"/>
        <w:textAlignment w:val="auto"/>
        <w:rPr>
          <w:rFonts w:ascii="宋体" w:hAnsi="宋体"/>
          <w:color w:val="auto"/>
          <w:kern w:val="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hAnsi="宋体" w:eastAsia="黑体"/>
          <w:color w:val="auto"/>
          <w:highlight w:val="none"/>
          <w:lang w:val="zh-CN"/>
        </w:rPr>
      </w:pPr>
      <w:r>
        <w:rPr>
          <w:rFonts w:hint="eastAsia" w:ascii="黑体" w:hAnsi="宋体" w:eastAsia="黑体"/>
          <w:color w:val="auto"/>
          <w:highlight w:val="none"/>
        </w:rPr>
        <w:t>一、</w:t>
      </w:r>
      <w:r>
        <w:rPr>
          <w:rFonts w:hint="eastAsia" w:ascii="黑体" w:hAnsi="宋体" w:eastAsia="黑体"/>
          <w:color w:val="auto"/>
          <w:highlight w:val="none"/>
          <w:lang w:val="zh-CN"/>
        </w:rPr>
        <w:t>项目概况</w:t>
      </w:r>
    </w:p>
    <w:p>
      <w:pPr>
        <w:numPr>
          <w:ilvl w:val="0"/>
          <w:numId w:val="0"/>
        </w:numPr>
        <w:ind w:firstLine="963" w:firstLineChars="3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（一）设立背景及基本情况。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我中心</w:t>
      </w:r>
      <w:r>
        <w:rPr>
          <w:rFonts w:hint="eastAsia" w:ascii="仿宋_GB2312" w:eastAsia="仿宋_GB2312" w:cs="方正仿宋_GBK"/>
          <w:color w:val="auto"/>
          <w:sz w:val="32"/>
          <w:szCs w:val="32"/>
          <w:highlight w:val="none"/>
          <w:lang w:bidi="ar-SA"/>
        </w:rPr>
        <w:t>立足单位职能职责，着力克服工作力量薄弱、市场资源匮乏等困难问题，统筹各方资源、夯实要素保障，为助推全县经济社会发展提供更加坚实的后勤服务保障。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bidi="ar-SA"/>
        </w:rPr>
        <w:t>坚持周密部署，抓实公务接待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机关食堂管理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后勤保障等工作。</w:t>
      </w:r>
    </w:p>
    <w:p>
      <w:pPr>
        <w:pStyle w:val="14"/>
        <w:numPr>
          <w:ilvl w:val="0"/>
          <w:numId w:val="1"/>
        </w:numPr>
        <w:spacing w:line="560" w:lineRule="exact"/>
        <w:ind w:firstLine="642" w:firstLineChars="200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pStyle w:val="14"/>
        <w:numPr>
          <w:ilvl w:val="0"/>
          <w:numId w:val="0"/>
        </w:numPr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</w:pPr>
      <w:r>
        <w:rPr>
          <w:rFonts w:hint="eastAsia" w:ascii="仿宋_GB2312"/>
          <w:color w:val="auto"/>
          <w:highlight w:val="none"/>
          <w:lang w:val="en-US" w:eastAsia="zh-CN"/>
        </w:rPr>
        <w:t>支持黑水县公务用车购置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highlight w:val="none"/>
          <w:lang w:val="en-US" w:eastAsia="zh-CN" w:bidi="ar-SA"/>
        </w:rPr>
        <w:t>。</w:t>
      </w:r>
      <w:r>
        <w:rPr>
          <w:rFonts w:hint="eastAsia" w:ascii="仿宋_GB2312" w:cs="方正仿宋_GBK"/>
          <w:color w:val="auto"/>
          <w:sz w:val="32"/>
          <w:szCs w:val="32"/>
          <w:highlight w:val="none"/>
          <w:lang w:val="en-US" w:eastAsia="zh-CN" w:bidi="ar-SA"/>
        </w:rPr>
        <w:t>县级资金24.98万元。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2" w:firstLineChars="200"/>
        <w:contextualSpacing/>
        <w:jc w:val="left"/>
        <w:textAlignment w:val="auto"/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default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预算安排及分配管理</w:t>
      </w:r>
      <w:r>
        <w:rPr>
          <w:rFonts w:hint="eastAsia" w:ascii="楷体_GB2312" w:hAnsi="宋体" w:eastAsia="楷体_GB2312" w:cs="Times New Roman"/>
          <w:b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县级资金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下达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2025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年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黑水县公务服务中心公务用车购置</w:t>
      </w:r>
      <w:r>
        <w:rPr>
          <w:rFonts w:hint="eastAsia" w:ascii="仿宋_GB2312"/>
          <w:color w:val="auto"/>
          <w:highlight w:val="none"/>
          <w:lang w:val="en-US" w:eastAsia="zh-CN"/>
        </w:rPr>
        <w:t>经费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24.98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 w:bidi="ar-SA"/>
        </w:rPr>
        <w:t>万元。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/>
        </w:rPr>
      </w:pPr>
    </w:p>
    <w:p>
      <w:pPr>
        <w:numPr>
          <w:ilvl w:val="0"/>
          <w:numId w:val="0"/>
        </w:numPr>
        <w:ind w:firstLine="642" w:firstLineChars="200"/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 w:eastAsia="zh-CN"/>
        </w:rPr>
        <w:t>（四）项目绩效目标设置。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中心</w:t>
      </w:r>
      <w:r>
        <w:rPr>
          <w:rFonts w:hint="eastAsia" w:ascii="仿宋_GB2312" w:eastAsia="仿宋_GB2312" w:cs="方正仿宋_GBK"/>
          <w:sz w:val="32"/>
          <w:szCs w:val="32"/>
          <w:lang w:bidi="ar-SA"/>
        </w:rPr>
        <w:t>立足单位职能职责，着力克服工作力量薄弱、市场资源匮乏等困难问题，统筹各方资源、夯实要素保障，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发挥中心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后勤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管理职责，做好</w:t>
      </w:r>
      <w:r>
        <w:rPr>
          <w:rFonts w:hint="eastAsia" w:ascii="仿宋_GB2312" w:cs="方正仿宋_GBK"/>
          <w:sz w:val="32"/>
          <w:szCs w:val="32"/>
          <w:lang w:val="en-US" w:eastAsia="zh-CN" w:bidi="ar-SA"/>
        </w:rPr>
        <w:t>办公区</w:t>
      </w:r>
      <w:r>
        <w:rPr>
          <w:rFonts w:hint="eastAsia" w:ascii="仿宋_GB2312" w:hAnsi="Times New Roman" w:eastAsia="仿宋_GB2312" w:cs="方正仿宋_GBK"/>
          <w:sz w:val="32"/>
          <w:szCs w:val="32"/>
          <w:lang w:val="en-US" w:eastAsia="zh-CN" w:bidi="ar-SA"/>
        </w:rPr>
        <w:t>日常运转</w:t>
      </w:r>
      <w:r>
        <w:rPr>
          <w:rFonts w:hint="eastAsia" w:ascii="仿宋_GB2312" w:hAnsi="Times New Roman" w:cs="方正仿宋_GBK"/>
          <w:sz w:val="32"/>
          <w:szCs w:val="32"/>
          <w:lang w:val="en-US" w:eastAsia="zh-CN" w:bidi="ar-SA"/>
        </w:rPr>
        <w:t>、</w:t>
      </w:r>
      <w:r>
        <w:rPr>
          <w:rFonts w:hint="eastAsia" w:ascii="仿宋_GB2312" w:eastAsia="仿宋_GB2312" w:cs="方正仿宋_GBK"/>
          <w:sz w:val="32"/>
          <w:szCs w:val="32"/>
          <w:lang w:val="en-US" w:eastAsia="zh-CN" w:bidi="ar-SA"/>
        </w:rPr>
        <w:t>后勤保障工作。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960" w:firstLineChars="300"/>
        <w:textAlignment w:val="auto"/>
        <w:outlineLvl w:val="9"/>
        <w:rPr>
          <w:rFonts w:hint="eastAsia" w:ascii="黑体" w:hAnsi="宋体" w:eastAsia="黑体"/>
          <w:color w:val="auto"/>
          <w:highlight w:val="none"/>
          <w:lang w:eastAsia="zh-CN"/>
        </w:rPr>
      </w:pPr>
      <w:r>
        <w:rPr>
          <w:rFonts w:hint="eastAsia" w:ascii="黑体" w:hAnsi="宋体" w:eastAsia="黑体"/>
          <w:color w:val="auto"/>
          <w:highlight w:val="none"/>
        </w:rPr>
        <w:t>二、</w:t>
      </w:r>
      <w:r>
        <w:rPr>
          <w:rFonts w:hint="eastAsia" w:ascii="黑体" w:hAnsi="宋体" w:eastAsia="黑体"/>
          <w:color w:val="auto"/>
          <w:highlight w:val="none"/>
          <w:lang w:eastAsia="zh-CN"/>
        </w:rPr>
        <w:t>评价实施</w:t>
      </w:r>
    </w:p>
    <w:p>
      <w:pPr>
        <w:adjustRightInd w:val="0"/>
        <w:snapToGrid w:val="0"/>
        <w:spacing w:line="578" w:lineRule="exact"/>
        <w:ind w:firstLine="642" w:firstLineChars="200"/>
        <w:rPr>
          <w:rFonts w:eastAsia="仿宋_GB2312" w:cs="Times New Roman"/>
          <w:color w:val="auto"/>
          <w:szCs w:val="32"/>
          <w:highlight w:val="none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（一）评价目的。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为了进一步规范和加强预算绩效管理和专项资金管理，为项目设立和预算安排提供重要参考依据，提高预算编制科学性、合理性，优化财政支出结构，从源头上防控财政资源配置的低效无效，提高财政资源配置效率和财政资金使用效益，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印发《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阿坝州财政局关于开展202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年州级部门绩效自评工作的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通知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》（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阿州财监绩〔202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〕</w:t>
      </w:r>
      <w:r>
        <w:rPr>
          <w:rFonts w:hint="eastAsia" w:cs="Times New Roman"/>
          <w:color w:val="auto"/>
          <w:kern w:val="0"/>
          <w:szCs w:val="28"/>
          <w:highlight w:val="none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val="en-US" w:eastAsia="zh-CN"/>
        </w:rPr>
        <w:t>号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），要求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各部门（单位）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按照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  <w:lang w:eastAsia="zh-CN"/>
        </w:rPr>
        <w:t>州财政局</w:t>
      </w:r>
      <w:r>
        <w:rPr>
          <w:rFonts w:hint="eastAsia" w:ascii="Times New Roman" w:hAnsi="Times New Roman" w:cs="Times New Roman"/>
          <w:color w:val="auto"/>
          <w:kern w:val="0"/>
          <w:szCs w:val="28"/>
          <w:highlight w:val="none"/>
        </w:rPr>
        <w:t>制定的相关制度办法和共性绩效指标框架，建立涵盖项目决策、项目管理、项目实施、项目结果、民生保障五个板块，覆盖所有管理对象，贯穿绩效目标管理、事前评估、事中监控、事后评价以及绩效结果应用全过程的本部门的具体措施、实施细则和指标体系，形成全州全面实施预算绩效管理制度体系格局。通过本次评价总结经验，发现问题，提出改进建议，进一步提升加强项目支出绩效管理水平、提升预算管理水平、提升项目管理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eastAsia="仿宋_GB2312" w:cs="Times New Roman"/>
          <w:color w:val="auto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642" w:firstLineChars="200"/>
        <w:textAlignment w:val="auto"/>
        <w:outlineLvl w:val="9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预设问题及评价重点。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left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</w:t>
      </w:r>
      <w:r>
        <w:rPr>
          <w:rFonts w:hint="eastAsia" w:cs="Times New Roman"/>
          <w:szCs w:val="32"/>
          <w:lang w:val="en-US" w:eastAsia="zh-CN"/>
        </w:rPr>
        <w:t>挤占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>
      <w:pPr>
        <w:adjustRightInd w:val="0"/>
        <w:snapToGrid w:val="0"/>
        <w:spacing w:line="578" w:lineRule="exact"/>
        <w:ind w:firstLine="642" w:firstLineChars="200"/>
        <w:rPr>
          <w:rFonts w:ascii="楷体_GB2312" w:hAnsi="宋体" w:eastAsia="楷体_GB2312"/>
          <w:b/>
          <w:color w:val="auto"/>
          <w:highlight w:val="none"/>
          <w:lang w:val="zh-CN"/>
        </w:rPr>
      </w:pPr>
    </w:p>
    <w:p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firstLine="321" w:firstLineChars="10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（三）评价选点。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28"/>
          <w:highlight w:val="none"/>
          <w:lang w:val="en-US" w:eastAsia="zh-CN" w:bidi="ar-SA"/>
        </w:rPr>
        <w:t>黑水县公务服务中心公务用车购置主要开展工作地点为黑水县，本次绩效评价主体为县财政局，项目不涉及其他点位。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2" w:firstLineChars="200"/>
        <w:textAlignment w:val="auto"/>
        <w:outlineLvl w:val="9"/>
        <w:rPr>
          <w:rFonts w:hint="eastAsia" w:eastAsia="仿宋_GB2312" w:cs="Times New Roman"/>
          <w:color w:val="auto"/>
          <w:szCs w:val="32"/>
          <w:highlight w:val="none"/>
          <w:lang w:eastAsia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（四）评价方法。</w:t>
      </w:r>
      <w:r>
        <w:rPr>
          <w:rFonts w:eastAsia="仿宋_GB2312" w:cs="Times New Roman"/>
          <w:color w:val="auto"/>
          <w:szCs w:val="32"/>
          <w:highlight w:val="none"/>
        </w:rPr>
        <w:t>单位自评法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。</w:t>
      </w:r>
    </w:p>
    <w:p>
      <w:pPr>
        <w:adjustRightInd w:val="0"/>
        <w:snapToGrid w:val="0"/>
        <w:spacing w:line="578" w:lineRule="exact"/>
        <w:ind w:firstLine="642" w:firstLineChars="200"/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hAnsi="宋体" w:eastAsia="楷体_GB2312"/>
          <w:b/>
          <w:color w:val="auto"/>
          <w:sz w:val="32"/>
          <w:szCs w:val="32"/>
          <w:highlight w:val="none"/>
          <w:u w:val="none"/>
          <w:lang w:val="zh-CN"/>
        </w:rPr>
        <w:t>（五）评价组织。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1</w:t>
      </w:r>
      <w:r>
        <w:rPr>
          <w:rFonts w:hint="eastAsia"/>
          <w:color w:val="auto"/>
          <w:kern w:val="0"/>
          <w:szCs w:val="28"/>
          <w:highlight w:val="none"/>
        </w:rPr>
        <w:t>.</w:t>
      </w:r>
      <w:r>
        <w:rPr>
          <w:color w:val="auto"/>
          <w:kern w:val="0"/>
          <w:szCs w:val="28"/>
          <w:highlight w:val="none"/>
        </w:rPr>
        <w:t>办公室职责：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提出</w:t>
      </w: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本单位</w:t>
      </w:r>
      <w:r>
        <w:rPr>
          <w:color w:val="auto"/>
          <w:kern w:val="0"/>
          <w:szCs w:val="28"/>
          <w:highlight w:val="none"/>
        </w:rPr>
        <w:t>管理绩效评价的工作方案，并负责具体组织实施。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综合评价信息，提出评价结果</w:t>
      </w:r>
      <w:r>
        <w:rPr>
          <w:rFonts w:hint="eastAsia"/>
          <w:color w:val="auto"/>
          <w:kern w:val="0"/>
          <w:szCs w:val="28"/>
          <w:highlight w:val="none"/>
          <w:lang w:eastAsia="zh-CN"/>
        </w:rPr>
        <w:t>等</w:t>
      </w:r>
      <w:r>
        <w:rPr>
          <w:color w:val="auto"/>
          <w:kern w:val="0"/>
          <w:szCs w:val="28"/>
          <w:highlight w:val="none"/>
        </w:rPr>
        <w:t>次认定方案及奖惩方案等。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负责绩效评价的日常工作，包括宣传、沟通、协调等。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（4）</w:t>
      </w:r>
      <w:r>
        <w:rPr>
          <w:color w:val="auto"/>
          <w:kern w:val="0"/>
          <w:szCs w:val="28"/>
          <w:highlight w:val="none"/>
        </w:rPr>
        <w:t>根据评价结果撰写绩效评价报告，并递交给领导小组。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  <w:lang w:val="en-US" w:eastAsia="zh-CN"/>
        </w:rPr>
        <w:t>2</w:t>
      </w:r>
      <w:r>
        <w:rPr>
          <w:color w:val="auto"/>
          <w:kern w:val="0"/>
          <w:szCs w:val="28"/>
          <w:highlight w:val="none"/>
        </w:rPr>
        <w:t>具体执行人员职责：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（1）</w:t>
      </w:r>
      <w:r>
        <w:rPr>
          <w:color w:val="auto"/>
          <w:kern w:val="0"/>
          <w:szCs w:val="28"/>
          <w:highlight w:val="none"/>
        </w:rPr>
        <w:t>组长：审批绩效自评方案，监督、检查、核实绩效自评结果。</w:t>
      </w:r>
    </w:p>
    <w:p>
      <w:pPr>
        <w:adjustRightInd w:val="0"/>
        <w:snapToGrid w:val="0"/>
        <w:spacing w:line="578" w:lineRule="exact"/>
        <w:ind w:firstLine="640" w:firstLineChars="200"/>
        <w:rPr>
          <w:color w:val="auto"/>
          <w:kern w:val="0"/>
          <w:szCs w:val="28"/>
          <w:highlight w:val="none"/>
        </w:rPr>
      </w:pPr>
      <w:r>
        <w:rPr>
          <w:rFonts w:hint="eastAsia"/>
          <w:color w:val="auto"/>
          <w:kern w:val="0"/>
          <w:szCs w:val="28"/>
          <w:highlight w:val="none"/>
        </w:rPr>
        <w:t>（2）</w:t>
      </w:r>
      <w:r>
        <w:rPr>
          <w:color w:val="auto"/>
          <w:kern w:val="0"/>
          <w:szCs w:val="28"/>
          <w:highlight w:val="none"/>
        </w:rPr>
        <w:t>副组长：审核修改拟定的绩效自评方案，并提交考评工作组会议讨论通过；监督、部署、确认绩效自评过程及反馈意见的处理。</w:t>
      </w:r>
    </w:p>
    <w:p>
      <w:pPr>
        <w:adjustRightInd w:val="0"/>
        <w:snapToGrid w:val="0"/>
        <w:spacing w:line="578" w:lineRule="exact"/>
        <w:ind w:firstLine="640" w:firstLineChars="200"/>
        <w:rPr>
          <w:rFonts w:hint="eastAsia" w:eastAsia="仿宋_GB2312" w:cs="Times New Roman"/>
          <w:bCs/>
          <w:color w:val="auto"/>
          <w:highlight w:val="yellow"/>
          <w:lang w:eastAsia="zh-CN"/>
        </w:rPr>
      </w:pPr>
      <w:r>
        <w:rPr>
          <w:rFonts w:hint="eastAsia"/>
          <w:color w:val="auto"/>
          <w:kern w:val="0"/>
          <w:szCs w:val="28"/>
          <w:highlight w:val="none"/>
        </w:rPr>
        <w:t>（3）</w:t>
      </w:r>
      <w:r>
        <w:rPr>
          <w:color w:val="auto"/>
          <w:kern w:val="0"/>
          <w:szCs w:val="28"/>
          <w:highlight w:val="none"/>
        </w:rPr>
        <w:t>小组成员：起草和修改绩效考评方案报自评领导工作组会议讨论通过，实施执行绩效自评方案；牵头组织并实施年度绩效自评，根据组长、副组长指示，对考评结果进行复核，完成绩效自核工作组安排的其他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 w:hAnsi="宋体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 w:hAnsi="宋体"/>
          <w:color w:val="auto"/>
          <w:sz w:val="32"/>
          <w:szCs w:val="32"/>
          <w:highlight w:val="none"/>
          <w:u w:val="none"/>
          <w:lang w:val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52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 w:firstLineChars="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项目决策。指标分值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项目设立、调整延续等方面符合资金管理基本规范和决策程序要求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项目规划论证符合中央、省委要求，项目绩效目标设置科学合理，项目资金与项目总体规划、相关行业事业发展相匹配，聚焦重大任务、重点领域、重点环节和重点项目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：项目资金是与项目总体规划、相关行业事业发展相匹配，聚焦重大任务、重点领域、重点环节和重点项目。体现“集中</w:t>
      </w:r>
      <w:r>
        <w:rPr>
          <w:rFonts w:hint="eastAsia" w:cs="Times New Roman"/>
          <w:color w:val="auto"/>
          <w:szCs w:val="32"/>
          <w:lang w:val="en-US" w:eastAsia="zh-CN"/>
        </w:rPr>
        <w:t>力量</w:t>
      </w:r>
      <w:r>
        <w:rPr>
          <w:rFonts w:hint="eastAsia" w:cs="Times New Roman"/>
          <w:color w:val="auto"/>
          <w:szCs w:val="32"/>
          <w:lang w:eastAsia="zh-CN"/>
        </w:rPr>
        <w:t>办大事”原则，避免“撒胡椒面”。指标分值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项目管理。指标分值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18分，自评得分16分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制度办法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项目制度办法体系健全、要素完备</w:t>
      </w:r>
      <w:r>
        <w:rPr>
          <w:rFonts w:hint="eastAsia" w:cs="Times New Roman"/>
          <w:color w:val="auto"/>
          <w:szCs w:val="32"/>
          <w:lang w:val="en-US" w:eastAsia="zh-CN"/>
        </w:rPr>
        <w:t>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eastAsia="zh-CN"/>
        </w:rPr>
        <w:t>绩效监管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3.项目实施。指标分值9分，自评得分9分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预算执行:</w:t>
      </w:r>
      <w:r>
        <w:rPr>
          <w:rFonts w:hint="eastAsia" w:cs="Times New Roman"/>
          <w:color w:val="auto"/>
          <w:szCs w:val="32"/>
          <w:lang w:val="en-US" w:eastAsia="zh-CN"/>
        </w:rPr>
        <w:t>项目预算资金24.89万元，支付24.89万元。指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Cs w:val="32"/>
          <w:lang w:val="en-US" w:eastAsia="zh-CN"/>
        </w:rPr>
        <w:t>资金使用</w:t>
      </w: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:项</w:t>
      </w:r>
      <w:r>
        <w:rPr>
          <w:rFonts w:hint="eastAsia" w:cs="Times New Roman"/>
          <w:color w:val="auto"/>
          <w:szCs w:val="32"/>
          <w:lang w:val="en-US" w:eastAsia="zh-CN"/>
        </w:rPr>
        <w:t>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Cs w:val="32"/>
          <w:lang w:val="en-US" w:eastAsia="zh-CN"/>
        </w:rPr>
        <w:t>4.项目结果。指标分值9分，自评得分9分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r>
        <w:rPr>
          <w:rFonts w:hint="eastAsia" w:cs="Times New Roman"/>
          <w:color w:val="auto"/>
          <w:szCs w:val="32"/>
          <w:lang w:val="en-US" w:eastAsia="zh-CN"/>
        </w:rPr>
        <w:t>截至2025年底完成项目资金拨付。指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2" w:firstLineChars="200"/>
        <w:textAlignment w:val="auto"/>
        <w:outlineLvl w:val="9"/>
        <w:rPr>
          <w:rFonts w:hint="eastAsia" w:ascii="楷体_GB2312" w:hAnsi="楷体_GB2312" w:eastAsia="楷体_GB2312" w:cs="楷体_GB2312"/>
          <w:color w:val="auto"/>
          <w:szCs w:val="32"/>
          <w:lang w:val="zh-CN" w:eastAsia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</w:pPr>
      <w:bookmarkStart w:id="0" w:name="OLE_LINK1"/>
      <w:bookmarkStart w:id="1" w:name="OLE_LINK4"/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该项目为</w:t>
      </w:r>
      <w:r>
        <w:rPr>
          <w:rFonts w:hint="eastAsia" w:ascii="仿宋_GB2312" w:hAnsi="宋体" w:eastAsia="仿宋_GB2312" w:cs="Times New Roman"/>
          <w:sz w:val="32"/>
          <w:szCs w:val="32"/>
          <w:lang w:val="zh-CN" w:eastAsia="zh-CN"/>
        </w:rPr>
        <w:t>行政运转。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：该项目按规定用途、适用范围进行本地区专项资金分配。指标分值10分，自评的分10分。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仿宋_GB2312" w:hAnsi="宋体" w:cs="Times New Roman"/>
          <w:sz w:val="32"/>
          <w:szCs w:val="32"/>
          <w:lang w:val="en-US" w:eastAsia="zh-CN"/>
        </w:rPr>
        <w:t>程序合规性：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从项目的申请、执行以及如何执行、资金如何使用等方面均出台文件，并制定了相关的制度、方案、办法等。如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黑水县公务接待管理办法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黑水县公务服务中心机关伙食团管理办法、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内部管理制度、黑水县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收支业务管理制度、黑水县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公务服务中心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财政专项资金管理办法。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zh-CN" w:eastAsia="zh-CN"/>
        </w:rPr>
        <w:t>标准合规性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8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  <w:bookmarkEnd w:id="0"/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hAnsi="宋体" w:eastAsia="楷体_GB2312" w:cs="Times New Roman"/>
          <w:b/>
          <w:color w:val="auto"/>
          <w:sz w:val="32"/>
          <w:szCs w:val="32"/>
          <w:highlight w:val="none"/>
          <w:u w:val="none"/>
          <w:lang w:val="en-US" w:eastAsia="zh-CN"/>
        </w:rPr>
        <w:t>（三）个性指标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textAlignment w:val="auto"/>
        <w:outlineLvl w:val="9"/>
        <w:rPr>
          <w:rFonts w:hint="default" w:ascii="Times New Roman" w:hAnsi="Times New Roman" w:cs="Times New Roman"/>
          <w:color w:val="auto"/>
          <w:szCs w:val="32"/>
          <w:lang w:val="en-US" w:eastAsia="zh-CN"/>
        </w:rPr>
      </w:pPr>
      <w:bookmarkStart w:id="2" w:name="OLE_LINK3"/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我单位在规定时间内做好</w:t>
      </w:r>
      <w:r>
        <w:rPr>
          <w:rFonts w:hint="eastAsia" w:cs="Times New Roman"/>
          <w:color w:val="auto"/>
          <w:szCs w:val="32"/>
          <w:lang w:val="en-US" w:eastAsia="zh-CN"/>
        </w:rPr>
        <w:t>该笔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经费个性化绩效评价指标具有特定的针对性，</w:t>
      </w:r>
      <w:r>
        <w:rPr>
          <w:rFonts w:hint="eastAsia" w:cs="Times New Roman"/>
          <w:color w:val="auto"/>
          <w:szCs w:val="32"/>
          <w:lang w:val="en-US" w:eastAsia="zh-CN"/>
        </w:rPr>
        <w:t>完成日常维修工作。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为干部</w:t>
      </w:r>
      <w:r>
        <w:rPr>
          <w:rFonts w:hint="eastAsia" w:cs="Times New Roman"/>
          <w:color w:val="auto"/>
          <w:szCs w:val="32"/>
          <w:lang w:val="en-US" w:eastAsia="zh-CN"/>
        </w:rPr>
        <w:t>职工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提供后勤保障。</w:t>
      </w:r>
    </w:p>
    <w:bookmarkEnd w:id="2"/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hAnsi="宋体" w:eastAsia="黑体"/>
          <w:color w:val="auto"/>
          <w:sz w:val="32"/>
          <w:szCs w:val="32"/>
          <w:highlight w:val="none"/>
          <w:u w:val="none"/>
        </w:rPr>
        <w:t>、评价结论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ind w:firstLine="640" w:firstLineChars="200"/>
        <w:textAlignment w:val="auto"/>
        <w:rPr>
          <w:rFonts w:hint="default" w:ascii="仿宋_GB2312" w:hAnsi="仿宋_GB2312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Times New Roman"/>
          <w:color w:val="auto"/>
          <w:sz w:val="32"/>
          <w:szCs w:val="32"/>
          <w:highlight w:val="none"/>
        </w:rPr>
        <w:t>从整体情况来看，我单位在各资金使用和项目实施中，能够按照国家相关规定执行和实施，项目的管理、实施和效果均达到预期目的，管理较规范，实施进度快，最终效果好。</w:t>
      </w:r>
      <w:bookmarkStart w:id="3" w:name="OLE_LINK2"/>
      <w:r>
        <w:rPr>
          <w:rFonts w:hint="eastAsia" w:ascii="仿宋_GB2312" w:hAnsi="仿宋_GB2312" w:cs="Times New Roman"/>
          <w:color w:val="auto"/>
          <w:sz w:val="32"/>
          <w:szCs w:val="32"/>
          <w:highlight w:val="none"/>
          <w:lang w:val="en-US" w:eastAsia="zh-CN"/>
        </w:rPr>
        <w:t>该项目自评得分98分。</w:t>
      </w:r>
      <w:bookmarkEnd w:id="3"/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hAnsi="宋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hAnsi="宋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项目经费使用严格按照相关规定执行，资金到位时间慢，存在支出进度缓慢，材料报送不及时等问题，针对项目执行时出现的问题，及时改进</w:t>
      </w:r>
      <w:r>
        <w:rPr>
          <w:rFonts w:hint="eastAsia" w:ascii="宋体" w:hAnsi="宋体" w:eastAsia="宋体" w:cs="宋体"/>
          <w:caps w:val="0"/>
          <w:color w:val="auto"/>
          <w:spacing w:val="0"/>
          <w:sz w:val="24"/>
          <w:szCs w:val="24"/>
          <w:highlight w:val="none"/>
          <w:shd w:val="clear" w:color="auto" w:fill="FFFFFF"/>
          <w:vertAlign w:val="baseline"/>
        </w:rPr>
        <w:t>，</w:t>
      </w:r>
      <w:r>
        <w:rPr>
          <w:rFonts w:hint="eastAsia" w:ascii="仿宋_GB2312" w:hAnsi="宋体" w:eastAsia="仿宋_GB2312" w:cs="Times New Roman"/>
          <w:color w:val="auto"/>
          <w:sz w:val="32"/>
          <w:szCs w:val="32"/>
          <w:highlight w:val="none"/>
          <w:lang w:val="en-US" w:eastAsia="zh-CN"/>
        </w:rPr>
        <w:t>加快材料报送与审核流程，确保项目经费支出符合相关规定并按时支出。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hAnsi="宋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>
      <w:pPr>
        <w:pStyle w:val="7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附表：1.项目资金分配涉及所有点位自评得分情况表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1600" w:firstLineChars="500"/>
        <w:textAlignment w:val="auto"/>
        <w:outlineLvl w:val="9"/>
        <w:rPr>
          <w:rFonts w:hint="default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2.专项预算项目绩效目标完成情况自评表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640" w:firstLineChars="2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4800" w:firstLineChars="1500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黑水县公务服务中心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leftChars="0" w:firstLine="5120" w:firstLineChars="1600"/>
        <w:textAlignment w:val="auto"/>
        <w:outlineLvl w:val="9"/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  <w:t>2026年3月25日</w:t>
      </w:r>
      <w:r>
        <w:rPr>
          <w:rFonts w:hint="eastAsia" w:ascii="Times New Roman" w:hAnsi="Times New Roman" w:cs="Times New Roman"/>
          <w:color w:val="auto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项目资金分配涉及所有点位自评得分情况表</w:t>
      </w:r>
    </w:p>
    <w:tbl>
      <w:tblPr>
        <w:tblStyle w:val="10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3843"/>
        <w:gridCol w:w="286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项目资金末端分配点位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自评得分（百分制）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84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  <w:t>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水县公务服务中心</w:t>
            </w:r>
          </w:p>
        </w:tc>
        <w:tc>
          <w:tcPr>
            <w:tcW w:w="28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98</w:t>
            </w:r>
          </w:p>
        </w:tc>
        <w:tc>
          <w:tcPr>
            <w:tcW w:w="9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textAlignment w:val="auto"/>
              <w:outlineLvl w:val="9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备注：1.项目资金末端分配点位包括州本级、县（市）、州级部门下属单位及一次性单位等。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3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2.自评得分（百分制）从高到低划分为优、良、中、差四个档次，各个档次数量占比分别为20%、20%、55%、5%，且不同档次间得分分值应体现差异化，同档次得分分值相同的比例不超过该档次总数量的10%。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附表2</w:t>
      </w:r>
    </w:p>
    <w:tbl>
      <w:tblPr>
        <w:tblStyle w:val="9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776"/>
        <w:gridCol w:w="20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/>
              <w:jc w:val="center"/>
              <w:textAlignment w:val="center"/>
              <w:rPr>
                <w:rFonts w:ascii="黑体" w:hAnsi="宋体" w:eastAsia="黑体" w:cs="黑体"/>
                <w:i w:val="0"/>
                <w:color w:val="auto"/>
                <w:sz w:val="30"/>
                <w:szCs w:val="3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专项预算项目绩效目标完成情况自评表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公务用车购置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黑水县公务服务中心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特定目标类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£项目法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据实据效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Wingdings 2" w:hAnsi="Wingdings 2" w:eastAsia="Wingdings 2" w:cs="Wingdings 2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Wingdings 2" w:hAnsi="Wingdings 2" w:eastAsia="Wingdings 2" w:cs="Wingdings 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£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因素法与项目法相结合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46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5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24.89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45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24.89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left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right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4" w:name="OLE_LINK6" w:colFirst="8" w:colLast="8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5" w:name="OLE_LINK5"/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实际完成指标值</w:t>
            </w:r>
            <w:bookmarkEnd w:id="5"/>
          </w:p>
        </w:tc>
      </w:tr>
      <w:bookmarkEnd w:id="4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购买车辆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按要求验收合格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完成时间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2025年已完成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可持续发展指标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是否可以连续使用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可以连续使用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可连续使用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  <w:bookmarkStart w:id="6" w:name="_GoBack"/>
      <w:bookmarkEnd w:id="6"/>
    </w:p>
    <w:p>
      <w:pPr>
        <w:rPr>
          <w:rFonts w:hint="default" w:ascii="黑体" w:hAnsi="黑体" w:eastAsia="黑体" w:cs="黑体"/>
          <w:color w:val="auto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国标宋体-超大字符集扩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3C8734"/>
    <w:multiLevelType w:val="singleLevel"/>
    <w:tmpl w:val="273C873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hMTMyYjBmMmM3YjQ4NGJjMjBlYzdiNDk3NTAzMzgifQ=="/>
  </w:docVars>
  <w:rsids>
    <w:rsidRoot w:val="771D4D51"/>
    <w:rsid w:val="079E1A52"/>
    <w:rsid w:val="0DE91A86"/>
    <w:rsid w:val="131B385F"/>
    <w:rsid w:val="17D82D91"/>
    <w:rsid w:val="1C25106F"/>
    <w:rsid w:val="1CFD8DF6"/>
    <w:rsid w:val="1FFF9AD9"/>
    <w:rsid w:val="20DA0916"/>
    <w:rsid w:val="22AD555F"/>
    <w:rsid w:val="237C5355"/>
    <w:rsid w:val="26CF2DB3"/>
    <w:rsid w:val="2AF86ED7"/>
    <w:rsid w:val="2AFDF212"/>
    <w:rsid w:val="2B385C88"/>
    <w:rsid w:val="2B6BF484"/>
    <w:rsid w:val="2D0A3A6F"/>
    <w:rsid w:val="2FFF7DE7"/>
    <w:rsid w:val="33F748AD"/>
    <w:rsid w:val="35874596"/>
    <w:rsid w:val="35D93748"/>
    <w:rsid w:val="35F2A362"/>
    <w:rsid w:val="36EA2AC9"/>
    <w:rsid w:val="371A51D2"/>
    <w:rsid w:val="373BBD0C"/>
    <w:rsid w:val="38E765B8"/>
    <w:rsid w:val="39BFEDBA"/>
    <w:rsid w:val="39DBABD8"/>
    <w:rsid w:val="3AED12ED"/>
    <w:rsid w:val="3AFF6A5D"/>
    <w:rsid w:val="3BDD34D2"/>
    <w:rsid w:val="3BDDFF97"/>
    <w:rsid w:val="3BFFD43B"/>
    <w:rsid w:val="3C7BD5C9"/>
    <w:rsid w:val="3C9C7C6A"/>
    <w:rsid w:val="3D537A06"/>
    <w:rsid w:val="3F1D106C"/>
    <w:rsid w:val="3FBF9251"/>
    <w:rsid w:val="3FED766E"/>
    <w:rsid w:val="3FFEEAD9"/>
    <w:rsid w:val="3FFFE931"/>
    <w:rsid w:val="457F07F2"/>
    <w:rsid w:val="4801281A"/>
    <w:rsid w:val="4C535A11"/>
    <w:rsid w:val="4CC6FDBD"/>
    <w:rsid w:val="4E07F45D"/>
    <w:rsid w:val="4FF59AF5"/>
    <w:rsid w:val="503D00E8"/>
    <w:rsid w:val="507A56E7"/>
    <w:rsid w:val="528146A2"/>
    <w:rsid w:val="52FB1041"/>
    <w:rsid w:val="55673EB8"/>
    <w:rsid w:val="55FE10A2"/>
    <w:rsid w:val="56EF6619"/>
    <w:rsid w:val="57AF1E73"/>
    <w:rsid w:val="5AB21C33"/>
    <w:rsid w:val="5B778EC0"/>
    <w:rsid w:val="5BFD93EC"/>
    <w:rsid w:val="5CBA8FF2"/>
    <w:rsid w:val="5D5F7E21"/>
    <w:rsid w:val="5E15588D"/>
    <w:rsid w:val="5F5B35E4"/>
    <w:rsid w:val="609FA7B0"/>
    <w:rsid w:val="60BB24BF"/>
    <w:rsid w:val="6983095C"/>
    <w:rsid w:val="69FCE5E7"/>
    <w:rsid w:val="6BCDA9CC"/>
    <w:rsid w:val="6D665D34"/>
    <w:rsid w:val="6D9F2765"/>
    <w:rsid w:val="6DB508E5"/>
    <w:rsid w:val="6DDFA6BD"/>
    <w:rsid w:val="6E767ACE"/>
    <w:rsid w:val="6E781687"/>
    <w:rsid w:val="6E8E5C5B"/>
    <w:rsid w:val="6EC750E9"/>
    <w:rsid w:val="6EEE3ED1"/>
    <w:rsid w:val="6EFFED40"/>
    <w:rsid w:val="6F1B2166"/>
    <w:rsid w:val="6F5FC1DE"/>
    <w:rsid w:val="6FB3E1FD"/>
    <w:rsid w:val="6FD768E4"/>
    <w:rsid w:val="6FF341F1"/>
    <w:rsid w:val="6FFEBD86"/>
    <w:rsid w:val="71787CDF"/>
    <w:rsid w:val="71D16318"/>
    <w:rsid w:val="72CE3A1A"/>
    <w:rsid w:val="73FF1F09"/>
    <w:rsid w:val="73FF684B"/>
    <w:rsid w:val="74A708C5"/>
    <w:rsid w:val="76DFCB7D"/>
    <w:rsid w:val="771D4D51"/>
    <w:rsid w:val="7735A28E"/>
    <w:rsid w:val="77778F6D"/>
    <w:rsid w:val="77ABFD6B"/>
    <w:rsid w:val="77B27036"/>
    <w:rsid w:val="77B7A121"/>
    <w:rsid w:val="77C748BA"/>
    <w:rsid w:val="77DD24F1"/>
    <w:rsid w:val="77F10335"/>
    <w:rsid w:val="77F7E860"/>
    <w:rsid w:val="77FB8D34"/>
    <w:rsid w:val="797D0128"/>
    <w:rsid w:val="79EDB415"/>
    <w:rsid w:val="7ABBCDAB"/>
    <w:rsid w:val="7AFCAD25"/>
    <w:rsid w:val="7AFEB9B4"/>
    <w:rsid w:val="7B5E0C37"/>
    <w:rsid w:val="7B63F034"/>
    <w:rsid w:val="7B735637"/>
    <w:rsid w:val="7B7DE504"/>
    <w:rsid w:val="7BFEC4F8"/>
    <w:rsid w:val="7C6B6172"/>
    <w:rsid w:val="7DA14F75"/>
    <w:rsid w:val="7DB57A61"/>
    <w:rsid w:val="7DC7DC1F"/>
    <w:rsid w:val="7DF95E12"/>
    <w:rsid w:val="7DFDF40F"/>
    <w:rsid w:val="7DFF9BC7"/>
    <w:rsid w:val="7E3F1AC2"/>
    <w:rsid w:val="7EB645E3"/>
    <w:rsid w:val="7EB6B7AB"/>
    <w:rsid w:val="7EDEF702"/>
    <w:rsid w:val="7EFD6908"/>
    <w:rsid w:val="7EFF8787"/>
    <w:rsid w:val="7F1C270D"/>
    <w:rsid w:val="7F5F4807"/>
    <w:rsid w:val="7F722518"/>
    <w:rsid w:val="7F7CF90E"/>
    <w:rsid w:val="7F9E3557"/>
    <w:rsid w:val="7FBF2857"/>
    <w:rsid w:val="7FD3B1BB"/>
    <w:rsid w:val="7FE7031F"/>
    <w:rsid w:val="7FEC5D3B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E4DD88"/>
    <w:rsid w:val="BFF9117D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3FBF3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FE5638"/>
    <w:rsid w:val="FCFF1FE1"/>
    <w:rsid w:val="FD7C7175"/>
    <w:rsid w:val="FDD7319B"/>
    <w:rsid w:val="FDDE4FF7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BB4B28"/>
    <w:rsid w:val="FFCFE300"/>
    <w:rsid w:val="FFD58A98"/>
    <w:rsid w:val="FFDD382A"/>
    <w:rsid w:val="FFDFD60A"/>
    <w:rsid w:val="FFE6F78D"/>
    <w:rsid w:val="FFEBBD1A"/>
    <w:rsid w:val="FFEF3B9A"/>
    <w:rsid w:val="FFF171B6"/>
    <w:rsid w:val="FFF33D76"/>
    <w:rsid w:val="FFF3C5BB"/>
    <w:rsid w:val="FFFA984C"/>
    <w:rsid w:val="FFFB4651"/>
    <w:rsid w:val="FFFD90B9"/>
    <w:rsid w:val="FFFF2620"/>
    <w:rsid w:val="FF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3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4">
    <w:name w:val="Body Text Indent"/>
    <w:basedOn w:val="1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toc 1"/>
    <w:basedOn w:val="1"/>
    <w:next w:val="1"/>
    <w:qFormat/>
    <w:uiPriority w:val="0"/>
  </w:style>
  <w:style w:type="paragraph" w:styleId="7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3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paragraph" w:customStyle="1" w:styleId="14">
    <w:name w:val="NormalIndent"/>
    <w:next w:val="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3686</Words>
  <Characters>3790</Characters>
  <Lines>0</Lines>
  <Paragraphs>0</Paragraphs>
  <TotalTime>35</TotalTime>
  <ScaleCrop>false</ScaleCrop>
  <LinksUpToDate>false</LinksUpToDate>
  <CharactersWithSpaces>3814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2020-07-12T16:13:00Z</dcterms:created>
  <dc:creator>Administrator</dc:creator>
  <cp:lastModifiedBy>user</cp:lastModifiedBy>
  <cp:lastPrinted>2024-08-14T11:16:00Z</cp:lastPrinted>
  <dcterms:modified xsi:type="dcterms:W3CDTF">2026-10-13T17:18:08Z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61D6B768AB1740A6983C7191CD837281_13</vt:lpwstr>
  </property>
  <property fmtid="{D5CDD505-2E9C-101B-9397-08002B2CF9AE}" pid="4" name="KSOTemplateDocerSaveRecord">
    <vt:lpwstr>eyJoZGlkIjoiM2JmZThhNTRkMDVlMzRiYzM4M2ZmNzViNzc4NmYxZGUiLCJ1c2VySWQiOiI0Mzk4NDM2OTIifQ==</vt:lpwstr>
  </property>
</Properties>
</file>