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drawing>
          <wp:inline distT="0" distB="0" distL="114300" distR="114300">
            <wp:extent cx="5618480" cy="1132840"/>
            <wp:effectExtent l="0" t="0" r="1270" b="10160"/>
            <wp:docPr id="2" name="图片 1" descr="说明: 红头文件模板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说明: 红头文件模板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8480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400" w:lineRule="exact"/>
        <w:rPr>
          <w:rFonts w:hint="eastAsia" w:ascii="仿宋_GB2312" w:eastAsia="仿宋_GB2312" w:cs="仿宋_GB2312"/>
          <w:sz w:val="32"/>
          <w:szCs w:val="32"/>
          <w:lang w:bidi="ar-SA"/>
        </w:rPr>
      </w:pPr>
    </w:p>
    <w:p>
      <w:pPr>
        <w:spacing w:line="400" w:lineRule="exact"/>
        <w:rPr>
          <w:rFonts w:hint="eastAsia" w:ascii="仿宋_GB2312" w:eastAsia="仿宋_GB2312" w:cs="仿宋_GB2312"/>
          <w:sz w:val="32"/>
          <w:szCs w:val="32"/>
          <w:lang w:bidi="ar-SA"/>
        </w:rPr>
      </w:pPr>
    </w:p>
    <w:p>
      <w:pPr>
        <w:jc w:val="center"/>
        <w:rPr>
          <w:rFonts w:hint="eastAsia"/>
          <w:lang w:val="en-US" w:eastAsia="zh-CN"/>
        </w:rPr>
      </w:pPr>
      <w:r>
        <w:rPr>
          <w:rFonts w:ascii="仿宋_GB2312" w:eastAsia="仿宋_GB2312" w:cs="仿宋_GB2312"/>
          <w:sz w:val="32"/>
          <w:szCs w:val="32"/>
          <w:lang w:bidi="ar-SA"/>
        </w:rPr>
        <w:drawing>
          <wp:inline distT="0" distB="0" distL="114300" distR="114300">
            <wp:extent cx="5598795" cy="38100"/>
            <wp:effectExtent l="0" t="0" r="1905" b="0"/>
            <wp:docPr id="3" name="图片 2" descr="说明: 机关事务局红头文件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说明: 机关事务局红头文件2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9879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  <w:t>嘉兴市对口支援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  <w:t>黑水县工作队驻地装修工程（捐赠资金）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  <w:t>预算项目绩效评价报告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 w:firstLine="640"/>
        <w:jc w:val="center"/>
        <w:textAlignment w:val="auto"/>
        <w:rPr>
          <w:rFonts w:ascii="宋体" w:hAnsi="宋体"/>
          <w:color w:val="auto"/>
          <w:kern w:val="2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ascii="黑体" w:hAnsi="宋体" w:eastAsia="黑体"/>
          <w:color w:val="auto"/>
          <w:highlight w:val="none"/>
          <w:lang w:val="zh-CN"/>
        </w:rPr>
      </w:pPr>
      <w:r>
        <w:rPr>
          <w:rFonts w:hint="eastAsia" w:ascii="黑体" w:hAnsi="宋体" w:eastAsia="黑体"/>
          <w:color w:val="auto"/>
          <w:highlight w:val="none"/>
        </w:rPr>
        <w:t>一、</w:t>
      </w:r>
      <w:r>
        <w:rPr>
          <w:rFonts w:hint="eastAsia" w:ascii="黑体" w:hAnsi="宋体" w:eastAsia="黑体"/>
          <w:color w:val="auto"/>
          <w:highlight w:val="none"/>
          <w:lang w:val="zh-CN"/>
        </w:rPr>
        <w:t>项目概况</w:t>
      </w:r>
    </w:p>
    <w:p>
      <w:pPr>
        <w:numPr>
          <w:ilvl w:val="0"/>
          <w:numId w:val="0"/>
        </w:numPr>
        <w:ind w:firstLine="963" w:firstLineChars="300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（一）设立背景及基本情况。</w:t>
      </w:r>
    </w:p>
    <w:p>
      <w:pPr>
        <w:numPr>
          <w:ilvl w:val="0"/>
          <w:numId w:val="0"/>
        </w:numPr>
        <w:ind w:firstLine="960" w:firstLineChars="300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我中心</w:t>
      </w:r>
      <w:r>
        <w:rPr>
          <w:rFonts w:hint="eastAsia" w:ascii="仿宋_GB2312" w:eastAsia="仿宋_GB2312" w:cs="方正仿宋_GBK"/>
          <w:color w:val="auto"/>
          <w:sz w:val="32"/>
          <w:szCs w:val="32"/>
          <w:highlight w:val="none"/>
          <w:lang w:bidi="ar-SA"/>
        </w:rPr>
        <w:t>立足单位职能职责，着力克服工作力量薄弱、市场资源匮乏等困难问题，统筹各方资源、夯实要素保障，为助推全县经济社会发展提供更加坚实的后勤服务保障。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bidi="ar-SA"/>
        </w:rPr>
        <w:t>坚持周密部署，抓实公务接待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eastAsia="zh-CN" w:bidi="ar-SA"/>
        </w:rPr>
        <w:t>、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公务用车、公房管理、办公用房、节能降耗、机关食堂管理，后勤保障等工作。</w:t>
      </w:r>
    </w:p>
    <w:p>
      <w:pPr>
        <w:pStyle w:val="14"/>
        <w:numPr>
          <w:ilvl w:val="0"/>
          <w:numId w:val="1"/>
        </w:numPr>
        <w:spacing w:line="560" w:lineRule="exact"/>
        <w:ind w:firstLine="642" w:firstLineChars="200"/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default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实施目的及支持方向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。</w:t>
      </w:r>
    </w:p>
    <w:p>
      <w:pPr>
        <w:pStyle w:val="14"/>
        <w:numPr>
          <w:ilvl w:val="0"/>
          <w:numId w:val="0"/>
        </w:numPr>
        <w:spacing w:line="560" w:lineRule="exact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</w:pPr>
      <w:r>
        <w:rPr>
          <w:rFonts w:hint="eastAsia" w:ascii="仿宋_GB2312"/>
          <w:color w:val="auto"/>
          <w:highlight w:val="none"/>
          <w:lang w:val="en-US" w:eastAsia="zh-CN"/>
        </w:rPr>
        <w:t>支持嘉兴市对口支援黑水县工作队驻地装修工程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。</w:t>
      </w:r>
      <w:r>
        <w:rPr>
          <w:rFonts w:hint="eastAsia" w:ascii="仿宋_GB2312" w:cs="方正仿宋_GBK"/>
          <w:color w:val="auto"/>
          <w:sz w:val="32"/>
          <w:szCs w:val="32"/>
          <w:highlight w:val="none"/>
          <w:lang w:val="en-US" w:eastAsia="zh-CN" w:bidi="ar-SA"/>
        </w:rPr>
        <w:t>嘉兴市捐赠资金77.8万元。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firstLine="642" w:firstLineChars="200"/>
        <w:contextualSpacing/>
        <w:jc w:val="left"/>
        <w:textAlignment w:val="auto"/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/>
        </w:rPr>
      </w:pPr>
      <w:r>
        <w:rPr>
          <w:rFonts w:hint="eastAsia" w:ascii="楷体_GB2312" w:hAnsi="宋体" w:eastAsia="楷体_GB2312" w:cs="Times New Roman"/>
          <w:b/>
          <w:color w:val="auto"/>
          <w:kern w:val="2"/>
          <w:sz w:val="32"/>
          <w:szCs w:val="32"/>
          <w:highlight w:val="none"/>
          <w:u w:val="none"/>
          <w:lang w:val="zh-CN" w:eastAsia="zh-CN" w:bidi="ar-SA"/>
        </w:rPr>
        <w:t>（三）</w:t>
      </w:r>
      <w:r>
        <w:rPr>
          <w:rFonts w:hint="default" w:ascii="楷体_GB2312" w:hAnsi="宋体" w:eastAsia="楷体_GB2312" w:cs="Times New Roman"/>
          <w:b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预算安排及分配管理</w:t>
      </w:r>
      <w:r>
        <w:rPr>
          <w:rFonts w:hint="eastAsia" w:ascii="楷体_GB2312" w:hAnsi="宋体" w:eastAsia="楷体_GB2312" w:cs="Times New Roman"/>
          <w:b/>
          <w:color w:val="auto"/>
          <w:kern w:val="2"/>
          <w:sz w:val="32"/>
          <w:szCs w:val="32"/>
          <w:highlight w:val="none"/>
          <w:u w:val="none"/>
          <w:lang w:val="zh-CN" w:eastAsia="zh-CN" w:bidi="ar-SA"/>
        </w:rPr>
        <w:t>。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嘉兴市捐赠资金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下达2023年</w:t>
      </w:r>
      <w:r>
        <w:rPr>
          <w:rFonts w:hint="eastAsia" w:ascii="仿宋_GB2312"/>
          <w:color w:val="auto"/>
          <w:highlight w:val="none"/>
          <w:lang w:val="en-US" w:eastAsia="zh-CN"/>
        </w:rPr>
        <w:t>嘉兴市对口支援黑水县工作队驻地活动室维修改造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经费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77.8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万元。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firstLine="640" w:firstLineChars="200"/>
        <w:contextualSpacing/>
        <w:jc w:val="left"/>
        <w:textAlignment w:val="auto"/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/>
        </w:rPr>
      </w:pPr>
    </w:p>
    <w:p>
      <w:pPr>
        <w:numPr>
          <w:ilvl w:val="0"/>
          <w:numId w:val="0"/>
        </w:numPr>
        <w:ind w:firstLine="642" w:firstLineChars="200"/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 w:eastAsia="zh-CN"/>
        </w:rPr>
        <w:t>（四）项目绩效目标设置。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中心</w:t>
      </w:r>
      <w:r>
        <w:rPr>
          <w:rFonts w:hint="eastAsia" w:ascii="仿宋_GB2312" w:eastAsia="仿宋_GB2312" w:cs="方正仿宋_GBK"/>
          <w:sz w:val="32"/>
          <w:szCs w:val="32"/>
          <w:lang w:bidi="ar-SA"/>
        </w:rPr>
        <w:t>立足单位职能职责，着力克服工作力量薄弱、市场资源匮乏等困难问题，统筹各方资源、夯实要素保障，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发挥中心办公区管理职责，做好</w:t>
      </w:r>
      <w:r>
        <w:rPr>
          <w:rFonts w:hint="eastAsia" w:ascii="仿宋_GB2312" w:hAnsi="Times New Roman" w:eastAsia="仿宋_GB2312" w:cs="方正仿宋_GBK"/>
          <w:sz w:val="32"/>
          <w:szCs w:val="32"/>
          <w:lang w:val="en-US" w:eastAsia="zh-CN" w:bidi="ar-SA"/>
        </w:rPr>
        <w:t>保障援藏干部驻地日常运转</w:t>
      </w:r>
      <w:r>
        <w:rPr>
          <w:rFonts w:hint="eastAsia" w:ascii="仿宋_GB2312" w:hAnsi="Times New Roman" w:cs="方正仿宋_GBK"/>
          <w:sz w:val="32"/>
          <w:szCs w:val="32"/>
          <w:lang w:val="en-US" w:eastAsia="zh-CN" w:bidi="ar-SA"/>
        </w:rPr>
        <w:t>、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后勤保障工作。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_GB2312" w:eastAsia="仿宋_GB2312" w:cs="方正仿宋_GBK"/>
          <w:color w:val="0000FF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960" w:firstLineChars="300"/>
        <w:textAlignment w:val="auto"/>
        <w:outlineLvl w:val="9"/>
        <w:rPr>
          <w:rFonts w:hint="eastAsia" w:ascii="黑体" w:hAnsi="宋体" w:eastAsia="黑体"/>
          <w:color w:val="auto"/>
          <w:highlight w:val="none"/>
          <w:lang w:eastAsia="zh-CN"/>
        </w:rPr>
      </w:pPr>
      <w:r>
        <w:rPr>
          <w:rFonts w:hint="eastAsia" w:ascii="黑体" w:hAnsi="宋体" w:eastAsia="黑体"/>
          <w:color w:val="auto"/>
          <w:highlight w:val="none"/>
        </w:rPr>
        <w:t>二、</w:t>
      </w:r>
      <w:r>
        <w:rPr>
          <w:rFonts w:hint="eastAsia" w:ascii="黑体" w:hAnsi="宋体" w:eastAsia="黑体"/>
          <w:color w:val="auto"/>
          <w:highlight w:val="none"/>
          <w:lang w:eastAsia="zh-CN"/>
        </w:rPr>
        <w:t>评价实施</w:t>
      </w:r>
    </w:p>
    <w:p>
      <w:pPr>
        <w:adjustRightInd w:val="0"/>
        <w:snapToGrid w:val="0"/>
        <w:spacing w:line="578" w:lineRule="exact"/>
        <w:ind w:firstLine="642" w:firstLineChars="200"/>
        <w:rPr>
          <w:rFonts w:eastAsia="仿宋_GB2312" w:cs="Times New Roman"/>
          <w:color w:val="auto"/>
          <w:szCs w:val="32"/>
          <w:highlight w:val="none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（一）评价目的。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为了进一步规范和加强预算绩效管理和专项资金管理，为项目设立和预算安排提供重要参考依据，提高预算编制科学性、合理性，优化财政支出结构，从源头上防控财政资源配置的低效无效，提高财政资源配置效率和财政资金使用效益，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阿坝州财政局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印发《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阿坝州财政局关于开展2024年州级部门绩效自评工作的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eastAsia="zh-CN"/>
        </w:rPr>
        <w:t>通知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》（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阿州财监绩〔2024〕19号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），要求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eastAsia="zh-CN"/>
        </w:rPr>
        <w:t>各部门（单位）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按照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eastAsia="zh-CN"/>
        </w:rPr>
        <w:t>州财政局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制定的相关制度办法和共性绩效指标框架，建立涵盖项目决策、项目管理、项目实施、项目结果、民生保障五个板块，覆盖所有管理对象，贯穿绩效目标管理、事前评估、事中监控、事后评价以及绩效结果应用全过程的本部门的具体措施、实施细则和指标体系，形成全州全面实施预算绩效管理制度体系格局。通过本次评价总结经验，发现问题，提出改进建议，进一步提升加强项目支出绩效管理水平、提升预算管理水平、提升项目管理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eastAsia="仿宋_GB2312" w:cs="Times New Roman"/>
          <w:color w:val="auto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 w:firstLine="642" w:firstLineChars="200"/>
        <w:textAlignment w:val="auto"/>
        <w:outlineLvl w:val="9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预设问题及评价重点。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78" w:lineRule="exact"/>
        <w:ind w:left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1.长效机制建立情况。项目实施单位是否已建立项目实施管理制度等。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2.项目实施程序严密性。建设项目的招投标资料是否完整、真实，有无弄虚作假套取财政资金等问题。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3.资金拨付和使用的合规性。是否按国库集中支付规定办理资金拨付手续；是否不按时拨付，造成滞留资金积压；资金是否专款专用，是否随意变更项目内容及地点；是否遵守《现金管理暂行条例》规定；是否有挤古、挪用、截留等违纪违规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4.信息的公开透明度。项目资金管理单位的公开公示情况。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5.财务管理和会计核算规范性。财务核算是否符合《中华人民共和国会计法》《会计基础工作规范》等要求、是否符合基本建设财务管理和会计制度规定。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6.项目实施单位绩效自评情况。项目实施单位是否严格按照预算绩效管理规定开展绩效自评。</w:t>
      </w:r>
    </w:p>
    <w:p>
      <w:pPr>
        <w:adjustRightInd w:val="0"/>
        <w:snapToGrid w:val="0"/>
        <w:spacing w:line="578" w:lineRule="exact"/>
        <w:ind w:firstLine="642" w:firstLineChars="200"/>
        <w:rPr>
          <w:rFonts w:ascii="楷体_GB2312" w:hAnsi="宋体" w:eastAsia="楷体_GB2312"/>
          <w:b/>
          <w:color w:val="auto"/>
          <w:highlight w:val="none"/>
          <w:lang w:val="zh-CN"/>
        </w:rPr>
      </w:pP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2" w:firstLineChars="200"/>
        <w:jc w:val="left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2"/>
          <w:szCs w:val="28"/>
          <w:highlight w:val="none"/>
          <w:lang w:val="en-US" w:eastAsia="zh-CN" w:bidi="ar-SA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（三）评价选点。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28"/>
          <w:highlight w:val="none"/>
          <w:lang w:val="en-US" w:eastAsia="zh-CN" w:bidi="ar-SA"/>
        </w:rPr>
        <w:t>嘉兴市对口支援黑水县工作队驻地活动室维修改造项目（捐赠资金）预算项目主要开展工作地点为黑水县，本次绩效评价主体为县财政局，项目不涉及其他点位。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2" w:firstLineChars="200"/>
        <w:textAlignment w:val="auto"/>
        <w:outlineLvl w:val="9"/>
        <w:rPr>
          <w:rFonts w:hint="eastAsia" w:eastAsia="仿宋_GB2312" w:cs="Times New Roman"/>
          <w:color w:val="auto"/>
          <w:szCs w:val="32"/>
          <w:highlight w:val="none"/>
          <w:lang w:eastAsia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（四）评价方法。</w:t>
      </w:r>
      <w:r>
        <w:rPr>
          <w:rFonts w:eastAsia="仿宋_GB2312" w:cs="Times New Roman"/>
          <w:color w:val="auto"/>
          <w:szCs w:val="32"/>
          <w:highlight w:val="none"/>
        </w:rPr>
        <w:t>单位自评法</w:t>
      </w:r>
      <w:r>
        <w:rPr>
          <w:rFonts w:hint="eastAsia" w:cs="Times New Roman"/>
          <w:color w:val="auto"/>
          <w:szCs w:val="32"/>
          <w:highlight w:val="none"/>
          <w:lang w:eastAsia="zh-CN"/>
        </w:rPr>
        <w:t>。</w:t>
      </w:r>
    </w:p>
    <w:p>
      <w:pPr>
        <w:adjustRightInd w:val="0"/>
        <w:snapToGrid w:val="0"/>
        <w:spacing w:line="578" w:lineRule="exact"/>
        <w:ind w:firstLine="642" w:firstLineChars="200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（五）评价组织。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  <w:lang w:val="en-US" w:eastAsia="zh-CN"/>
        </w:rPr>
        <w:t>1</w:t>
      </w:r>
      <w:r>
        <w:rPr>
          <w:rFonts w:hint="eastAsia"/>
          <w:color w:val="auto"/>
          <w:kern w:val="0"/>
          <w:szCs w:val="28"/>
          <w:highlight w:val="none"/>
        </w:rPr>
        <w:t>.</w:t>
      </w:r>
      <w:r>
        <w:rPr>
          <w:color w:val="auto"/>
          <w:kern w:val="0"/>
          <w:szCs w:val="28"/>
          <w:highlight w:val="none"/>
        </w:rPr>
        <w:t>办公室职责：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（1）</w:t>
      </w:r>
      <w:r>
        <w:rPr>
          <w:color w:val="auto"/>
          <w:kern w:val="0"/>
          <w:szCs w:val="28"/>
          <w:highlight w:val="none"/>
        </w:rPr>
        <w:t>提出</w:t>
      </w:r>
      <w:r>
        <w:rPr>
          <w:rFonts w:hint="eastAsia"/>
          <w:color w:val="auto"/>
          <w:kern w:val="0"/>
          <w:szCs w:val="28"/>
          <w:highlight w:val="none"/>
          <w:lang w:val="en-US" w:eastAsia="zh-CN"/>
        </w:rPr>
        <w:t>本单位</w:t>
      </w:r>
      <w:r>
        <w:rPr>
          <w:color w:val="auto"/>
          <w:kern w:val="0"/>
          <w:szCs w:val="28"/>
          <w:highlight w:val="none"/>
        </w:rPr>
        <w:t>管理绩效评价的工作方案，并负责具体组织实施。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（2）</w:t>
      </w:r>
      <w:r>
        <w:rPr>
          <w:color w:val="auto"/>
          <w:kern w:val="0"/>
          <w:szCs w:val="28"/>
          <w:highlight w:val="none"/>
        </w:rPr>
        <w:t>综合评价信息，提出评价结果</w:t>
      </w:r>
      <w:r>
        <w:rPr>
          <w:rFonts w:hint="eastAsia"/>
          <w:color w:val="auto"/>
          <w:kern w:val="0"/>
          <w:szCs w:val="28"/>
          <w:highlight w:val="none"/>
          <w:lang w:eastAsia="zh-CN"/>
        </w:rPr>
        <w:t>等</w:t>
      </w:r>
      <w:r>
        <w:rPr>
          <w:color w:val="auto"/>
          <w:kern w:val="0"/>
          <w:szCs w:val="28"/>
          <w:highlight w:val="none"/>
        </w:rPr>
        <w:t>次认定方案及奖惩方案等。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（3）</w:t>
      </w:r>
      <w:r>
        <w:rPr>
          <w:color w:val="auto"/>
          <w:kern w:val="0"/>
          <w:szCs w:val="28"/>
          <w:highlight w:val="none"/>
        </w:rPr>
        <w:t>负责绩效评价的日常工作，包括宣传、沟通、协调等。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（4）</w:t>
      </w:r>
      <w:r>
        <w:rPr>
          <w:color w:val="auto"/>
          <w:kern w:val="0"/>
          <w:szCs w:val="28"/>
          <w:highlight w:val="none"/>
        </w:rPr>
        <w:t>根据评价结果撰写绩效评价报告，并递交给领导小组。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  <w:lang w:val="en-US" w:eastAsia="zh-CN"/>
        </w:rPr>
        <w:t>2</w:t>
      </w:r>
      <w:r>
        <w:rPr>
          <w:color w:val="auto"/>
          <w:kern w:val="0"/>
          <w:szCs w:val="28"/>
          <w:highlight w:val="none"/>
        </w:rPr>
        <w:t>具体执行人员职责：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（1）</w:t>
      </w:r>
      <w:r>
        <w:rPr>
          <w:color w:val="auto"/>
          <w:kern w:val="0"/>
          <w:szCs w:val="28"/>
          <w:highlight w:val="none"/>
        </w:rPr>
        <w:t>组长：审批绩效自评方案，监督、检查、核实绩效自评结果。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（2）</w:t>
      </w:r>
      <w:r>
        <w:rPr>
          <w:color w:val="auto"/>
          <w:kern w:val="0"/>
          <w:szCs w:val="28"/>
          <w:highlight w:val="none"/>
        </w:rPr>
        <w:t>副组长：审核修改拟定的绩效自评方案，并提交考评工作组会议讨论通过；监督、部署、确认绩效自评过程及反馈意见的处理。</w:t>
      </w:r>
    </w:p>
    <w:p>
      <w:pPr>
        <w:adjustRightInd w:val="0"/>
        <w:snapToGrid w:val="0"/>
        <w:spacing w:line="578" w:lineRule="exact"/>
        <w:ind w:firstLine="640" w:firstLineChars="200"/>
        <w:rPr>
          <w:rFonts w:hint="eastAsia" w:eastAsia="仿宋_GB2312" w:cs="Times New Roman"/>
          <w:bCs/>
          <w:color w:val="auto"/>
          <w:highlight w:val="none"/>
          <w:lang w:eastAsia="zh-CN"/>
        </w:rPr>
      </w:pPr>
      <w:r>
        <w:rPr>
          <w:rFonts w:hint="eastAsia"/>
          <w:color w:val="auto"/>
          <w:kern w:val="0"/>
          <w:szCs w:val="28"/>
          <w:highlight w:val="none"/>
        </w:rPr>
        <w:t>（3）</w:t>
      </w:r>
      <w:r>
        <w:rPr>
          <w:color w:val="auto"/>
          <w:kern w:val="0"/>
          <w:szCs w:val="28"/>
          <w:highlight w:val="none"/>
        </w:rPr>
        <w:t>小组成员：起草和修改绩效考评方案报自评领导工作组会议讨论通过，实施执行绩效自评方案；牵头组织并实施年度绩效自评，根据组长、副组长指示，对考评结果进行复核，完成绩效自核工作组安排的其他工作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ascii="仿宋_GB2312" w:hAnsi="宋体"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</w:rPr>
        <w:t>三、</w:t>
      </w: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  <w:lang w:eastAsia="zh-CN"/>
        </w:rPr>
        <w:t>绩效分析</w:t>
      </w:r>
      <w:r>
        <w:rPr>
          <w:rFonts w:hint="eastAsia" w:ascii="仿宋_GB2312" w:hAnsi="宋体"/>
          <w:color w:val="auto"/>
          <w:sz w:val="32"/>
          <w:szCs w:val="32"/>
          <w:highlight w:val="none"/>
          <w:u w:val="none"/>
          <w:lang w:val="zh-CN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outlineLvl w:val="9"/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/>
        </w:rPr>
        <w:t>（一）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通用指标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54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52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640" w:leftChars="200" w:firstLine="0" w:firstLineChars="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1.</w:t>
      </w:r>
      <w:r>
        <w:rPr>
          <w:rFonts w:hint="eastAsia" w:ascii="楷体_GB2312" w:hAnsi="楷体_GB2312" w:eastAsia="楷体_GB2312" w:cs="楷体_GB2312"/>
          <w:color w:val="auto"/>
          <w:szCs w:val="32"/>
          <w:lang w:eastAsia="zh-CN"/>
        </w:rPr>
        <w:t>项目决策。指标分值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18分，自评得分18分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决策程序</w:t>
      </w:r>
      <w:r>
        <w:rPr>
          <w:rFonts w:hint="eastAsia" w:cs="Times New Roman"/>
          <w:color w:val="auto"/>
          <w:szCs w:val="32"/>
          <w:lang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项目设立、调整延续等方面符合资金管理基本规范和决策程序要求</w:t>
      </w:r>
      <w:r>
        <w:rPr>
          <w:rFonts w:hint="eastAsia" w:cs="Times New Roman"/>
          <w:color w:val="auto"/>
          <w:szCs w:val="32"/>
          <w:lang w:eastAsia="zh-CN"/>
        </w:rPr>
        <w:t>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规划论证</w:t>
      </w:r>
      <w:r>
        <w:rPr>
          <w:rFonts w:hint="eastAsia" w:cs="Times New Roman"/>
          <w:color w:val="auto"/>
          <w:szCs w:val="32"/>
          <w:lang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项目规划论证符合中央、省委要求，项目绩效目标设置科学合理，项目资金与项目总体规划、相关行业事业发展相匹配，聚焦重大任务、重点领域、重点环节和重点项目</w:t>
      </w:r>
      <w:r>
        <w:rPr>
          <w:rFonts w:hint="eastAsia" w:cs="Times New Roman"/>
          <w:color w:val="auto"/>
          <w:szCs w:val="32"/>
          <w:lang w:eastAsia="zh-CN"/>
        </w:rPr>
        <w:t>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资金投向</w:t>
      </w:r>
      <w:r>
        <w:rPr>
          <w:rFonts w:hint="eastAsia" w:cs="Times New Roman"/>
          <w:color w:val="auto"/>
          <w:szCs w:val="32"/>
          <w:lang w:eastAsia="zh-CN"/>
        </w:rPr>
        <w:t>：项目资金是与项目总体规划、相关行业事业发展相匹配，聚焦重大任务、重点领域、重点环节和重点项目。体现“集中</w:t>
      </w:r>
      <w:r>
        <w:rPr>
          <w:rFonts w:hint="eastAsia" w:cs="Times New Roman"/>
          <w:color w:val="auto"/>
          <w:szCs w:val="32"/>
          <w:lang w:val="en-US" w:eastAsia="zh-CN"/>
        </w:rPr>
        <w:t>力量</w:t>
      </w:r>
      <w:r>
        <w:rPr>
          <w:rFonts w:hint="eastAsia" w:cs="Times New Roman"/>
          <w:color w:val="auto"/>
          <w:szCs w:val="32"/>
          <w:lang w:eastAsia="zh-CN"/>
        </w:rPr>
        <w:t>办大事”原则，避免“撒胡椒面”。指标分值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2.</w:t>
      </w:r>
      <w:r>
        <w:rPr>
          <w:rFonts w:hint="eastAsia" w:ascii="楷体_GB2312" w:hAnsi="楷体_GB2312" w:eastAsia="楷体_GB2312" w:cs="楷体_GB2312"/>
          <w:color w:val="auto"/>
          <w:szCs w:val="32"/>
          <w:lang w:eastAsia="zh-CN"/>
        </w:rPr>
        <w:t>项目管理。指标分值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18分，自评得分16分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制度办法</w:t>
      </w:r>
      <w:r>
        <w:rPr>
          <w:rFonts w:hint="eastAsia" w:cs="Times New Roman"/>
          <w:color w:val="auto"/>
          <w:szCs w:val="32"/>
          <w:lang w:val="en-US"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项目制度办法体系健全、要素完备</w:t>
      </w:r>
      <w:r>
        <w:rPr>
          <w:rFonts w:hint="eastAsia" w:cs="Times New Roman"/>
          <w:color w:val="auto"/>
          <w:szCs w:val="32"/>
          <w:lang w:val="en-US" w:eastAsia="zh-CN"/>
        </w:rPr>
        <w:t>。资金管理办法等管理制度体系健全完善，不存在管理制度缺失、管理办法过期情况。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2分，自评得分2分。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分配管理：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项目资金分配因素选取、权重设置、区域分布，项目管理、审批符合管理要求，管资金、项目、政策管绩效，项目绩效监管按要求开展，对下指导有力有效。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10分，自评得分8分。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eastAsia="zh-CN"/>
        </w:rPr>
        <w:t>绩效监管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: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明确要求“事前评估”、“事中监控”、“事后评价”，层层把控，对相关人员进行绩效业务培训，使人人“懂理念、会分析”。并严抓项目决策是否科学的“牛鼻子”，力求项目决策科学。让项目“目标科学、全面”才能“拎得清”，“跟踪及时、严格”才能“管得准”，避免偏离轨道造成的损耗成本、影响质量、效率低下。“花钱必问效，无效必问责”，该局将绩效理念融入预算编制、执行、监督全过程，抓好项目效益是否提升的“落脚点”，发挥绩效评价导向作用，通过奖优惩劣，确保被评价单位把每一笔钱都用在刀刃上、紧要处，力求项目效益提升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3.项目实施。指标分值9分，自评得分9分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预算执行:</w:t>
      </w:r>
      <w:r>
        <w:rPr>
          <w:rFonts w:hint="eastAsia" w:cs="Times New Roman"/>
          <w:color w:val="auto"/>
          <w:szCs w:val="32"/>
          <w:lang w:val="en-US" w:eastAsia="zh-CN"/>
        </w:rPr>
        <w:t>项目预算资金77.8万元，支付77.8万元。指</w:t>
      </w:r>
      <w:r>
        <w:rPr>
          <w:rFonts w:hint="eastAsia" w:cs="Times New Roman"/>
          <w:color w:val="auto"/>
          <w:szCs w:val="32"/>
          <w:lang w:eastAsia="zh-CN"/>
        </w:rPr>
        <w:t>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cs="Times New Roman"/>
          <w:color w:val="auto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color w:val="auto"/>
          <w:szCs w:val="32"/>
          <w:lang w:val="en-US" w:eastAsia="zh-CN"/>
        </w:rPr>
        <w:t>资金使用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:项</w:t>
      </w:r>
      <w:r>
        <w:rPr>
          <w:rFonts w:hint="eastAsia" w:cs="Times New Roman"/>
          <w:color w:val="auto"/>
          <w:szCs w:val="32"/>
          <w:lang w:val="en-US" w:eastAsia="zh-CN"/>
        </w:rPr>
        <w:t>目资金使用、拨付符合国家财经法规、财务管理制度及有关专项资金管理制度办法规定和审批程序，不存在超范围、超标准、超进度使用专项资金，不存在资金损失浪费、长期沉淀、截留、挤占、挪用、虚列支出等情况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3分，自评得分3分。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4.项目结果。指标分值9分，自评得分9分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目标完成</w:t>
      </w:r>
      <w:r>
        <w:rPr>
          <w:rFonts w:hint="eastAsia" w:cs="Times New Roman"/>
          <w:color w:val="auto"/>
          <w:szCs w:val="32"/>
          <w:lang w:val="en-US"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资金项目内容与具体实施内容相符的、申报目标是合理可行。项目运行成本、管理效率、履职效能、社会效应、可持续发展能力和服务对象满意度等方面均取得良好成果，预算绩效实现全覆盖。</w:t>
      </w:r>
      <w:bookmarkStart w:id="5" w:name="_GoBack"/>
      <w:bookmarkEnd w:id="5"/>
      <w:r>
        <w:rPr>
          <w:rFonts w:hint="eastAsia" w:cs="Times New Roman"/>
          <w:color w:val="auto"/>
          <w:szCs w:val="32"/>
          <w:lang w:val="en-US" w:eastAsia="zh-CN"/>
        </w:rPr>
        <w:t>截至2023年底完成项目资金拨付。指</w:t>
      </w:r>
      <w:r>
        <w:rPr>
          <w:rFonts w:hint="eastAsia" w:cs="Times New Roman"/>
          <w:color w:val="auto"/>
          <w:szCs w:val="32"/>
          <w:lang w:eastAsia="zh-CN"/>
        </w:rPr>
        <w:t>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完成时效：资金项目按照目标任务已于2023年底完成。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3分，自评得分3分。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2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zh-CN" w:eastAsia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/>
        </w:rPr>
        <w:t>（二）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专用指标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30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30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sz w:val="32"/>
          <w:szCs w:val="32"/>
          <w:lang w:val="zh-CN" w:eastAsia="zh-CN"/>
        </w:rPr>
      </w:pPr>
      <w:bookmarkStart w:id="0" w:name="OLE_LINK1"/>
      <w:bookmarkStart w:id="1" w:name="OLE_LINK4"/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该项目为</w:t>
      </w:r>
      <w:r>
        <w:rPr>
          <w:rFonts w:hint="eastAsia" w:ascii="仿宋_GB2312" w:hAnsi="宋体" w:eastAsia="仿宋_GB2312" w:cs="Times New Roman"/>
          <w:sz w:val="32"/>
          <w:szCs w:val="32"/>
          <w:lang w:val="zh-CN" w:eastAsia="zh-CN"/>
        </w:rPr>
        <w:t>行政运转。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outlineLvl w:val="9"/>
        <w:rPr>
          <w:rFonts w:hint="default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zh-CN" w:eastAsia="zh-CN"/>
        </w:rPr>
        <w:t>用途合规性</w:t>
      </w:r>
      <w:r>
        <w:rPr>
          <w:rFonts w:hint="eastAsia" w:cs="Times New Roman"/>
          <w:color w:val="auto"/>
          <w:szCs w:val="32"/>
          <w:lang w:val="en-US" w:eastAsia="zh-CN"/>
        </w:rPr>
        <w:t>：该项目按规定用途、适用范围进行本地区专项资金分配。指标分值10分，自评的分10分。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ascii="仿宋_GB2312" w:hAnsi="宋体" w:cs="Times New Roman"/>
          <w:sz w:val="32"/>
          <w:szCs w:val="32"/>
          <w:lang w:val="en-US" w:eastAsia="zh-CN"/>
        </w:rPr>
        <w:t>程序合规性：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从项目的申请、执行以及如何执行、资金如何使用等方面均出台文件，并制定了相关的制度、方案、办法等。如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黑水县公务接待管理办法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黑水县公务服务中心机关伙食团管理办法、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内部管理制度、黑水县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收支业务管理制度、黑水县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财政专项资金管理办法。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zh-CN" w:eastAsia="zh-CN"/>
        </w:rPr>
      </w:pPr>
      <w:r>
        <w:rPr>
          <w:rFonts w:hint="eastAsia" w:cs="Times New Roman"/>
          <w:color w:val="auto"/>
          <w:szCs w:val="32"/>
          <w:lang w:val="zh-CN" w:eastAsia="zh-CN"/>
        </w:rPr>
        <w:t>标准合规性</w:t>
      </w:r>
      <w:r>
        <w:rPr>
          <w:rFonts w:hint="eastAsia" w:cs="Times New Roman"/>
          <w:color w:val="auto"/>
          <w:szCs w:val="32"/>
          <w:lang w:val="en-US" w:eastAsia="zh-CN"/>
        </w:rPr>
        <w:t>：项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目资金分配均衡公平，资金实际支持对象符合管理要求，符合支持对象范围，资金实际补贴标准符合资金管理办法规定的补助标准，及时按标准兑现，资金涉及服务对象满意度不低于9</w:t>
      </w:r>
      <w:r>
        <w:rPr>
          <w:rFonts w:hint="eastAsia" w:cs="Times New Roman"/>
          <w:color w:val="auto"/>
          <w:szCs w:val="32"/>
          <w:lang w:val="en-US" w:eastAsia="zh-CN"/>
        </w:rPr>
        <w:t>8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%，</w:t>
      </w:r>
      <w:r>
        <w:rPr>
          <w:rFonts w:hint="eastAsia" w:cs="Times New Roman"/>
          <w:color w:val="auto"/>
          <w:szCs w:val="32"/>
          <w:lang w:val="zh-CN" w:eastAsia="zh-CN"/>
        </w:rPr>
        <w:t>项目用途合规性、程序合规性、标准合规性。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  <w:bookmarkEnd w:id="0"/>
    </w:p>
    <w:bookmarkEnd w:id="1"/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2" w:firstLineChars="200"/>
        <w:textAlignment w:val="auto"/>
        <w:outlineLvl w:val="9"/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个性指标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16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16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我单位在规定时间内做好</w:t>
      </w:r>
      <w:r>
        <w:rPr>
          <w:rFonts w:hint="eastAsia" w:cs="Times New Roman"/>
          <w:color w:val="auto"/>
          <w:szCs w:val="32"/>
          <w:lang w:val="en-US" w:eastAsia="zh-CN"/>
        </w:rPr>
        <w:t>该笔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经费个性化绩效评价指标具有特定的针对性，</w:t>
      </w:r>
      <w:r>
        <w:rPr>
          <w:rFonts w:hint="eastAsia" w:cs="Times New Roman"/>
          <w:color w:val="auto"/>
          <w:szCs w:val="32"/>
          <w:lang w:val="en-US" w:eastAsia="zh-CN"/>
        </w:rPr>
        <w:t>完成房屋改造、弱电工程、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能够更好保障援藏干部驻地</w:t>
      </w:r>
      <w:r>
        <w:rPr>
          <w:rFonts w:hint="eastAsia" w:cs="Times New Roman"/>
          <w:color w:val="auto"/>
          <w:szCs w:val="32"/>
          <w:lang w:val="en-US" w:eastAsia="zh-CN"/>
        </w:rPr>
        <w:t>（总工会）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日常运转。为援藏干部提供后勤保障。</w:t>
      </w:r>
    </w:p>
    <w:p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</w:rPr>
      </w:pP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  <w:lang w:eastAsia="zh-CN"/>
        </w:rPr>
        <w:t>四</w:t>
      </w: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</w:rPr>
        <w:t>、评价结论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50" w:lineRule="exact"/>
        <w:ind w:firstLine="640" w:firstLineChars="200"/>
        <w:textAlignment w:val="auto"/>
        <w:rPr>
          <w:rFonts w:hint="eastAsia" w:ascii="仿宋_GB2312" w:hAnsi="仿宋_GB2312" w:eastAsia="仿宋_GB2312" w:cs="Times New Roman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Times New Roman"/>
          <w:color w:val="auto"/>
          <w:sz w:val="32"/>
          <w:szCs w:val="32"/>
          <w:highlight w:val="none"/>
        </w:rPr>
        <w:t>从整体情况来看，我单位在各资金使用和项目实施中，能够按照国家相关规定执行和实施，项目的管理、实施和效果均达到预期目的，管理较规范，实施进度快，最终效果好。</w:t>
      </w:r>
      <w:bookmarkStart w:id="2" w:name="OLE_LINK2"/>
      <w:r>
        <w:rPr>
          <w:rFonts w:hint="eastAsia" w:ascii="仿宋_GB2312" w:hAnsi="仿宋_GB2312" w:cs="Times New Roman"/>
          <w:color w:val="auto"/>
          <w:sz w:val="32"/>
          <w:szCs w:val="32"/>
          <w:highlight w:val="none"/>
          <w:lang w:val="en-US" w:eastAsia="zh-CN"/>
        </w:rPr>
        <w:t>该项目自评得分98分。</w:t>
      </w:r>
      <w:bookmarkEnd w:id="2"/>
    </w:p>
    <w:p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黑体" w:hAnsi="宋体" w:eastAsia="黑体" w:cs="Times New Roman"/>
          <w:color w:val="auto"/>
          <w:sz w:val="32"/>
          <w:szCs w:val="32"/>
          <w:highlight w:val="none"/>
          <w:u w:val="none"/>
          <w:lang w:eastAsia="zh-CN"/>
        </w:rPr>
      </w:pPr>
      <w:r>
        <w:rPr>
          <w:rFonts w:hint="eastAsia" w:ascii="黑体" w:hAnsi="宋体" w:cs="Times New Roman"/>
          <w:color w:val="auto"/>
          <w:sz w:val="32"/>
          <w:szCs w:val="32"/>
          <w:highlight w:val="none"/>
          <w:u w:val="none"/>
          <w:lang w:eastAsia="zh-CN"/>
        </w:rPr>
        <w:t>五、</w:t>
      </w:r>
      <w:r>
        <w:rPr>
          <w:rFonts w:hint="eastAsia" w:ascii="黑体" w:hAnsi="宋体" w:eastAsia="黑体" w:cs="Times New Roman"/>
          <w:color w:val="auto"/>
          <w:sz w:val="32"/>
          <w:szCs w:val="32"/>
          <w:highlight w:val="none"/>
          <w:u w:val="none"/>
          <w:lang w:eastAsia="zh-CN"/>
        </w:rPr>
        <w:t>存在主要问题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项目经费使用严格按照相关规定执行，资金到位时间慢，存在支出进度缓慢，材料报送不及时等问题，针对项目执行时出现的问题，及时改进</w:t>
      </w:r>
      <w:r>
        <w:rPr>
          <w:rFonts w:hint="eastAsia" w:ascii="宋体" w:hAnsi="宋体" w:eastAsia="宋体" w:cs="宋体"/>
          <w:caps w:val="0"/>
          <w:color w:val="auto"/>
          <w:spacing w:val="0"/>
          <w:sz w:val="24"/>
          <w:szCs w:val="24"/>
          <w:highlight w:val="none"/>
          <w:shd w:val="clear" w:color="auto" w:fill="FFFFFF"/>
          <w:vertAlign w:val="baseline"/>
        </w:rPr>
        <w:t>，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加快材料报送与审核流程，确保项目经费支出符合相关规定并按时支出。</w:t>
      </w:r>
    </w:p>
    <w:p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黑体" w:hAnsi="宋体" w:eastAsia="黑体" w:cs="Times New Roman"/>
          <w:color w:val="auto"/>
          <w:kern w:val="0"/>
          <w:position w:val="3"/>
          <w:sz w:val="32"/>
          <w:szCs w:val="32"/>
          <w:highlight w:val="none"/>
          <w:u w:val="none"/>
          <w:lang w:val="zh-CN" w:eastAsia="zh-CN" w:bidi="ar-SA"/>
        </w:rPr>
      </w:pPr>
      <w:r>
        <w:rPr>
          <w:rFonts w:hint="eastAsia" w:ascii="黑体" w:hAnsi="宋体" w:eastAsia="黑体" w:cs="Times New Roman"/>
          <w:color w:val="auto"/>
          <w:kern w:val="0"/>
          <w:position w:val="3"/>
          <w:sz w:val="32"/>
          <w:szCs w:val="32"/>
          <w:highlight w:val="none"/>
          <w:u w:val="none"/>
          <w:lang w:val="zh-CN" w:eastAsia="zh-CN" w:bidi="ar-SA"/>
        </w:rPr>
        <w:t>六、改进建议</w:t>
      </w:r>
    </w:p>
    <w:p>
      <w:pPr>
        <w:pStyle w:val="7"/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无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附表：1.项目资金分配涉及所有点位自评得分情况表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1600" w:firstLineChars="500"/>
        <w:textAlignment w:val="auto"/>
        <w:outlineLvl w:val="9"/>
        <w:rPr>
          <w:rFonts w:hint="default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2.专项预算项目绩效目标完成情况自评表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4480" w:firstLineChars="14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黑水县公务服务中心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4800" w:firstLineChars="1500"/>
        <w:textAlignment w:val="auto"/>
        <w:outlineLvl w:val="9"/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zh-CN" w:eastAsia="zh-CN"/>
        </w:rPr>
      </w:pPr>
      <w:r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2026年3月25日</w:t>
      </w:r>
      <w:r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zh-CN" w:eastAsia="zh-CN"/>
        </w:rPr>
        <w:br w:type="page"/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contextualSpacing/>
        <w:jc w:val="left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  <w:t>项目资金分配涉及所有点位自评得分情况表</w:t>
      </w:r>
    </w:p>
    <w:tbl>
      <w:tblPr>
        <w:tblStyle w:val="10"/>
        <w:tblW w:w="88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3843"/>
        <w:gridCol w:w="2861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8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项目资金末端分配点位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  <w:t>自评得分（百分制）</w:t>
            </w:r>
          </w:p>
        </w:tc>
        <w:tc>
          <w:tcPr>
            <w:tcW w:w="99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38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  <w:t>黑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水县公务服务中心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98</w:t>
            </w:r>
          </w:p>
        </w:tc>
        <w:tc>
          <w:tcPr>
            <w:tcW w:w="99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备注：1.项目资金末端分配点位包括州本级、县（市）、州级部门下属单位及一次性单位等。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30" w:firstLineChars="3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2.自评得分（百分制）从高到低划分为优、良、中、差四个档次，各个档次数量占比分别为20%、20%、55%、5%，且不同档次间得分分值应体现差异化，同档次得分分值相同的比例不超过该档次总数量的10%。</w:t>
      </w:r>
    </w:p>
    <w:p>
      <w:pP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br w:type="page"/>
      </w: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附表2</w:t>
      </w:r>
    </w:p>
    <w:tbl>
      <w:tblPr>
        <w:tblStyle w:val="9"/>
        <w:tblW w:w="1023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776"/>
        <w:gridCol w:w="20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/>
              <w:jc w:val="center"/>
              <w:textAlignment w:val="center"/>
              <w:rPr>
                <w:rFonts w:ascii="黑体" w:hAnsi="宋体" w:eastAsia="黑体" w:cs="黑体"/>
                <w:i w:val="0"/>
                <w:color w:val="auto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auto"/>
                <w:kern w:val="0"/>
                <w:sz w:val="40"/>
                <w:szCs w:val="40"/>
                <w:highlight w:val="none"/>
                <w:u w:val="none"/>
                <w:lang w:val="en-US" w:eastAsia="zh-CN" w:bidi="ar"/>
              </w:rPr>
              <w:t>专项预算项目绩效目标完成情况自评表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嘉兴市对口支援黑水县工作队驻地活动室采购项目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黑水县公务服务中心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特定目标类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£项目法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据实据效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£</w:t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因素法与项目法相结合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2023年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5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ab/>
            </w: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77.8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4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ab/>
            </w: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77.8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righ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年度目标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绩效 指标</w:t>
            </w:r>
          </w:p>
        </w:tc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度量单位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权重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tbl>
            <w:tblPr>
              <w:tblStyle w:val="9"/>
              <w:tblW w:w="10233" w:type="dxa"/>
              <w:jc w:val="center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00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3" w:hRule="atLeast"/>
                <w:jc w:val="center"/>
              </w:trPr>
              <w:tc>
                <w:tcPr>
                  <w:tcW w:w="200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ascii="宋体" w:hAnsi="宋体" w:eastAsia="宋体" w:cs="宋体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</w:pPr>
                  <w:bookmarkStart w:id="3" w:name="OLE_LINK5"/>
                  <w:r>
                    <w:rPr>
                      <w:rFonts w:ascii="宋体" w:hAnsi="宋体" w:eastAsia="宋体" w:cs="宋体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实际完成指标值</w:t>
                  </w:r>
                  <w:bookmarkEnd w:id="3"/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维修改造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=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处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8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完成质量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按要求验收合格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验收合格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8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完成时间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2023年完工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保证援藏干部住宿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4" w:name="OLE_LINK3"/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保证援藏干部住宿</w:t>
            </w:r>
            <w:bookmarkEnd w:id="4"/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保证援藏干部住宿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98%</w:t>
            </w:r>
          </w:p>
        </w:tc>
      </w:tr>
    </w:tbl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/>
        <w:rPr>
          <w:rFonts w:hint="default" w:ascii="黑体" w:hAnsi="黑体" w:eastAsia="黑体" w:cs="黑体"/>
          <w:color w:val="auto"/>
          <w:sz w:val="24"/>
          <w:szCs w:val="24"/>
          <w:highlight w:val="none"/>
          <w:lang w:val="en-US" w:eastAsia="zh-CN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??">
    <w:altName w:val="国标宋体-超大字符集扩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2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F1FE72"/>
    <w:multiLevelType w:val="singleLevel"/>
    <w:tmpl w:val="C0F1FE72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273C8734"/>
    <w:multiLevelType w:val="singleLevel"/>
    <w:tmpl w:val="273C8734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JhMTMyYjBmMmM3YjQ4NGJjMjBlYzdiNDk3NTAzMzgifQ=="/>
  </w:docVars>
  <w:rsids>
    <w:rsidRoot w:val="771D4D51"/>
    <w:rsid w:val="0DE91A86"/>
    <w:rsid w:val="107F64E1"/>
    <w:rsid w:val="1C25106F"/>
    <w:rsid w:val="1CFD8DF6"/>
    <w:rsid w:val="1DE05740"/>
    <w:rsid w:val="1DEFE577"/>
    <w:rsid w:val="1FFF9AD9"/>
    <w:rsid w:val="20DA0916"/>
    <w:rsid w:val="223C02A0"/>
    <w:rsid w:val="22AD555F"/>
    <w:rsid w:val="237C5355"/>
    <w:rsid w:val="2587208D"/>
    <w:rsid w:val="26CF2DB3"/>
    <w:rsid w:val="2AF86ED7"/>
    <w:rsid w:val="2AFDF212"/>
    <w:rsid w:val="2B385C88"/>
    <w:rsid w:val="2B6BF484"/>
    <w:rsid w:val="2D0A3A6F"/>
    <w:rsid w:val="2FFF7DE7"/>
    <w:rsid w:val="33F748AD"/>
    <w:rsid w:val="35874596"/>
    <w:rsid w:val="35F2A362"/>
    <w:rsid w:val="36EA2AC9"/>
    <w:rsid w:val="371A51D2"/>
    <w:rsid w:val="373BBD0C"/>
    <w:rsid w:val="39BFEDBA"/>
    <w:rsid w:val="39DBABD8"/>
    <w:rsid w:val="3A7325BC"/>
    <w:rsid w:val="3AED12ED"/>
    <w:rsid w:val="3AFF6A5D"/>
    <w:rsid w:val="3BDD34D2"/>
    <w:rsid w:val="3BDDFF97"/>
    <w:rsid w:val="3BFFD43B"/>
    <w:rsid w:val="3C7BD5C9"/>
    <w:rsid w:val="3C9C7C6A"/>
    <w:rsid w:val="3FBF9251"/>
    <w:rsid w:val="3FED766E"/>
    <w:rsid w:val="3FFEEAD9"/>
    <w:rsid w:val="3FFFE931"/>
    <w:rsid w:val="457F07F2"/>
    <w:rsid w:val="4801281A"/>
    <w:rsid w:val="4CC6FDBD"/>
    <w:rsid w:val="4E07F45D"/>
    <w:rsid w:val="4FF59AF5"/>
    <w:rsid w:val="503D00E8"/>
    <w:rsid w:val="528146A2"/>
    <w:rsid w:val="55673EB8"/>
    <w:rsid w:val="55FE10A2"/>
    <w:rsid w:val="56EF6619"/>
    <w:rsid w:val="57AF1E73"/>
    <w:rsid w:val="5AB21C33"/>
    <w:rsid w:val="5B778EC0"/>
    <w:rsid w:val="5BFD93EC"/>
    <w:rsid w:val="5CBA8FF2"/>
    <w:rsid w:val="5D5F7E21"/>
    <w:rsid w:val="5F5B35E4"/>
    <w:rsid w:val="609FA7B0"/>
    <w:rsid w:val="60BB24BF"/>
    <w:rsid w:val="6983095C"/>
    <w:rsid w:val="69FCE5E7"/>
    <w:rsid w:val="6BCDA9CC"/>
    <w:rsid w:val="6D665D34"/>
    <w:rsid w:val="6D9F2765"/>
    <w:rsid w:val="6DB508E5"/>
    <w:rsid w:val="6DDFA6BD"/>
    <w:rsid w:val="6E767ACE"/>
    <w:rsid w:val="6E781687"/>
    <w:rsid w:val="6E8E5C5B"/>
    <w:rsid w:val="6EC750E9"/>
    <w:rsid w:val="6EEE3ED1"/>
    <w:rsid w:val="6EFFED40"/>
    <w:rsid w:val="6F1B2166"/>
    <w:rsid w:val="6F5FC1DE"/>
    <w:rsid w:val="6FB3E1FD"/>
    <w:rsid w:val="6FD768E4"/>
    <w:rsid w:val="6FF341F1"/>
    <w:rsid w:val="6FFEBD86"/>
    <w:rsid w:val="71787CDF"/>
    <w:rsid w:val="73FF1F09"/>
    <w:rsid w:val="73FF684B"/>
    <w:rsid w:val="74A708C5"/>
    <w:rsid w:val="76DFCB7D"/>
    <w:rsid w:val="771D4D51"/>
    <w:rsid w:val="7735A28E"/>
    <w:rsid w:val="77778F6D"/>
    <w:rsid w:val="77ABFD6B"/>
    <w:rsid w:val="77B7A121"/>
    <w:rsid w:val="77C748BA"/>
    <w:rsid w:val="77DD24F1"/>
    <w:rsid w:val="77F10335"/>
    <w:rsid w:val="77F7E860"/>
    <w:rsid w:val="77FB8D34"/>
    <w:rsid w:val="797D0128"/>
    <w:rsid w:val="79EDB415"/>
    <w:rsid w:val="7ABBCDAB"/>
    <w:rsid w:val="7AFCAD25"/>
    <w:rsid w:val="7AFEB9B4"/>
    <w:rsid w:val="7B5E0C37"/>
    <w:rsid w:val="7B63F034"/>
    <w:rsid w:val="7B735637"/>
    <w:rsid w:val="7B7DE504"/>
    <w:rsid w:val="7BFEC4F8"/>
    <w:rsid w:val="7DA14F75"/>
    <w:rsid w:val="7DB57A61"/>
    <w:rsid w:val="7DC7DC1F"/>
    <w:rsid w:val="7DF95E12"/>
    <w:rsid w:val="7DFDF40F"/>
    <w:rsid w:val="7DFF9BC7"/>
    <w:rsid w:val="7EB645E3"/>
    <w:rsid w:val="7EB6B7AB"/>
    <w:rsid w:val="7EDEF702"/>
    <w:rsid w:val="7EFD6908"/>
    <w:rsid w:val="7EFF8787"/>
    <w:rsid w:val="7F1C270D"/>
    <w:rsid w:val="7F5F4807"/>
    <w:rsid w:val="7F722518"/>
    <w:rsid w:val="7F7CF90E"/>
    <w:rsid w:val="7F9E3557"/>
    <w:rsid w:val="7FBF2857"/>
    <w:rsid w:val="7FD3B1BB"/>
    <w:rsid w:val="7FE7031F"/>
    <w:rsid w:val="7FEC5D3B"/>
    <w:rsid w:val="7FEF37E2"/>
    <w:rsid w:val="7FF70813"/>
    <w:rsid w:val="7FF7B584"/>
    <w:rsid w:val="7FFDFB4B"/>
    <w:rsid w:val="7FFF1910"/>
    <w:rsid w:val="7FFF8C1D"/>
    <w:rsid w:val="7FFF92F0"/>
    <w:rsid w:val="7FFFF07C"/>
    <w:rsid w:val="9BF3195D"/>
    <w:rsid w:val="A5DB4128"/>
    <w:rsid w:val="A6E375DB"/>
    <w:rsid w:val="A6EFA809"/>
    <w:rsid w:val="A6F7CC0B"/>
    <w:rsid w:val="AABFBDFA"/>
    <w:rsid w:val="AF7DE88E"/>
    <w:rsid w:val="AFED1DC0"/>
    <w:rsid w:val="AFFBB299"/>
    <w:rsid w:val="B3ECA4C8"/>
    <w:rsid w:val="B4D7E8EA"/>
    <w:rsid w:val="B4EF3795"/>
    <w:rsid w:val="B5E79B51"/>
    <w:rsid w:val="B6E7F02A"/>
    <w:rsid w:val="B797ED78"/>
    <w:rsid w:val="BB75119C"/>
    <w:rsid w:val="BBD3B774"/>
    <w:rsid w:val="BBDF02B2"/>
    <w:rsid w:val="BCFB0575"/>
    <w:rsid w:val="BE5EC634"/>
    <w:rsid w:val="BEC77393"/>
    <w:rsid w:val="BEFECBAE"/>
    <w:rsid w:val="BF2F7DA9"/>
    <w:rsid w:val="BF7F7592"/>
    <w:rsid w:val="BFB71281"/>
    <w:rsid w:val="BFBDF2DF"/>
    <w:rsid w:val="BFE4DD88"/>
    <w:rsid w:val="BFF9117D"/>
    <w:rsid w:val="BFFF6947"/>
    <w:rsid w:val="C8FDA203"/>
    <w:rsid w:val="CEF79301"/>
    <w:rsid w:val="CEFBB93B"/>
    <w:rsid w:val="CF7C6158"/>
    <w:rsid w:val="CF9D4E98"/>
    <w:rsid w:val="CFBFEC5E"/>
    <w:rsid w:val="D65BF816"/>
    <w:rsid w:val="D73F10CF"/>
    <w:rsid w:val="D977C3BB"/>
    <w:rsid w:val="D977C9A6"/>
    <w:rsid w:val="D9FF310B"/>
    <w:rsid w:val="DBF57698"/>
    <w:rsid w:val="DBFFAB54"/>
    <w:rsid w:val="DDFF5069"/>
    <w:rsid w:val="DECF83A1"/>
    <w:rsid w:val="DEEBD176"/>
    <w:rsid w:val="DEED29CB"/>
    <w:rsid w:val="DEFF6025"/>
    <w:rsid w:val="DF4E686F"/>
    <w:rsid w:val="DF7F78BD"/>
    <w:rsid w:val="DFDFC0CD"/>
    <w:rsid w:val="DFF7F21C"/>
    <w:rsid w:val="DFFE4986"/>
    <w:rsid w:val="E3F74AB8"/>
    <w:rsid w:val="E5FD7CF6"/>
    <w:rsid w:val="E7FE6222"/>
    <w:rsid w:val="E9BB2A12"/>
    <w:rsid w:val="EDDF69E1"/>
    <w:rsid w:val="EDF76BB3"/>
    <w:rsid w:val="EEF68640"/>
    <w:rsid w:val="EFF41AC0"/>
    <w:rsid w:val="EFF76D95"/>
    <w:rsid w:val="EFFF2C87"/>
    <w:rsid w:val="EFFFA435"/>
    <w:rsid w:val="F1DF82E1"/>
    <w:rsid w:val="F1F64F55"/>
    <w:rsid w:val="F2E22473"/>
    <w:rsid w:val="F35D14F0"/>
    <w:rsid w:val="F3F4C349"/>
    <w:rsid w:val="F3F64609"/>
    <w:rsid w:val="F4E96614"/>
    <w:rsid w:val="F4F54B3B"/>
    <w:rsid w:val="F58EBBB0"/>
    <w:rsid w:val="F5CBD2AD"/>
    <w:rsid w:val="F6F3FBF3"/>
    <w:rsid w:val="F6FE0D0F"/>
    <w:rsid w:val="F9B8FDC3"/>
    <w:rsid w:val="F9BF4E89"/>
    <w:rsid w:val="FA79E738"/>
    <w:rsid w:val="FAD729CA"/>
    <w:rsid w:val="FB1B5977"/>
    <w:rsid w:val="FBF62448"/>
    <w:rsid w:val="FBF76486"/>
    <w:rsid w:val="FBFF7DC7"/>
    <w:rsid w:val="FC37AF17"/>
    <w:rsid w:val="FCDE5A6F"/>
    <w:rsid w:val="FCFE5638"/>
    <w:rsid w:val="FCFF1FE1"/>
    <w:rsid w:val="FD7C7175"/>
    <w:rsid w:val="FDD7319B"/>
    <w:rsid w:val="FDDE4FF7"/>
    <w:rsid w:val="FDF8F696"/>
    <w:rsid w:val="FE7B38A4"/>
    <w:rsid w:val="FE7EBDAF"/>
    <w:rsid w:val="FEAF5424"/>
    <w:rsid w:val="FECB8DB0"/>
    <w:rsid w:val="FECF948F"/>
    <w:rsid w:val="FEDCE487"/>
    <w:rsid w:val="FEED62B0"/>
    <w:rsid w:val="FEEFF60E"/>
    <w:rsid w:val="FEFD6F73"/>
    <w:rsid w:val="FF0F1500"/>
    <w:rsid w:val="FF5995C2"/>
    <w:rsid w:val="FF6B552C"/>
    <w:rsid w:val="FF6F74D4"/>
    <w:rsid w:val="FFBB4B28"/>
    <w:rsid w:val="FFCFE300"/>
    <w:rsid w:val="FFD58A98"/>
    <w:rsid w:val="FFDD382A"/>
    <w:rsid w:val="FFDFD60A"/>
    <w:rsid w:val="FFE6F78D"/>
    <w:rsid w:val="FFEBBD1A"/>
    <w:rsid w:val="FFEF3B9A"/>
    <w:rsid w:val="FFF171B6"/>
    <w:rsid w:val="FFF33D76"/>
    <w:rsid w:val="FFF3C5BB"/>
    <w:rsid w:val="FFFA984C"/>
    <w:rsid w:val="FFFB4651"/>
    <w:rsid w:val="FFFD90B9"/>
    <w:rsid w:val="FFFF2620"/>
    <w:rsid w:val="FFFF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qFormat="1" w:unhideWhenUsed="0" w:uiPriority="99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 w:eastAsia="zh-CN"/>
    </w:rPr>
  </w:style>
  <w:style w:type="paragraph" w:styleId="3">
    <w:name w:val="Body Text"/>
    <w:basedOn w:val="1"/>
    <w:qFormat/>
    <w:uiPriority w:val="99"/>
    <w:pPr>
      <w:widowControl/>
      <w:tabs>
        <w:tab w:val="left" w:pos="2160"/>
      </w:tabs>
      <w:spacing w:line="480" w:lineRule="auto"/>
      <w:jc w:val="left"/>
    </w:pPr>
    <w:rPr>
      <w:rFonts w:ascii="楷体_GB2312" w:eastAsia="黑体"/>
      <w:kern w:val="0"/>
      <w:position w:val="3"/>
      <w:sz w:val="20"/>
      <w:szCs w:val="20"/>
      <w:lang w:eastAsia="en-US"/>
    </w:rPr>
  </w:style>
  <w:style w:type="paragraph" w:styleId="4">
    <w:name w:val="Body Text Indent"/>
    <w:basedOn w:val="1"/>
    <w:qFormat/>
    <w:uiPriority w:val="0"/>
    <w:pPr>
      <w:spacing w:after="120"/>
      <w:ind w:leftChars="200"/>
    </w:pPr>
    <w:rPr>
      <w:rFonts w:ascii="仿宋_GB2312"/>
      <w:szCs w:val="32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 w:eastAsia="zh-CN"/>
    </w:rPr>
  </w:style>
  <w:style w:type="paragraph" w:styleId="6">
    <w:name w:val="toc 1"/>
    <w:basedOn w:val="1"/>
    <w:next w:val="1"/>
    <w:qFormat/>
    <w:uiPriority w:val="0"/>
  </w:style>
  <w:style w:type="paragraph" w:styleId="7">
    <w:name w:val="table of figures"/>
    <w:basedOn w:val="1"/>
    <w:next w:val="1"/>
    <w:semiHidden/>
    <w:qFormat/>
    <w:uiPriority w:val="99"/>
    <w:pPr>
      <w:spacing w:before="100" w:beforeAutospacing="1" w:after="100" w:afterAutospacing="1"/>
      <w:ind w:left="200" w:leftChars="200" w:hanging="200" w:hangingChars="200"/>
    </w:pPr>
  </w:style>
  <w:style w:type="paragraph" w:styleId="8">
    <w:name w:val="Body Text First Indent 2"/>
    <w:basedOn w:val="4"/>
    <w:unhideWhenUsed/>
    <w:qFormat/>
    <w:uiPriority w:val="99"/>
    <w:pPr>
      <w:ind w:firstLine="420" w:firstLineChars="20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jc w:val="left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customStyle="1" w:styleId="13">
    <w:name w:val="四号正文"/>
    <w:basedOn w:val="1"/>
    <w:qFormat/>
    <w:uiPriority w:val="0"/>
    <w:pPr>
      <w:spacing w:line="360" w:lineRule="auto"/>
    </w:pPr>
    <w:rPr>
      <w:rFonts w:ascii="??" w:hAnsi="??" w:eastAsia="宋体"/>
      <w:color w:val="000000"/>
      <w:kern w:val="0"/>
      <w:sz w:val="28"/>
      <w:szCs w:val="21"/>
      <w:lang w:val="zh-CN" w:eastAsia="zh-CN"/>
    </w:rPr>
  </w:style>
  <w:style w:type="paragraph" w:customStyle="1" w:styleId="14">
    <w:name w:val="NormalIndent"/>
    <w:next w:val="5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3817</Words>
  <Characters>3917</Characters>
  <Lines>0</Lines>
  <Paragraphs>0</Paragraphs>
  <TotalTime>5</TotalTime>
  <ScaleCrop>false</ScaleCrop>
  <LinksUpToDate>false</LinksUpToDate>
  <CharactersWithSpaces>3943</CharactersWithSpaces>
  <Application>WPS Office_11.1.0.10161_F1E327BC-269C-435d-A152-05C5408002CA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2020-07-12T16:13:00Z</dcterms:created>
  <dc:creator>Administrator</dc:creator>
  <cp:lastModifiedBy>user</cp:lastModifiedBy>
  <cp:lastPrinted>2024-08-14T11:20:00Z</cp:lastPrinted>
  <dcterms:modified xsi:type="dcterms:W3CDTF">2026-10-13T17:02:19Z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2052-11.1.0.10161</vt:lpwstr>
  </property>
  <property fmtid="{D5CDD505-2E9C-101B-9397-08002B2CF9AE}" pid="3" name="ICV">
    <vt:lpwstr>FD65ACE9ECD42879F7879466AF52A2C4</vt:lpwstr>
  </property>
  <property fmtid="{D5CDD505-2E9C-101B-9397-08002B2CF9AE}" pid="4" name="KSOTemplateDocerSaveRecord">
    <vt:lpwstr>eyJoZGlkIjoiM2JmZThhNTRkMDVlMzRiYzM4M2ZmNzViNzc4NmYxZGUiLCJ1c2VySWQiOiI0Mzk4NDM2OTIifQ==</vt:lpwstr>
  </property>
</Properties>
</file>