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7020"/>
        </w:tabs>
        <w:jc w:val="both"/>
        <w:rPr>
          <w:rFonts w:hint="eastAsia" w:ascii="宋体" w:hAnsi="宋体"/>
          <w:b/>
          <w:color w:val="FF0000"/>
          <w:w w:val="33"/>
          <w:sz w:val="202"/>
        </w:rPr>
      </w:pPr>
      <w:r>
        <w:rPr>
          <w:rFonts w:hint="eastAsia" w:ascii="宋体" w:hAnsi="宋体"/>
          <w:b/>
          <w:color w:val="FF0000"/>
          <w:w w:val="33"/>
          <w:sz w:val="202"/>
        </w:rPr>
        <w:drawing>
          <wp:inline distT="0" distB="0" distL="114300" distR="114300">
            <wp:extent cx="5615305" cy="1568450"/>
            <wp:effectExtent l="0" t="0" r="4445" b="12700"/>
            <wp:docPr id="1" name="图片 1" descr="8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8868"/>
                    <pic:cNvPicPr>
                      <a:picLocks noChangeAspect="1"/>
                    </pic:cNvPicPr>
                  </pic:nvPicPr>
                  <pic:blipFill>
                    <a:blip r:embed="rId6"/>
                    <a:stretch>
                      <a:fillRect/>
                    </a:stretch>
                  </pic:blipFill>
                  <pic:spPr>
                    <a:xfrm>
                      <a:off x="0" y="0"/>
                      <a:ext cx="5615305" cy="1568450"/>
                    </a:xfrm>
                    <a:prstGeom prst="rect">
                      <a:avLst/>
                    </a:prstGeom>
                    <a:noFill/>
                    <a:ln>
                      <a:noFill/>
                    </a:ln>
                  </pic:spPr>
                </pic:pic>
              </a:graphicData>
            </a:graphic>
          </wp:inline>
        </w:drawing>
      </w:r>
    </w:p>
    <w:p>
      <w:pPr>
        <w:pStyle w:val="8"/>
        <w:rPr>
          <w:rFonts w:hint="eastAsia"/>
        </w:rPr>
      </w:pPr>
    </w:p>
    <w:p>
      <w:pPr>
        <w:tabs>
          <w:tab w:val="left" w:pos="7020"/>
        </w:tabs>
        <w:ind w:left="486" w:leftChars="152" w:firstLine="0" w:firstLineChars="0"/>
        <w:jc w:val="both"/>
        <w:rPr>
          <w:rFonts w:hint="eastAsia" w:ascii="楷体_GB2312" w:hAnsi="楷体_GB2312" w:eastAsia="楷体_GB2312" w:cs="楷体_GB2312"/>
          <w:color w:val="000000"/>
          <w:sz w:val="32"/>
          <w:szCs w:val="32"/>
          <w:lang w:val="en-US" w:eastAsia="zh-CN"/>
        </w:rPr>
      </w:pPr>
      <w:r>
        <w:rPr>
          <w:rFonts w:hint="eastAsia" w:ascii="仿宋_GB2312" w:hAnsi="仿宋_GB2312" w:eastAsia="仿宋_GB2312" w:cs="仿宋_GB2312"/>
          <w:sz w:val="32"/>
          <w:szCs w:val="32"/>
          <w:lang w:val="en-US" w:eastAsia="zh-CN"/>
        </w:rPr>
        <w:t>黑</w:t>
      </w:r>
      <w:r>
        <w:rPr>
          <w:rFonts w:hint="eastAsia" w:ascii="仿宋_GB2312" w:hAnsi="仿宋_GB2312" w:eastAsia="仿宋_GB2312" w:cs="仿宋_GB2312"/>
          <w:sz w:val="32"/>
          <w:szCs w:val="32"/>
        </w:rPr>
        <w:t>芦府〔20</w:t>
      </w:r>
      <w:r>
        <w:rPr>
          <w:rFonts w:hint="eastAsia" w:ascii="仿宋_GB2312" w:hAnsi="仿宋_GB2312" w:eastAsia="仿宋_GB2312" w:cs="仿宋_GB2312"/>
          <w:sz w:val="32"/>
          <w:szCs w:val="32"/>
          <w:lang w:val="en-US" w:eastAsia="zh-CN"/>
        </w:rPr>
        <w:t>26</w:t>
      </w:r>
      <w:r>
        <w:rPr>
          <w:rFonts w:hint="eastAsia" w:ascii="仿宋_GB2312" w:hAnsi="仿宋_GB2312" w:eastAsia="仿宋_GB2312" w:cs="仿宋_GB2312"/>
          <w:sz w:val="32"/>
          <w:szCs w:val="32"/>
        </w:rPr>
        <w:t>〕</w:t>
      </w:r>
      <w:r>
        <w:rPr>
          <w:rFonts w:hint="eastAsia" w:ascii="仿宋_GB2312" w:hAnsi="仿宋_GB2312" w:cs="仿宋_GB2312"/>
          <w:sz w:val="32"/>
          <w:szCs w:val="32"/>
          <w:lang w:val="en-US" w:eastAsia="zh-CN"/>
        </w:rPr>
        <w:t>14</w:t>
      </w:r>
      <w:r>
        <w:rPr>
          <w:rFonts w:hint="eastAsia" w:ascii="仿宋_GB2312" w:hAnsi="仿宋_GB2312" w:eastAsia="仿宋_GB2312" w:cs="仿宋_GB2312"/>
          <w:sz w:val="32"/>
          <w:szCs w:val="32"/>
        </w:rPr>
        <w:t>号</w:t>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 xml:space="preserve">   </w:t>
      </w:r>
      <w:r>
        <w:rPr>
          <w:rFonts w:hint="eastAsia" w:ascii="楷体_GB2312" w:hAnsi="楷体_GB2312" w:eastAsia="楷体_GB2312" w:cs="楷体_GB2312"/>
          <w:color w:val="000000"/>
          <w:sz w:val="32"/>
          <w:szCs w:val="32"/>
          <w:lang w:val="en-US" w:eastAsia="zh-CN"/>
        </w:rPr>
        <w:t>签发人：唐谦</w:t>
      </w:r>
    </w:p>
    <w:tbl>
      <w:tblPr>
        <w:tblStyle w:val="14"/>
        <w:tblpPr w:leftFromText="180" w:rightFromText="180" w:vertAnchor="text" w:horzAnchor="margin" w:tblpXSpec="center" w:tblpY="56"/>
        <w:tblW w:w="0" w:type="auto"/>
        <w:tblInd w:w="0" w:type="dxa"/>
        <w:tblBorders>
          <w:top w:val="single" w:color="FF0000" w:sz="18"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736"/>
      </w:tblGrid>
      <w:tr>
        <w:tblPrEx>
          <w:tblBorders>
            <w:top w:val="single" w:color="FF0000"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 w:hRule="atLeast"/>
        </w:trPr>
        <w:tc>
          <w:tcPr>
            <w:tcW w:w="8736" w:type="dxa"/>
            <w:noWrap w:val="0"/>
            <w:vAlign w:val="top"/>
          </w:tcPr>
          <w:p>
            <w:pPr>
              <w:tabs>
                <w:tab w:val="left" w:pos="7020"/>
              </w:tabs>
              <w:rPr>
                <w:rFonts w:hint="eastAsia" w:ascii="仿宋" w:eastAsia="仿宋"/>
                <w:w w:val="66"/>
                <w:sz w:val="10"/>
                <w:szCs w:val="10"/>
              </w:rPr>
            </w:pPr>
          </w:p>
        </w:tc>
      </w:tr>
      <w:tr>
        <w:tblPrEx>
          <w:tblBorders>
            <w:top w:val="single" w:color="FF0000"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 w:hRule="atLeast"/>
        </w:trPr>
        <w:tc>
          <w:tcPr>
            <w:tcW w:w="8736" w:type="dxa"/>
            <w:noWrap w:val="0"/>
            <w:vAlign w:val="top"/>
          </w:tcPr>
          <w:p>
            <w:pPr>
              <w:tabs>
                <w:tab w:val="left" w:pos="7020"/>
              </w:tabs>
              <w:rPr>
                <w:rFonts w:hint="eastAsia" w:ascii="仿宋" w:eastAsia="仿宋"/>
                <w:w w:val="66"/>
                <w:sz w:val="10"/>
                <w:szCs w:val="10"/>
              </w:rPr>
            </w:pPr>
          </w:p>
        </w:tc>
      </w:tr>
    </w:tbl>
    <w:p>
      <w:pPr>
        <w:snapToGrid w:val="0"/>
        <w:jc w:val="center"/>
        <w:rPr>
          <w:rFonts w:hint="eastAsia" w:ascii="方正小标宋_GBK" w:hAnsi="方正小标宋_GBK" w:eastAsia="方正小标宋_GBK" w:cs="方正小标宋_GBK"/>
          <w:b/>
          <w:sz w:val="44"/>
          <w:szCs w:val="44"/>
          <w:highlight w:val="none"/>
          <w:shd w:val="clear" w:color="auto" w:fill="FFFFFF"/>
        </w:rPr>
      </w:pPr>
      <w:r>
        <w:rPr>
          <w:rFonts w:hint="eastAsia" w:ascii="方正小标宋_GBK" w:hAnsi="方正小标宋_GBK" w:eastAsia="方正小标宋_GBK" w:cs="方正小标宋_GBK"/>
          <w:b w:val="0"/>
          <w:bCs/>
          <w:sz w:val="44"/>
          <w:szCs w:val="44"/>
        </w:rPr>
        <w:t>黑水县</w:t>
      </w:r>
      <w:r>
        <w:rPr>
          <w:rFonts w:hint="eastAsia" w:ascii="方正小标宋_GBK" w:hAnsi="方正小标宋_GBK" w:eastAsia="方正小标宋_GBK" w:cs="方正小标宋_GBK"/>
          <w:b w:val="0"/>
          <w:bCs/>
          <w:sz w:val="44"/>
          <w:szCs w:val="44"/>
          <w:lang w:eastAsia="zh-CN"/>
        </w:rPr>
        <w:t>芦花</w:t>
      </w:r>
      <w:r>
        <w:rPr>
          <w:rFonts w:hint="eastAsia" w:ascii="方正小标宋_GBK" w:hAnsi="方正小标宋_GBK" w:eastAsia="方正小标宋_GBK" w:cs="方正小标宋_GBK"/>
          <w:b w:val="0"/>
          <w:bCs/>
          <w:sz w:val="44"/>
          <w:szCs w:val="44"/>
        </w:rPr>
        <w:t>镇人民政府</w:t>
      </w:r>
    </w:p>
    <w:p>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eastAsia" w:ascii="方正小标宋_GBK" w:hAnsi="方正小标宋_GBK" w:eastAsia="方正小标宋_GBK" w:cs="方正小标宋_GBK"/>
          <w:b w:val="0"/>
          <w:bCs/>
          <w:sz w:val="44"/>
          <w:szCs w:val="44"/>
          <w:highlight w:val="none"/>
          <w:shd w:val="clear" w:color="auto" w:fill="FFFFFF"/>
        </w:rPr>
      </w:pPr>
      <w:r>
        <w:rPr>
          <w:rFonts w:hint="eastAsia" w:ascii="方正小标宋_GBK" w:hAnsi="方正小标宋_GBK" w:eastAsia="方正小标宋_GBK" w:cs="方正小标宋_GBK"/>
          <w:b w:val="0"/>
          <w:bCs/>
          <w:sz w:val="44"/>
          <w:szCs w:val="44"/>
          <w:highlight w:val="none"/>
          <w:shd w:val="clear" w:color="auto" w:fill="FFFFFF"/>
          <w:lang w:val="en-US" w:eastAsia="zh-CN"/>
        </w:rPr>
        <w:t>2025年</w:t>
      </w:r>
      <w:r>
        <w:rPr>
          <w:rFonts w:hint="eastAsia" w:ascii="方正小标宋_GBK" w:hAnsi="方正小标宋_GBK" w:eastAsia="方正小标宋_GBK" w:cs="方正小标宋_GBK"/>
          <w:b w:val="0"/>
          <w:bCs/>
          <w:sz w:val="44"/>
          <w:szCs w:val="44"/>
          <w:highlight w:val="none"/>
          <w:shd w:val="clear" w:color="auto" w:fill="FFFFFF"/>
        </w:rPr>
        <w:t>部门</w:t>
      </w:r>
      <w:r>
        <w:rPr>
          <w:rFonts w:hint="eastAsia" w:ascii="方正小标宋_GBK" w:hAnsi="方正小标宋_GBK" w:eastAsia="方正小标宋_GBK" w:cs="方正小标宋_GBK"/>
          <w:b w:val="0"/>
          <w:bCs/>
          <w:sz w:val="44"/>
          <w:szCs w:val="44"/>
          <w:highlight w:val="none"/>
          <w:shd w:val="clear" w:color="auto" w:fill="FFFFFF"/>
          <w:lang w:val="en-US" w:eastAsia="zh-CN"/>
        </w:rPr>
        <w:t>整体</w:t>
      </w:r>
      <w:r>
        <w:rPr>
          <w:rFonts w:hint="eastAsia" w:ascii="方正小标宋_GBK" w:hAnsi="方正小标宋_GBK" w:eastAsia="方正小标宋_GBK" w:cs="方正小标宋_GBK"/>
          <w:b w:val="0"/>
          <w:bCs/>
          <w:sz w:val="44"/>
          <w:szCs w:val="44"/>
          <w:highlight w:val="none"/>
          <w:shd w:val="clear" w:color="auto" w:fill="FFFFFF"/>
          <w:lang w:eastAsia="zh-CN"/>
        </w:rPr>
        <w:t>预算</w:t>
      </w:r>
      <w:r>
        <w:rPr>
          <w:rFonts w:hint="eastAsia" w:ascii="方正小标宋_GBK" w:hAnsi="方正小标宋_GBK" w:eastAsia="方正小标宋_GBK" w:cs="方正小标宋_GBK"/>
          <w:b w:val="0"/>
          <w:bCs/>
          <w:sz w:val="44"/>
          <w:szCs w:val="44"/>
          <w:highlight w:val="none"/>
          <w:shd w:val="clear" w:color="auto" w:fill="FFFFFF"/>
        </w:rPr>
        <w:t>绩效</w:t>
      </w:r>
      <w:r>
        <w:rPr>
          <w:rFonts w:hint="eastAsia" w:ascii="方正小标宋_GBK" w:hAnsi="方正小标宋_GBK" w:eastAsia="方正小标宋_GBK" w:cs="方正小标宋_GBK"/>
          <w:b w:val="0"/>
          <w:bCs/>
          <w:sz w:val="44"/>
          <w:szCs w:val="44"/>
          <w:highlight w:val="none"/>
          <w:shd w:val="clear" w:color="auto" w:fill="FFFFFF"/>
          <w:lang w:eastAsia="zh-CN"/>
        </w:rPr>
        <w:t>评价</w:t>
      </w:r>
      <w:r>
        <w:rPr>
          <w:rFonts w:hint="eastAsia" w:ascii="方正小标宋_GBK" w:hAnsi="方正小标宋_GBK" w:eastAsia="方正小标宋_GBK" w:cs="方正小标宋_GBK"/>
          <w:b w:val="0"/>
          <w:bCs/>
          <w:sz w:val="44"/>
          <w:szCs w:val="44"/>
          <w:highlight w:val="none"/>
          <w:shd w:val="clear" w:color="auto" w:fill="FFFFFF"/>
        </w:rPr>
        <w:t>报告</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pPr>
      <w:r>
        <w:rPr>
          <w:rFonts w:hint="eastAsia" w:ascii="仿宋_GB2312" w:hAnsi="仿宋_GB2312" w:eastAsia="仿宋_GB2312" w:cs="仿宋_GB2312"/>
          <w:sz w:val="32"/>
          <w:lang w:eastAsia="zh-CN"/>
        </w:rPr>
        <w:t>为进一步</w:t>
      </w:r>
      <w:r>
        <w:rPr>
          <w:rFonts w:hint="eastAsia" w:ascii="仿宋_GB2312" w:hAnsi="仿宋_GB2312" w:cs="仿宋_GB2312"/>
          <w:sz w:val="32"/>
          <w:lang w:eastAsia="zh-CN"/>
        </w:rPr>
        <w:t>加强预算绩效管理</w:t>
      </w:r>
      <w:r>
        <w:rPr>
          <w:rFonts w:hint="eastAsia" w:ascii="仿宋_GB2312" w:hAnsi="仿宋_GB2312" w:eastAsia="仿宋_GB2312" w:cs="仿宋_GB2312"/>
          <w:sz w:val="32"/>
          <w:lang w:eastAsia="zh-CN"/>
        </w:rPr>
        <w:t>，着力提升财政资源配置效率和使用率，根据《黑水县财政局关于开展</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6</w:t>
      </w:r>
      <w:r>
        <w:rPr>
          <w:rFonts w:hint="eastAsia" w:ascii="仿宋_GB2312" w:hAnsi="仿宋_GB2312" w:eastAsia="仿宋_GB2312" w:cs="仿宋_GB2312"/>
          <w:sz w:val="32"/>
          <w:lang w:val="en-US" w:eastAsia="zh-CN"/>
        </w:rPr>
        <w:t>年县级部门绩效自评工作的通知</w:t>
      </w:r>
      <w:r>
        <w:rPr>
          <w:rFonts w:hint="eastAsia" w:ascii="仿宋_GB2312" w:hAnsi="仿宋_GB2312" w:eastAsia="仿宋_GB2312" w:cs="仿宋_GB2312"/>
          <w:sz w:val="32"/>
          <w:lang w:eastAsia="zh-CN"/>
        </w:rPr>
        <w:t>》（黑财〔</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6</w:t>
      </w:r>
      <w:r>
        <w:rPr>
          <w:rFonts w:hint="eastAsia" w:ascii="仿宋_GB2312" w:hAnsi="仿宋_GB2312" w:eastAsia="仿宋_GB2312" w:cs="仿宋_GB2312"/>
          <w:sz w:val="32"/>
          <w:lang w:eastAsia="zh-CN"/>
        </w:rPr>
        <w:t>〕</w:t>
      </w:r>
      <w:r>
        <w:rPr>
          <w:rFonts w:hint="eastAsia" w:ascii="仿宋_GB2312" w:hAnsi="仿宋_GB2312" w:cs="仿宋_GB2312"/>
          <w:sz w:val="32"/>
          <w:lang w:val="en-US" w:eastAsia="zh-CN"/>
        </w:rPr>
        <w:t>19</w:t>
      </w:r>
      <w:r>
        <w:rPr>
          <w:rFonts w:hint="eastAsia" w:ascii="仿宋_GB2312" w:hAnsi="仿宋_GB2312" w:eastAsia="仿宋_GB2312" w:cs="仿宋_GB2312"/>
          <w:sz w:val="32"/>
          <w:lang w:val="en-US" w:eastAsia="zh-CN"/>
        </w:rPr>
        <w:t>号</w:t>
      </w:r>
      <w:r>
        <w:rPr>
          <w:rFonts w:hint="eastAsia" w:ascii="仿宋_GB2312" w:hAnsi="仿宋_GB2312" w:eastAsia="仿宋_GB2312" w:cs="仿宋_GB2312"/>
          <w:sz w:val="32"/>
          <w:lang w:eastAsia="zh-CN"/>
        </w:rPr>
        <w:t>）精神要求</w:t>
      </w:r>
      <w:r>
        <w:rPr>
          <w:rFonts w:hint="eastAsia" w:ascii="仿宋_GB2312" w:hAnsi="仿宋_GB2312" w:eastAsia="仿宋_GB2312" w:cs="仿宋_GB2312"/>
          <w:sz w:val="32"/>
        </w:rPr>
        <w:t>，结合实际情况，开展202</w:t>
      </w:r>
      <w:r>
        <w:rPr>
          <w:rFonts w:hint="eastAsia" w:ascii="仿宋_GB2312" w:hAnsi="仿宋_GB2312" w:cs="仿宋_GB2312"/>
          <w:sz w:val="32"/>
          <w:lang w:val="en-US" w:eastAsia="zh-CN"/>
        </w:rPr>
        <w:t>5</w:t>
      </w:r>
      <w:r>
        <w:rPr>
          <w:rFonts w:hint="eastAsia" w:ascii="仿宋_GB2312" w:hAnsi="仿宋_GB2312" w:eastAsia="仿宋_GB2312" w:cs="仿宋_GB2312"/>
          <w:sz w:val="32"/>
        </w:rPr>
        <w:t>年财政支出（基本支出和项目支出）绩效评价工作，</w:t>
      </w:r>
      <w:r>
        <w:rPr>
          <w:rFonts w:hint="eastAsia" w:ascii="仿宋_GB2312" w:hAnsi="仿宋_GB2312" w:eastAsia="仿宋_GB2312" w:cs="仿宋_GB2312"/>
          <w:sz w:val="32"/>
          <w:lang w:eastAsia="zh-CN"/>
        </w:rPr>
        <w:t>成立以镇长为组长，财务分管领导</w:t>
      </w:r>
      <w:r>
        <w:rPr>
          <w:rFonts w:hint="eastAsia" w:ascii="仿宋_GB2312" w:hAnsi="仿宋_GB2312" w:cs="仿宋_GB2312"/>
          <w:sz w:val="32"/>
          <w:lang w:eastAsia="zh-CN"/>
        </w:rPr>
        <w:t>、项目分管领导</w:t>
      </w:r>
      <w:r>
        <w:rPr>
          <w:rFonts w:hint="eastAsia" w:ascii="仿宋_GB2312" w:hAnsi="仿宋_GB2312" w:eastAsia="仿宋_GB2312" w:cs="仿宋_GB2312"/>
          <w:sz w:val="32"/>
          <w:lang w:eastAsia="zh-CN"/>
        </w:rPr>
        <w:t>为副组长，财务相关工作人员和项目相关工作人员为成员的支出绩效评价工作组，</w:t>
      </w:r>
      <w:r>
        <w:rPr>
          <w:rFonts w:hint="eastAsia" w:ascii="仿宋_GB2312" w:hAnsi="仿宋_GB2312" w:eastAsia="仿宋_GB2312" w:cs="仿宋_GB2312"/>
          <w:sz w:val="32"/>
        </w:rPr>
        <w:t>现将工作情况总结如下</w:t>
      </w:r>
      <w:r>
        <w:rPr>
          <w:rFonts w:hint="eastAsia" w:ascii="仿宋_GB2312" w:hAnsi="仿宋_GB2312" w:eastAsia="仿宋_GB2312" w:cs="仿宋_GB2312"/>
          <w:sz w:val="32"/>
          <w:lang w:eastAsia="zh-CN"/>
        </w:rPr>
        <w:t>：</w:t>
      </w:r>
    </w:p>
    <w:p>
      <w:pPr>
        <w:widowControl/>
        <w:adjustRightInd w:val="0"/>
        <w:snapToGrid w:val="0"/>
        <w:spacing w:line="578" w:lineRule="exact"/>
        <w:ind w:firstLine="640" w:firstLineChars="200"/>
        <w:contextualSpacing/>
        <w:jc w:val="left"/>
        <w:rPr>
          <w:szCs w:val="32"/>
        </w:rPr>
      </w:pPr>
      <w:r>
        <w:rPr>
          <w:rFonts w:eastAsia="黑体"/>
          <w:color w:val="000000"/>
          <w:kern w:val="0"/>
          <w:szCs w:val="32"/>
          <w:shd w:val="clear" w:color="auto" w:fill="FFFFFF"/>
          <w:lang w:val="zh-CN"/>
        </w:rPr>
        <w:t>一、部门（单位）基本情况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（一）机构组成。</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eastAsia="zh-CN"/>
        </w:rPr>
      </w:pPr>
      <w:r>
        <w:rPr>
          <w:rFonts w:hint="default" w:ascii="仿宋_GB2312" w:hAnsi="仿宋_GB2312" w:eastAsia="仿宋_GB2312" w:cs="仿宋_GB2312"/>
          <w:sz w:val="32"/>
          <w:lang w:eastAsia="zh-CN"/>
        </w:rPr>
        <w:t>黑水县</w:t>
      </w:r>
      <w:r>
        <w:rPr>
          <w:rFonts w:hint="eastAsia" w:ascii="仿宋_GB2312" w:hAnsi="仿宋_GB2312" w:eastAsia="仿宋_GB2312" w:cs="仿宋_GB2312"/>
          <w:sz w:val="32"/>
          <w:lang w:eastAsia="zh-CN"/>
        </w:rPr>
        <w:t>芦花</w:t>
      </w:r>
      <w:r>
        <w:rPr>
          <w:rFonts w:hint="default" w:ascii="仿宋_GB2312" w:hAnsi="仿宋_GB2312" w:eastAsia="仿宋_GB2312" w:cs="仿宋_GB2312"/>
          <w:sz w:val="32"/>
          <w:lang w:eastAsia="zh-CN"/>
        </w:rPr>
        <w:t>镇人民政府无下属二级核算单位。</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eastAsia="zh-CN"/>
        </w:rPr>
      </w:pPr>
      <w:r>
        <w:rPr>
          <w:rFonts w:hint="eastAsia" w:ascii="仿宋_GB2312" w:hAnsi="仿宋_GB2312" w:eastAsia="仿宋_GB2312" w:cs="仿宋_GB2312"/>
          <w:sz w:val="32"/>
          <w:lang w:val="en-US" w:eastAsia="zh-CN"/>
        </w:rPr>
        <w:t>黑水县芦花镇人民政府，取得黑水县机构编制委员会办公室颁发的统一社会信用代码：115132280089430895，机构地址：四川省阿坝藏族羌族自治州黑水县芦花镇彩林路190号，法定代表人：唐谦，机构性质：机关。</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lang w:eastAsia="zh-CN"/>
        </w:rPr>
      </w:pPr>
      <w:r>
        <w:rPr>
          <w:rFonts w:hint="eastAsia" w:ascii="仿宋_GB2312" w:hAnsi="仿宋_GB2312" w:eastAsia="仿宋_GB2312" w:cs="仿宋_GB2312"/>
          <w:sz w:val="32"/>
          <w:lang w:eastAsia="zh-CN"/>
        </w:rPr>
        <w:t>芦花</w:t>
      </w:r>
      <w:r>
        <w:rPr>
          <w:rFonts w:hint="default" w:ascii="仿宋_GB2312" w:hAnsi="仿宋_GB2312" w:eastAsia="仿宋_GB2312" w:cs="仿宋_GB2312"/>
          <w:sz w:val="32"/>
          <w:lang w:eastAsia="zh-CN"/>
        </w:rPr>
        <w:t>镇属于乡财县管的乡，全镇共辖</w:t>
      </w:r>
      <w:r>
        <w:rPr>
          <w:rFonts w:hint="eastAsia" w:ascii="仿宋_GB2312" w:hAnsi="仿宋_GB2312" w:eastAsia="仿宋_GB2312" w:cs="仿宋_GB2312"/>
          <w:sz w:val="32"/>
          <w:lang w:val="en-US" w:eastAsia="zh-CN"/>
        </w:rPr>
        <w:t>12</w:t>
      </w:r>
      <w:r>
        <w:rPr>
          <w:rFonts w:hint="default" w:ascii="仿宋_GB2312" w:hAnsi="仿宋_GB2312" w:eastAsia="仿宋_GB2312" w:cs="仿宋_GB2312"/>
          <w:sz w:val="32"/>
          <w:lang w:eastAsia="zh-CN"/>
        </w:rPr>
        <w:t>个行政村</w:t>
      </w:r>
      <w:r>
        <w:rPr>
          <w:rFonts w:hint="eastAsia" w:ascii="仿宋_GB2312" w:hAnsi="仿宋_GB2312" w:eastAsia="仿宋_GB2312" w:cs="仿宋_GB2312"/>
          <w:sz w:val="32"/>
          <w:lang w:val="en-US" w:eastAsia="zh-CN"/>
        </w:rPr>
        <w:t>,3个社区</w:t>
      </w:r>
      <w:r>
        <w:rPr>
          <w:rFonts w:hint="default" w:ascii="仿宋_GB2312" w:hAnsi="仿宋_GB2312" w:eastAsia="仿宋_GB2312" w:cs="仿宋_GB2312"/>
          <w:sz w:val="32"/>
          <w:lang w:eastAsia="zh-CN"/>
        </w:rPr>
        <w:t>。</w:t>
      </w:r>
      <w:r>
        <w:rPr>
          <w:rFonts w:hint="eastAsia" w:ascii="仿宋_GB2312" w:hAnsi="仿宋_GB2312" w:eastAsia="仿宋_GB2312" w:cs="仿宋_GB2312"/>
          <w:sz w:val="32"/>
          <w:lang w:eastAsia="zh-CN"/>
        </w:rPr>
        <w:t>芦花</w:t>
      </w:r>
      <w:r>
        <w:rPr>
          <w:rFonts w:hint="default" w:ascii="仿宋_GB2312" w:hAnsi="仿宋_GB2312" w:eastAsia="仿宋_GB2312" w:cs="仿宋_GB2312"/>
          <w:sz w:val="32"/>
          <w:lang w:eastAsia="zh-CN"/>
        </w:rPr>
        <w:t>镇下设股级行政机构6个</w:t>
      </w:r>
      <w:r>
        <w:rPr>
          <w:rFonts w:hint="eastAsia" w:ascii="仿宋_GB2312" w:hAnsi="仿宋_GB2312" w:eastAsia="仿宋_GB2312" w:cs="仿宋_GB2312"/>
          <w:sz w:val="32"/>
          <w:lang w:val="en-US" w:eastAsia="zh-CN"/>
        </w:rPr>
        <w:t>：党政综合办公室，党建工作办公室，应急管理和综合行政执法办公室，社会事务和社会治理办公室，经济发展和乡村振兴办公室，生态环境和村镇管理办公室；下设一类公益事业单位2个：黑水县芦花镇便民和退役军人服务中心，黑水县芦花镇农业农村和文化和旅游服务中心。在目前，六个党政综合办事机构、两个一类公益事业单位正常运行。</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机构职能。</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黑水县芦花镇人民政府是基层国家行政机关，行使本行政区域的政府行政职能，根据有关文件规定，主要职责是：宣传和贯彻执行上级各部门及本镇的各项政策、法规、决议等；讨论决定全镇经济建设和社会发展中的重大问题；加强党委自身建设和以党支部为核心的村级组织建设；按照干部管理权限，负责对本级镇村干部的教育、管理、培训、选拔和监督工作，并实现村级财务统一由镇代管；认真做好全镇社会治安综合治理及计划生育，环境、国土等管理工作。</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ascii="仿宋_GB2312" w:hAnsi="宋体" w:eastAsia="仿宋_GB2312" w:cs="仿宋_GB2312"/>
          <w:kern w:val="2"/>
          <w:sz w:val="32"/>
          <w:szCs w:val="32"/>
          <w:lang w:val="en-US" w:eastAsia="zh-CN" w:bidi="ar"/>
        </w:rPr>
        <w:t xml:space="preserve"> </w:t>
      </w:r>
      <w:r>
        <w:rPr>
          <w:rFonts w:hint="default" w:ascii="仿宋_GB2312" w:hAnsi="宋体" w:eastAsia="仿宋_GB2312" w:cs="仿宋_GB2312"/>
          <w:kern w:val="2"/>
          <w:sz w:val="32"/>
          <w:szCs w:val="32"/>
          <w:lang w:val="en-US" w:eastAsia="zh-CN" w:bidi="ar"/>
        </w:rPr>
        <w:t>一、抓党建、强监督，反腐倡廉为民服务</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一）旗帜鲜明讲政治。深入推进抓党建促乡村振兴，统筹抓好机关、村（社）党建工作，持续加强思想政治建设，推动党的创新理论走深走心走实；加大基层党建阵地建设、队伍建设和经费保障力度，推动基层党建工作全面进步、全面过硬。（二）奋斗实干勇担当。严格落实意识形态工作责任制，着力抓好网络舆情管理、壮大主流舆论、提升社会文明程度，努力开创全镇宣传思想文化工作新局面。（三）清正廉洁守底线。党风廉政建设持续施策，严格落实“一岗双责”，开展各项专项督查整治工作，持续整治群众身边腐败和不正之风，持续压实管党治党政治责任，强化日常教育监督，紧盯项目建设、征地拆迁等重点领域，重拳整治群众身边的腐败和作风问题，有力打造“清廉芦花”。</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二、抓项目、聚动能，</w:t>
      </w:r>
      <w:r>
        <w:rPr>
          <w:rFonts w:hint="eastAsia" w:ascii="仿宋_GB2312" w:hAnsi="宋体" w:cs="仿宋_GB2312"/>
          <w:kern w:val="2"/>
          <w:sz w:val="32"/>
          <w:szCs w:val="32"/>
          <w:lang w:val="en-US" w:eastAsia="zh-CN" w:bidi="ar"/>
        </w:rPr>
        <w:t>经济运行稳中有进</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一）奋力推动项目建设。用心谋划优质项目，加强推进项目建设。积极谋划2025年项目储备，及早开展项目前期工作，优化项目实施前期流程，加快项目推进，确保项目按时开工，加强现场督导管理，倒排工期，以高质量项目建设推动</w:t>
      </w:r>
      <w:r>
        <w:rPr>
          <w:rFonts w:hint="eastAsia" w:ascii="仿宋_GB2312" w:hAnsi="宋体" w:eastAsia="仿宋_GB2312" w:cs="仿宋_GB2312"/>
          <w:kern w:val="2"/>
          <w:sz w:val="32"/>
          <w:szCs w:val="32"/>
          <w:lang w:val="en-US" w:eastAsia="zh-CN" w:bidi="ar"/>
        </w:rPr>
        <w:t>芦花</w:t>
      </w:r>
      <w:r>
        <w:rPr>
          <w:rFonts w:hint="default" w:ascii="仿宋_GB2312" w:hAnsi="宋体" w:eastAsia="仿宋_GB2312" w:cs="仿宋_GB2312"/>
          <w:kern w:val="2"/>
          <w:sz w:val="32"/>
          <w:szCs w:val="32"/>
          <w:lang w:val="en-US" w:eastAsia="zh-CN" w:bidi="ar"/>
        </w:rPr>
        <w:t>经济高质量发展。（二）全力</w:t>
      </w:r>
      <w:r>
        <w:rPr>
          <w:rFonts w:hint="eastAsia" w:ascii="仿宋_GB2312" w:hAnsi="宋体" w:eastAsia="仿宋_GB2312" w:cs="仿宋_GB2312"/>
          <w:kern w:val="2"/>
          <w:sz w:val="32"/>
          <w:szCs w:val="32"/>
          <w:lang w:val="en-US" w:eastAsia="zh-CN" w:bidi="ar"/>
        </w:rPr>
        <w:t>优化产业发展</w:t>
      </w:r>
      <w:r>
        <w:rPr>
          <w:rFonts w:hint="default" w:ascii="仿宋_GB2312" w:hAnsi="宋体" w:eastAsia="仿宋_GB2312" w:cs="仿宋_GB2312"/>
          <w:kern w:val="2"/>
          <w:sz w:val="32"/>
          <w:szCs w:val="32"/>
          <w:lang w:val="en-US" w:eastAsia="zh-CN" w:bidi="ar"/>
        </w:rPr>
        <w:t>。立足“一心两翼三业”发展思路，不断优化产业结构，进一步巩固芦西现代农业产业园区建设成果，以“产业路”铺就群众“致富路”；立足资源禀赋，推进农文旅融合发展，紧构建完整红色旅游产业链，使“党建+红色旅游业”高质量发展。（三）大力拓宽旅游渠道。在发展乡村旅游中，芦花镇将结合自然生态景观、民族民俗风情等内容，紧紧依托“达古冰川”“三奥雪山”“芦花会议遗址”等风景区，在“接地气、聚人气”上做文章，丰富景区景点文化内涵，提升文化品位；同时，打造特色鲜明和大众性参与强的旅游活动品牌，讲好“红军在芦花故事”，推进自然生态景观与历史文化景观深度融合，不断激发乡村旅游活力，拓宽乡村旅游发展渠道。</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三、抓产业、树新风，乡村振兴全面发力</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一）有效推动产业发展。结合芦西果蔬农业产业园区建设，有效引进农业龙头企业、专业合作组织，以土地流转或土地入股的模式，大力培育生态农业培育区、示范基地，降低土地闲置率。建设集休闲观光和农耕体验于一体的现代特色农业，初步形成“以农促旅，以旅兴农”的农文旅融合新业态。（二）全面提升农产品竞争力。以规模化为着力点，镇村联动、产村融合，构建以藏香猪、凤尾鸡、道地药材、生态果蔬、黑水中蜂六大优势产业为主的“6+N”高原特色农牧业体系，全力提升全镇特色农产品竞争力。规范管理农民专业合作社，以彭州结对帮带互联工作为契机，建立合作关系，通过实地学习和长期指导，力争创建1-2个省级合作社。（三）持续加强乡村治理。按照“绿色、生态、健康”的要求，通过技术培训、土地流转、村致富带头人引领示范，大力发展生态农业，提高农民科技素养、提升农民专业技能，形成农民以农富农的示范效应，激发农民务农积极性，加快发展特色畜牧业。</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四、抓民生、强保障，社会事业稳步发展</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（一）教育医疗均衡普惠。把教育事业作为民生之基，纵深推进</w:t>
      </w:r>
      <w:r>
        <w:rPr>
          <w:rFonts w:hint="eastAsia" w:ascii="仿宋_GB2312" w:hAnsi="宋体" w:eastAsia="仿宋_GB2312" w:cs="仿宋_GB2312"/>
          <w:kern w:val="2"/>
          <w:sz w:val="32"/>
          <w:szCs w:val="32"/>
          <w:lang w:val="en-US" w:eastAsia="zh-CN" w:bidi="ar"/>
        </w:rPr>
        <w:t>控辍保学工作</w:t>
      </w:r>
      <w:r>
        <w:rPr>
          <w:rFonts w:hint="default" w:ascii="仿宋_GB2312" w:hAnsi="宋体" w:eastAsia="仿宋_GB2312" w:cs="仿宋_GB2312"/>
          <w:kern w:val="2"/>
          <w:sz w:val="32"/>
          <w:szCs w:val="32"/>
          <w:lang w:val="en-US" w:eastAsia="zh-CN" w:bidi="ar"/>
        </w:rPr>
        <w:t>，抓实抓好学前教育普及普惠、义务教育优质均衡各项工作；优化医疗服务，加强宣传力度确保完成下达“孕优”任务，认真落实计划生育“三项政策”及特扶关爱工作；（二）就业创业持续发力。严格落实就业优先政策，突出重点群体帮扶，做好脱贫人口、失业和就业困难人员等重点群体就业工作，规范公益性岗位管理，鼓励农民工返乡就业创业；（三）社会保障提标扩面。全面落实特困供养、城乡低保、临时救助、医疗救助等社会救助政策，保障低收入困难群体基本生活，完善养老服务、未成年人保护体系，扩大社会保险覆盖面。</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五、抓保护、重治理，生态文明深耕厚植</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（一）不断擦亮生态底色。守住生态红线，坚定不移践行“两山”理念，坚持精准治污、科学治污、依法治污，推深做实“河（湖）长制”“林长制”“田长制”工作，</w:t>
      </w:r>
      <w:r>
        <w:rPr>
          <w:rFonts w:hint="eastAsia" w:ascii="仿宋_GB2312" w:hAnsi="宋体" w:eastAsia="仿宋_GB2312" w:cs="仿宋_GB2312"/>
          <w:kern w:val="2"/>
          <w:sz w:val="32"/>
          <w:szCs w:val="32"/>
          <w:lang w:val="en-US" w:eastAsia="zh-CN" w:bidi="ar"/>
        </w:rPr>
        <w:t>抓实耕地保护，坚决遏制耕地“非农化”，加快图斑整改、耕地恢复工作。</w:t>
      </w:r>
      <w:r>
        <w:rPr>
          <w:rFonts w:hint="default" w:ascii="仿宋_GB2312" w:hAnsi="宋体" w:eastAsia="仿宋_GB2312" w:cs="仿宋_GB2312"/>
          <w:kern w:val="2"/>
          <w:sz w:val="32"/>
          <w:szCs w:val="32"/>
          <w:lang w:val="en-US" w:eastAsia="zh-CN" w:bidi="ar"/>
        </w:rPr>
        <w:t>（二）不断改善生态环境。持续推进人居环境整治，巩固建立了“户分类、村收集、镇转运”农村垃圾收运体系。全力推进擦亮城乡建设，妥善处理生活垃圾，进一步完善污水处理系统，解决污水乱排问题；严格落实《农村人居环境整治提升五年行动方案（2021--2025年）》，推动村容村貌整体提升。（三）不断统筹生态保护。重点开展农业面源污染防治，重拳打击固废非法转移倾倒行为，集中力量攻克解决群众身边的突出生态环境问题，促进乡镇精细化管理，奠定坚实的工作基础。</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rFonts w:hint="default" w:ascii="仿宋_GB2312" w:hAnsi="宋体" w:eastAsia="仿宋_GB2312" w:cs="仿宋_GB2312"/>
          <w:kern w:val="2"/>
          <w:sz w:val="32"/>
          <w:szCs w:val="32"/>
          <w:lang w:val="en-US" w:eastAsia="zh-CN" w:bidi="ar"/>
        </w:rPr>
      </w:pPr>
      <w:r>
        <w:rPr>
          <w:rFonts w:hint="default" w:ascii="仿宋_GB2312" w:hAnsi="宋体" w:eastAsia="仿宋_GB2312" w:cs="仿宋_GB2312"/>
          <w:kern w:val="2"/>
          <w:sz w:val="32"/>
          <w:szCs w:val="32"/>
          <w:lang w:val="en-US" w:eastAsia="zh-CN" w:bidi="ar"/>
        </w:rPr>
        <w:t>六、抓安全、保稳定，社会大局持续稳定</w:t>
      </w:r>
    </w:p>
    <w:p>
      <w:pPr>
        <w:keepNext w:val="0"/>
        <w:keepLines w:val="0"/>
        <w:widowControl/>
        <w:suppressLineNumbers w:val="0"/>
        <w:pBdr>
          <w:top w:val="none" w:color="auto" w:sz="0" w:space="0"/>
          <w:left w:val="none" w:color="auto" w:sz="0" w:space="0"/>
          <w:bottom w:val="none" w:color="auto" w:sz="0" w:space="0"/>
          <w:right w:val="none" w:color="auto" w:sz="0" w:space="0"/>
        </w:pBdr>
        <w:adjustRightInd w:val="0"/>
        <w:spacing w:before="0" w:beforeAutospacing="0" w:after="0" w:afterAutospacing="0" w:line="560" w:lineRule="exact"/>
        <w:ind w:left="0" w:right="0" w:firstLine="640" w:firstLineChars="200"/>
        <w:contextualSpacing/>
        <w:jc w:val="both"/>
        <w:rPr>
          <w:lang w:val="zh-CN"/>
        </w:rPr>
      </w:pPr>
      <w:r>
        <w:rPr>
          <w:rFonts w:hint="eastAsia" w:ascii="仿宋_GB2312" w:hAnsi="宋体" w:eastAsia="仿宋_GB2312" w:cs="仿宋_GB2312"/>
          <w:kern w:val="2"/>
          <w:sz w:val="32"/>
          <w:szCs w:val="32"/>
          <w:lang w:val="en-US" w:eastAsia="zh-CN" w:bidi="ar"/>
        </w:rPr>
        <w:t>（一）毫不松懈防风险。持续用力做好防汛减灾，建立健全各项应急应对机制，确保汛情监测到位，预警信息发布迅速，险情及时上报，隐患处置及时，要加强储备，做到有备无患，确保物资储备充足。（二）慎重如始抓安全。坚决落实安全生产十五条硬措施，严格落实安全生产责任制，强化道路交通、食品药品、住房等重点领域的安全监管，全力筑牢社会和谐稳定防线，确保人民群众生命财产安全。（二）全力以赴保稳定。紧盯惠民惠农资金兑付、三山一界、征地拆迁等不稳定因素带来的蝴蝶效应和连锁反应，开展拉网式排查，消除不稳定因素；依法加强寺庙人员、财务、活动、场所管理，坚决防止未成年人入寺，坚决打击渗透、分裂破坏活动，坚决守住“不出事”的底线，有效维护国家安全。</w:t>
      </w:r>
    </w:p>
    <w:p>
      <w:pPr>
        <w:keepNext w:val="0"/>
        <w:keepLines w:val="0"/>
        <w:pageBreakBefore w:val="0"/>
        <w:widowControl/>
        <w:numPr>
          <w:ilvl w:val="0"/>
          <w:numId w:val="1"/>
        </w:numPr>
        <w:kinsoku/>
        <w:wordWrap/>
        <w:overflowPunct/>
        <w:topLinePunct w:val="0"/>
        <w:autoSpaceDE/>
        <w:autoSpaceDN/>
        <w:bidi w:val="0"/>
        <w:adjustRightInd w:val="0"/>
        <w:snapToGrid w:val="0"/>
        <w:spacing w:line="560" w:lineRule="exact"/>
        <w:ind w:left="0" w:leftChars="0" w:firstLine="642" w:firstLineChars="200"/>
        <w:contextualSpacing/>
        <w:jc w:val="both"/>
        <w:textAlignment w:val="auto"/>
        <w:outlineLvl w:val="9"/>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人员概况。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szCs w:val="32"/>
        </w:rPr>
      </w:pPr>
      <w:r>
        <w:rPr>
          <w:rFonts w:hint="default" w:ascii="仿宋_GB2312" w:hAnsi="仿宋_GB2312" w:eastAsia="仿宋_GB2312" w:cs="仿宋_GB2312"/>
          <w:sz w:val="32"/>
          <w:lang w:val="en-US" w:eastAsia="zh-CN"/>
        </w:rPr>
        <w:t>截至202</w:t>
      </w:r>
      <w:r>
        <w:rPr>
          <w:rFonts w:hint="default" w:ascii="仿宋_GB2312" w:hAnsi="仿宋_GB2312" w:cs="仿宋_GB2312"/>
          <w:sz w:val="32"/>
          <w:lang w:val="en-US" w:eastAsia="zh-CN"/>
        </w:rPr>
        <w:t>5</w:t>
      </w:r>
      <w:r>
        <w:rPr>
          <w:rFonts w:hint="default" w:ascii="仿宋_GB2312" w:hAnsi="仿宋_GB2312" w:eastAsia="仿宋_GB2312" w:cs="仿宋_GB2312"/>
          <w:sz w:val="32"/>
          <w:lang w:val="en-US" w:eastAsia="zh-CN"/>
        </w:rPr>
        <w:t>年末</w:t>
      </w:r>
      <w:r>
        <w:rPr>
          <w:rFonts w:hint="eastAsia" w:ascii="仿宋_GB2312" w:hAnsi="仿宋_GB2312" w:eastAsia="仿宋_GB2312" w:cs="仿宋_GB2312"/>
          <w:sz w:val="32"/>
          <w:lang w:val="en-US" w:eastAsia="zh-CN"/>
        </w:rPr>
        <w:t>芦花</w:t>
      </w:r>
      <w:r>
        <w:rPr>
          <w:rFonts w:hint="default" w:ascii="仿宋_GB2312" w:hAnsi="仿宋_GB2312" w:eastAsia="仿宋_GB2312" w:cs="仿宋_GB2312"/>
          <w:sz w:val="32"/>
          <w:lang w:val="en-US" w:eastAsia="zh-CN"/>
        </w:rPr>
        <w:t>镇总编制</w:t>
      </w:r>
      <w:r>
        <w:rPr>
          <w:rFonts w:hint="default" w:ascii="仿宋_GB2312" w:hAnsi="仿宋_GB2312" w:cs="仿宋_GB2312"/>
          <w:sz w:val="32"/>
          <w:lang w:val="en-US" w:eastAsia="zh-CN"/>
        </w:rPr>
        <w:t>50</w:t>
      </w:r>
      <w:r>
        <w:rPr>
          <w:rFonts w:hint="default" w:ascii="仿宋_GB2312" w:hAnsi="仿宋_GB2312" w:eastAsia="仿宋_GB2312" w:cs="仿宋_GB2312"/>
          <w:sz w:val="32"/>
          <w:lang w:val="en-US" w:eastAsia="zh-CN"/>
        </w:rPr>
        <w:t>名，其中：行政编制</w:t>
      </w:r>
      <w:r>
        <w:rPr>
          <w:rFonts w:hint="default" w:ascii="仿宋_GB2312" w:hAnsi="仿宋_GB2312" w:cs="仿宋_GB2312"/>
          <w:sz w:val="32"/>
          <w:lang w:val="en-US" w:eastAsia="zh-CN"/>
        </w:rPr>
        <w:t>34</w:t>
      </w:r>
      <w:r>
        <w:rPr>
          <w:rFonts w:hint="default" w:ascii="仿宋_GB2312" w:hAnsi="仿宋_GB2312" w:eastAsia="仿宋_GB2312" w:cs="仿宋_GB2312"/>
          <w:sz w:val="32"/>
          <w:lang w:val="en-US" w:eastAsia="zh-CN"/>
        </w:rPr>
        <w:t>名，事业编制</w:t>
      </w:r>
      <w:r>
        <w:rPr>
          <w:rFonts w:hint="default" w:ascii="仿宋_GB2312" w:hAnsi="仿宋_GB2312" w:cs="仿宋_GB2312"/>
          <w:sz w:val="32"/>
          <w:lang w:val="en-US" w:eastAsia="zh-CN"/>
        </w:rPr>
        <w:t>13</w:t>
      </w:r>
      <w:r>
        <w:rPr>
          <w:rFonts w:hint="default" w:ascii="仿宋_GB2312" w:hAnsi="仿宋_GB2312" w:eastAsia="仿宋_GB2312" w:cs="仿宋_GB2312"/>
          <w:sz w:val="32"/>
          <w:lang w:val="en-US" w:eastAsia="zh-CN"/>
        </w:rPr>
        <w:t>名，机关工勤</w:t>
      </w:r>
      <w:r>
        <w:rPr>
          <w:rFonts w:hint="eastAsia" w:ascii="仿宋_GB2312" w:hAnsi="仿宋_GB2312" w:eastAsia="仿宋_GB2312" w:cs="仿宋_GB2312"/>
          <w:sz w:val="32"/>
          <w:lang w:val="en-US" w:eastAsia="zh-CN"/>
        </w:rPr>
        <w:t>3</w:t>
      </w:r>
      <w:r>
        <w:rPr>
          <w:rFonts w:hint="default" w:ascii="仿宋_GB2312" w:hAnsi="仿宋_GB2312" w:eastAsia="仿宋_GB2312" w:cs="仿宋_GB2312"/>
          <w:sz w:val="32"/>
          <w:lang w:val="en-US" w:eastAsia="zh-CN"/>
        </w:rPr>
        <w:t>名。在职人员总数</w:t>
      </w:r>
      <w:r>
        <w:rPr>
          <w:rFonts w:hint="default" w:ascii="仿宋_GB2312" w:hAnsi="仿宋_GB2312" w:cs="仿宋_GB2312"/>
          <w:sz w:val="32"/>
          <w:lang w:val="en-US" w:eastAsia="zh-CN"/>
        </w:rPr>
        <w:t>48</w:t>
      </w:r>
      <w:r>
        <w:rPr>
          <w:rFonts w:hint="default" w:ascii="仿宋_GB2312" w:hAnsi="仿宋_GB2312" w:eastAsia="仿宋_GB2312" w:cs="仿宋_GB2312"/>
          <w:sz w:val="32"/>
          <w:lang w:val="en-US" w:eastAsia="zh-CN"/>
        </w:rPr>
        <w:t>人，其中：行政人员</w:t>
      </w:r>
      <w:r>
        <w:rPr>
          <w:rFonts w:hint="default" w:ascii="仿宋_GB2312" w:hAnsi="仿宋_GB2312" w:cs="仿宋_GB2312"/>
          <w:sz w:val="32"/>
          <w:lang w:val="en-US" w:eastAsia="zh-CN"/>
        </w:rPr>
        <w:t>30</w:t>
      </w:r>
      <w:r>
        <w:rPr>
          <w:rFonts w:hint="default" w:ascii="仿宋_GB2312" w:hAnsi="仿宋_GB2312" w:eastAsia="仿宋_GB2312" w:cs="仿宋_GB2312"/>
          <w:sz w:val="32"/>
          <w:lang w:val="en-US" w:eastAsia="zh-CN"/>
        </w:rPr>
        <w:t>人</w:t>
      </w:r>
      <w:r>
        <w:rPr>
          <w:rFonts w:hint="eastAsia" w:ascii="仿宋_GB2312" w:hAnsi="仿宋_GB2312" w:eastAsia="仿宋_GB2312" w:cs="仿宋_GB2312"/>
          <w:sz w:val="32"/>
          <w:lang w:val="en-US" w:eastAsia="zh-CN"/>
        </w:rPr>
        <w:t>，</w:t>
      </w:r>
      <w:r>
        <w:rPr>
          <w:rFonts w:hint="default" w:ascii="仿宋_GB2312" w:hAnsi="仿宋_GB2312" w:eastAsia="仿宋_GB2312" w:cs="仿宋_GB2312"/>
          <w:sz w:val="32"/>
          <w:lang w:val="en-US" w:eastAsia="zh-CN"/>
        </w:rPr>
        <w:t>事业单位</w:t>
      </w:r>
      <w:r>
        <w:rPr>
          <w:rFonts w:hint="eastAsia" w:ascii="仿宋_GB2312" w:hAnsi="仿宋_GB2312" w:eastAsia="仿宋_GB2312" w:cs="仿宋_GB2312"/>
          <w:sz w:val="32"/>
          <w:lang w:val="en-US" w:eastAsia="zh-CN"/>
        </w:rPr>
        <w:t>15</w:t>
      </w:r>
      <w:r>
        <w:rPr>
          <w:rFonts w:hint="default" w:ascii="仿宋_GB2312" w:hAnsi="仿宋_GB2312" w:eastAsia="仿宋_GB2312" w:cs="仿宋_GB2312"/>
          <w:sz w:val="32"/>
          <w:lang w:val="en-US" w:eastAsia="zh-CN"/>
        </w:rPr>
        <w:t>人，机关工勤</w:t>
      </w:r>
      <w:r>
        <w:rPr>
          <w:rFonts w:hint="eastAsia" w:ascii="仿宋_GB2312" w:hAnsi="仿宋_GB2312" w:eastAsia="仿宋_GB2312" w:cs="仿宋_GB2312"/>
          <w:sz w:val="32"/>
          <w:lang w:val="en-US" w:eastAsia="zh-CN"/>
        </w:rPr>
        <w:t>3</w:t>
      </w:r>
      <w:r>
        <w:rPr>
          <w:rFonts w:hint="default" w:ascii="仿宋_GB2312" w:hAnsi="仿宋_GB2312" w:eastAsia="仿宋_GB2312" w:cs="仿宋_GB2312"/>
          <w:sz w:val="32"/>
          <w:lang w:val="en-US" w:eastAsia="zh-CN"/>
        </w:rPr>
        <w:t>人。</w:t>
      </w:r>
      <w:r>
        <w:rPr>
          <w:rFonts w:hint="eastAsia" w:ascii="仿宋_GB2312" w:hAnsi="仿宋_GB2312" w:eastAsia="仿宋_GB2312" w:cs="仿宋_GB2312"/>
          <w:sz w:val="32"/>
          <w:lang w:val="en-US" w:eastAsia="zh-CN"/>
        </w:rPr>
        <w:t>其中事业单位4人编制为文体局编制，人员经费及管理为我镇统一管理。</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二、部门资金收支情况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eastAsia="楷体_GB2312"/>
          <w:b/>
          <w:bCs/>
          <w:color w:val="000000"/>
          <w:kern w:val="0"/>
          <w:szCs w:val="32"/>
          <w:shd w:val="clear" w:color="auto" w:fill="FFFFFF"/>
          <w:lang w:val="zh-CN"/>
        </w:rPr>
      </w:pPr>
      <w:r>
        <w:rPr>
          <w:rFonts w:eastAsia="楷体_GB2312"/>
          <w:b/>
          <w:bCs/>
          <w:color w:val="000000"/>
          <w:kern w:val="0"/>
          <w:szCs w:val="32"/>
          <w:shd w:val="clear" w:color="auto" w:fill="FFFFFF"/>
          <w:lang w:val="zh-CN"/>
        </w:rPr>
        <w:t>（一）收入情况。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cs="仿宋_GB2312"/>
          <w:sz w:val="32"/>
          <w:lang w:val="en-US" w:eastAsia="zh-CN"/>
        </w:rPr>
      </w:pPr>
      <w:r>
        <w:rPr>
          <w:rFonts w:hint="eastAsia" w:ascii="仿宋_GB2312" w:hAnsi="仿宋_GB2312" w:cs="仿宋_GB2312"/>
          <w:sz w:val="32"/>
          <w:lang w:val="en-US" w:eastAsia="zh-CN"/>
        </w:rPr>
        <w:t>本单位本年度收入调整预算数为2,545.75万元，收入决算数为2,545.75万元，预算完成度为100.00%。本年度支出调整预算数为2545.75万元，支出决算数为2545.75万元，预算支出完成度为100.00%。</w:t>
      </w:r>
    </w:p>
    <w:p>
      <w:pPr>
        <w:keepNext w:val="0"/>
        <w:keepLines w:val="0"/>
        <w:pageBreakBefore w:val="0"/>
        <w:widowControl/>
        <w:numPr>
          <w:ilvl w:val="0"/>
          <w:numId w:val="2"/>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sz w:val="32"/>
          <w:lang w:eastAsia="zh-CN"/>
        </w:rPr>
      </w:pPr>
      <w:r>
        <w:rPr>
          <w:rFonts w:eastAsia="楷体_GB2312"/>
          <w:b/>
          <w:bCs/>
          <w:color w:val="000000"/>
          <w:kern w:val="0"/>
          <w:szCs w:val="32"/>
          <w:shd w:val="clear" w:color="auto" w:fill="FFFFFF"/>
          <w:lang w:val="zh-CN"/>
        </w:rPr>
        <w:t>支出情况。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cs="仿宋_GB2312"/>
          <w:sz w:val="32"/>
          <w:lang w:val="en-US" w:eastAsia="zh-CN"/>
        </w:rPr>
      </w:pPr>
      <w:r>
        <w:rPr>
          <w:rFonts w:hint="eastAsia" w:ascii="仿宋_GB2312" w:hAnsi="仿宋_GB2312" w:cs="仿宋_GB2312"/>
          <w:sz w:val="32"/>
          <w:lang w:val="en-US" w:eastAsia="zh-CN"/>
        </w:rPr>
        <w:t>本单位本年度总收入为2545.75万元。其中：一般公共预算财政拨款收入为2,463.80万元，占比96.78%；政府性基金预算财政拨款收入为3.12万元，占比0.12%；国有资本经营预算财政拨款收入为0.90万元，占比0.04%；上级补助收入为0.00万元，占比0.00%；事业收入为0.00万元，占比0.00%；经营收入为0.00万元，占比0.00%；附属单位上缴收入为0.00万元，占比0.00%；其他收入为77.94万元，占比3.06%。</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cs="仿宋_GB2312"/>
          <w:sz w:val="32"/>
          <w:lang w:val="zh-CN" w:eastAsia="zh-CN"/>
        </w:rPr>
      </w:pPr>
      <w:r>
        <w:rPr>
          <w:rFonts w:hint="eastAsia" w:ascii="仿宋_GB2312" w:hAnsi="仿宋_GB2312" w:cs="仿宋_GB2312"/>
          <w:sz w:val="32"/>
          <w:lang w:val="en-US" w:eastAsia="zh-CN"/>
        </w:rPr>
        <w:t>本年度总支出为2545.75万元。其中：一般公共服务支出645.43万元，占比25.35%；外交支出为0.00万元，占比0.00%；国防支出为0.00万元，占比0.00%；公共安全支出为0.00万元，占比0.00%；教育支出为0.00万元，占比0.00%；科学技术支出为0.00万元，占比0.00%；文化旅游体育与传媒支出0万元，占比0%；社会保障和就业支出152.03万元，占比5.97%；卫生健康支出66.08万元，占比2.6%；节能环保支出为0.00万元，占比0.00%；城乡社区支出为3.12万元，占比0.12%；农林水支出1591.2万元，占比62.5%；交通运输支出为0.00万元，占比0.00%；资源勘探工业信息等支出为0.00万元，占比0.00%；商业服务业等支出为0.00万元，占比0.00%；金融支出为0.00万元，占比0.00%；援助其他地区支出为0.00万元，占比0.00%；自然资源海洋气象等支出为0.00万元，占比0.00%；住房保障支出87万元，占比3.42%；粮油物资储备支出为0.00万元，占比0.00%；国有资本经营预算支出为0.9万元，占比0.04%；灾害防治及应急管理支出为0万元，占比0.00%；其他支出为0.00万元，占比0.00%；债务还本支出为0.00万元，占比0.00%；债务付息支出为0.00万元，占比0.00%；抗疫特别国债安排的支出为0.00万元，占比0.00%。</w:t>
      </w:r>
    </w:p>
    <w:p>
      <w:pPr>
        <w:widowControl/>
        <w:numPr>
          <w:ilvl w:val="0"/>
          <w:numId w:val="2"/>
        </w:numPr>
        <w:adjustRightInd w:val="0"/>
        <w:snapToGrid w:val="0"/>
        <w:spacing w:line="578" w:lineRule="exact"/>
        <w:ind w:left="0" w:leftChars="0" w:firstLine="642" w:firstLineChars="200"/>
        <w:contextualSpacing/>
        <w:jc w:val="left"/>
        <w:rPr>
          <w:rFonts w:eastAsia="楷体_GB2312"/>
          <w:b/>
          <w:szCs w:val="32"/>
        </w:rPr>
      </w:pPr>
      <w:r>
        <w:rPr>
          <w:rFonts w:eastAsia="楷体_GB2312"/>
          <w:b/>
          <w:szCs w:val="32"/>
        </w:rPr>
        <w:t>结余分配和结转结余情况。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cs="仿宋_GB2312"/>
          <w:sz w:val="32"/>
          <w:highlight w:val="yellow"/>
          <w:lang w:val="zh-CN" w:eastAsia="zh-CN"/>
        </w:rPr>
      </w:pPr>
      <w:r>
        <w:rPr>
          <w:rFonts w:hint="eastAsia" w:ascii="仿宋_GB2312" w:hAnsi="仿宋_GB2312" w:cs="仿宋_GB2312"/>
          <w:sz w:val="32"/>
          <w:lang w:val="en-US" w:eastAsia="zh-CN"/>
        </w:rPr>
        <w:t>我镇2025年决算报表</w:t>
      </w:r>
      <w:r>
        <w:rPr>
          <w:rFonts w:hint="default" w:ascii="仿宋_GB2312" w:hAnsi="仿宋_GB2312" w:cs="仿宋_GB2312"/>
          <w:sz w:val="32"/>
          <w:lang w:val="en-US" w:eastAsia="zh-CN"/>
        </w:rPr>
        <w:t>结转结余</w:t>
      </w:r>
      <w:r>
        <w:rPr>
          <w:rFonts w:hint="eastAsia" w:ascii="仿宋_GB2312" w:hAnsi="仿宋_GB2312" w:cs="仿宋_GB2312"/>
          <w:sz w:val="32"/>
          <w:lang w:val="en-US" w:eastAsia="zh-CN"/>
        </w:rPr>
        <w:t>为0元，无结转结余</w:t>
      </w:r>
      <w:r>
        <w:rPr>
          <w:rFonts w:hint="default" w:ascii="仿宋_GB2312" w:hAnsi="仿宋_GB2312" w:cs="仿宋_GB2312"/>
          <w:sz w:val="32"/>
          <w:lang w:val="en-US" w:eastAsia="zh-CN"/>
        </w:rPr>
        <w:t>。</w:t>
      </w:r>
    </w:p>
    <w:p>
      <w:pPr>
        <w:widowControl/>
        <w:adjustRightInd w:val="0"/>
        <w:snapToGrid w:val="0"/>
        <w:spacing w:line="578" w:lineRule="exact"/>
        <w:ind w:firstLine="640" w:firstLineChars="200"/>
        <w:contextualSpacing/>
        <w:jc w:val="left"/>
        <w:rPr>
          <w:rFonts w:eastAsia="黑体"/>
          <w:color w:val="000000" w:themeColor="text1"/>
          <w:kern w:val="0"/>
          <w:szCs w:val="32"/>
          <w:shd w:val="clear" w:color="auto" w:fill="FFFFFF"/>
          <w14:textFill>
            <w14:solidFill>
              <w14:schemeClr w14:val="tx1"/>
            </w14:solidFill>
          </w14:textFill>
        </w:rPr>
      </w:pPr>
      <w:r>
        <w:rPr>
          <w:rFonts w:eastAsia="黑体"/>
          <w:color w:val="000000"/>
          <w:kern w:val="0"/>
          <w:szCs w:val="32"/>
          <w:shd w:val="clear" w:color="auto" w:fill="FFFFFF"/>
        </w:rPr>
        <w:t>三、部门预算绩效分析</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642" w:firstLineChars="200"/>
        <w:contextualSpacing/>
        <w:jc w:val="both"/>
        <w:textAlignment w:val="auto"/>
        <w:outlineLvl w:val="9"/>
        <w:rPr>
          <w:rFonts w:hint="eastAsia" w:ascii="楷体_GB2312" w:hAnsi="楷体_GB2312" w:eastAsia="楷体_GB2312" w:cs="楷体_GB2312"/>
          <w:b/>
          <w:bCs/>
          <w:color w:val="000000"/>
          <w:kern w:val="0"/>
          <w:szCs w:val="32"/>
          <w:highlight w:val="none"/>
          <w:shd w:val="clear" w:color="auto" w:fill="FFFFFF"/>
          <w:lang w:val="zh-CN"/>
        </w:rPr>
      </w:pPr>
      <w:r>
        <w:rPr>
          <w:rFonts w:hint="eastAsia" w:ascii="楷体_GB2312" w:hAnsi="楷体_GB2312" w:eastAsia="楷体_GB2312" w:cs="楷体_GB2312"/>
          <w:b/>
          <w:bCs/>
          <w:color w:val="000000"/>
          <w:kern w:val="0"/>
          <w:szCs w:val="32"/>
          <w:highlight w:val="none"/>
          <w:shd w:val="clear" w:color="auto" w:fill="FFFFFF"/>
          <w:lang w:val="zh-CN"/>
        </w:rPr>
        <w:t>（一）部门预算总体绩效分析。指标分值</w:t>
      </w:r>
      <w:r>
        <w:rPr>
          <w:rFonts w:hint="eastAsia" w:ascii="楷体_GB2312" w:hAnsi="楷体_GB2312" w:eastAsia="楷体_GB2312" w:cs="楷体_GB2312"/>
          <w:b/>
          <w:bCs/>
          <w:color w:val="000000"/>
          <w:kern w:val="0"/>
          <w:szCs w:val="32"/>
          <w:highlight w:val="none"/>
          <w:shd w:val="clear" w:color="auto" w:fill="FFFFFF"/>
          <w:lang w:val="en-US" w:eastAsia="zh-CN"/>
        </w:rPr>
        <w:t>65</w:t>
      </w:r>
      <w:r>
        <w:rPr>
          <w:rFonts w:hint="eastAsia" w:ascii="楷体_GB2312" w:hAnsi="楷体_GB2312" w:eastAsia="楷体_GB2312" w:cs="楷体_GB2312"/>
          <w:b/>
          <w:bCs/>
          <w:color w:val="000000"/>
          <w:kern w:val="0"/>
          <w:szCs w:val="32"/>
          <w:highlight w:val="none"/>
          <w:shd w:val="clear" w:color="auto" w:fill="FFFFFF"/>
          <w:lang w:val="zh-CN"/>
        </w:rPr>
        <w:t>分，自评得分</w:t>
      </w:r>
      <w:r>
        <w:rPr>
          <w:rFonts w:hint="eastAsia" w:ascii="楷体_GB2312" w:hAnsi="楷体_GB2312" w:eastAsia="楷体_GB2312" w:cs="楷体_GB2312"/>
          <w:b/>
          <w:bCs/>
          <w:color w:val="000000"/>
          <w:kern w:val="0"/>
          <w:szCs w:val="32"/>
          <w:highlight w:val="none"/>
          <w:shd w:val="clear" w:color="auto" w:fill="FFFFFF"/>
          <w:lang w:val="en-US" w:eastAsia="zh-CN"/>
        </w:rPr>
        <w:t>61</w:t>
      </w:r>
      <w:r>
        <w:rPr>
          <w:rFonts w:hint="eastAsia" w:ascii="楷体_GB2312" w:hAnsi="楷体_GB2312" w:eastAsia="楷体_GB2312" w:cs="楷体_GB2312"/>
          <w:b/>
          <w:bCs/>
          <w:color w:val="000000"/>
          <w:kern w:val="0"/>
          <w:szCs w:val="32"/>
          <w:highlight w:val="none"/>
          <w:shd w:val="clear" w:color="auto" w:fill="FFFFFF"/>
          <w:lang w:val="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1.</w:t>
      </w:r>
      <w:r>
        <w:rPr>
          <w:rFonts w:hint="eastAsia" w:ascii="仿宋_GB2312" w:hAnsi="仿宋_GB2312" w:eastAsia="仿宋_GB2312" w:cs="仿宋_GB2312"/>
          <w:b/>
          <w:bCs/>
          <w:sz w:val="32"/>
          <w:lang w:val="zh-CN" w:eastAsia="zh-CN"/>
        </w:rPr>
        <w:t>履职效能。指标分值15分，自评得分15分。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核心职能目标一：基本支出，在职人员工资保险。目标完成情况，</w:t>
      </w:r>
      <w:r>
        <w:rPr>
          <w:rFonts w:hint="eastAsia" w:ascii="仿宋_GB2312" w:hAnsi="仿宋_GB2312" w:cs="仿宋_GB2312"/>
          <w:sz w:val="32"/>
          <w:lang w:val="zh-CN" w:eastAsia="zh-CN"/>
        </w:rPr>
        <w:t>截止到2025年</w:t>
      </w:r>
      <w:r>
        <w:rPr>
          <w:rFonts w:hint="eastAsia" w:ascii="仿宋_GB2312" w:hAnsi="仿宋_GB2312" w:eastAsia="仿宋_GB2312" w:cs="仿宋_GB2312"/>
          <w:sz w:val="32"/>
          <w:lang w:val="zh-CN" w:eastAsia="zh-CN"/>
        </w:rPr>
        <w:t>底我单位如期完成</w:t>
      </w:r>
      <w:r>
        <w:rPr>
          <w:rFonts w:hint="eastAsia" w:ascii="仿宋_GB2312" w:hAnsi="仿宋_GB2312" w:eastAsia="仿宋_GB2312" w:cs="仿宋_GB2312"/>
          <w:sz w:val="32"/>
          <w:lang w:val="en-US" w:eastAsia="zh-CN"/>
        </w:rPr>
        <w:t>3</w:t>
      </w:r>
      <w:r>
        <w:rPr>
          <w:rFonts w:hint="eastAsia" w:ascii="仿宋_GB2312" w:hAnsi="仿宋_GB2312" w:cs="仿宋_GB2312"/>
          <w:sz w:val="32"/>
          <w:lang w:val="en-US" w:eastAsia="zh-CN"/>
        </w:rPr>
        <w:t>5</w:t>
      </w:r>
      <w:r>
        <w:rPr>
          <w:rFonts w:hint="eastAsia" w:ascii="仿宋_GB2312" w:hAnsi="仿宋_GB2312" w:eastAsia="仿宋_GB2312" w:cs="仿宋_GB2312"/>
          <w:sz w:val="32"/>
          <w:lang w:val="zh-CN" w:eastAsia="zh-CN"/>
        </w:rPr>
        <w:t>人全年工资保险发放。该资金开支范围、标准及支付进度，支付依据合规合法，资金支付与绩效目标相符。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核心职能目标二：项目支出，</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年全镇</w:t>
      </w:r>
      <w:r>
        <w:rPr>
          <w:rFonts w:hint="eastAsia" w:ascii="仿宋_GB2312" w:hAnsi="仿宋_GB2312" w:eastAsia="仿宋_GB2312" w:cs="仿宋_GB2312"/>
          <w:sz w:val="32"/>
          <w:lang w:val="zh-CN" w:eastAsia="zh-CN"/>
        </w:rPr>
        <w:t>各项资金开支范围、标准及支付进度，支付依据合规合法，资金支付与预算相符。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2.</w:t>
      </w:r>
      <w:r>
        <w:rPr>
          <w:rFonts w:hint="eastAsia" w:ascii="仿宋_GB2312" w:hAnsi="仿宋_GB2312" w:eastAsia="仿宋_GB2312" w:cs="仿宋_GB2312"/>
          <w:b/>
          <w:bCs/>
          <w:sz w:val="32"/>
          <w:lang w:val="zh-CN" w:eastAsia="zh-CN"/>
        </w:rPr>
        <w:t>预算管理。指标分值25分，自评得分</w:t>
      </w:r>
      <w:r>
        <w:rPr>
          <w:rFonts w:hint="eastAsia" w:ascii="仿宋_GB2312" w:hAnsi="仿宋_GB2312" w:eastAsia="仿宋_GB2312" w:cs="仿宋_GB2312"/>
          <w:b/>
          <w:bCs/>
          <w:sz w:val="32"/>
          <w:lang w:val="en-US" w:eastAsia="zh-CN"/>
        </w:rPr>
        <w:t>2</w:t>
      </w:r>
      <w:r>
        <w:rPr>
          <w:rFonts w:hint="eastAsia" w:ascii="仿宋_GB2312" w:hAnsi="仿宋_GB2312" w:cs="仿宋_GB2312"/>
          <w:b/>
          <w:bCs/>
          <w:sz w:val="32"/>
          <w:lang w:val="en-US" w:eastAsia="zh-CN"/>
        </w:rPr>
        <w:t>2</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eastAsia="zh-CN"/>
        </w:rPr>
        <w:t>预算编制质量：本单位本年度收入调整预算数为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万元，收入决算数为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万元，预算完成度为100.00%。本年度支出调整预算数为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万元，支出决算数为</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万元，预算支出完成度为100.00%。</w:t>
      </w:r>
      <w:r>
        <w:rPr>
          <w:rFonts w:hint="eastAsia" w:ascii="仿宋_GB2312" w:hAnsi="仿宋_GB2312" w:cs="仿宋_GB2312"/>
          <w:sz w:val="32"/>
          <w:lang w:eastAsia="zh-CN"/>
        </w:rPr>
        <w:t>截止到2025年</w:t>
      </w:r>
      <w:r>
        <w:rPr>
          <w:rFonts w:hint="eastAsia" w:ascii="仿宋_GB2312" w:hAnsi="仿宋_GB2312" w:eastAsia="仿宋_GB2312" w:cs="仿宋_GB2312"/>
          <w:sz w:val="32"/>
          <w:lang w:eastAsia="zh-CN"/>
        </w:rPr>
        <w:t>度我单位资金无结转结余。</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8</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8</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单位收入统筹</w:t>
      </w:r>
      <w:r>
        <w:rPr>
          <w:rFonts w:hint="eastAsia" w:ascii="仿宋_GB2312" w:hAnsi="仿宋_GB2312" w:eastAsia="仿宋_GB2312" w:cs="仿宋_GB2312"/>
          <w:sz w:val="32"/>
          <w:lang w:eastAsia="zh-CN"/>
        </w:rPr>
        <w:t>：我单位不涉及该项指标。</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yellow"/>
          <w:lang w:val="zh-CN" w:eastAsia="zh-CN"/>
        </w:rPr>
      </w:pPr>
      <w:r>
        <w:rPr>
          <w:rFonts w:hint="eastAsia" w:ascii="仿宋_GB2312" w:hAnsi="仿宋_GB2312" w:eastAsia="仿宋_GB2312" w:cs="仿宋_GB2312"/>
          <w:sz w:val="32"/>
          <w:highlight w:val="none"/>
          <w:lang w:eastAsia="zh-CN"/>
        </w:rPr>
        <w:t>支出执行进度：202</w:t>
      </w:r>
      <w:r>
        <w:rPr>
          <w:rFonts w:hint="eastAsia" w:ascii="仿宋_GB2312" w:hAnsi="仿宋_GB2312" w:cs="仿宋_GB2312"/>
          <w:sz w:val="32"/>
          <w:highlight w:val="none"/>
          <w:lang w:val="en-US" w:eastAsia="zh-CN"/>
        </w:rPr>
        <w:t>5</w:t>
      </w:r>
      <w:r>
        <w:rPr>
          <w:rFonts w:hint="eastAsia" w:ascii="仿宋_GB2312" w:hAnsi="仿宋_GB2312" w:eastAsia="仿宋_GB2312" w:cs="仿宋_GB2312"/>
          <w:sz w:val="32"/>
          <w:highlight w:val="none"/>
          <w:lang w:eastAsia="zh-CN"/>
        </w:rPr>
        <w:t>年1-6月支付情况：支付数据</w:t>
      </w:r>
      <w:r>
        <w:rPr>
          <w:rFonts w:hint="eastAsia" w:ascii="仿宋_GB2312" w:hAnsi="仿宋_GB2312" w:cs="仿宋_GB2312"/>
          <w:sz w:val="32"/>
          <w:highlight w:val="none"/>
          <w:lang w:val="en-US" w:eastAsia="zh-CN"/>
        </w:rPr>
        <w:t>562.17</w:t>
      </w:r>
      <w:r>
        <w:rPr>
          <w:rFonts w:hint="eastAsia" w:ascii="仿宋_GB2312" w:hAnsi="仿宋_GB2312" w:eastAsia="仿宋_GB2312" w:cs="仿宋_GB2312"/>
          <w:sz w:val="32"/>
          <w:highlight w:val="none"/>
          <w:lang w:eastAsia="zh-CN"/>
        </w:rPr>
        <w:t>万元，支付率</w:t>
      </w:r>
      <w:r>
        <w:rPr>
          <w:rFonts w:hint="eastAsia" w:ascii="仿宋_GB2312" w:hAnsi="仿宋_GB2312" w:cs="仿宋_GB2312"/>
          <w:sz w:val="32"/>
          <w:highlight w:val="none"/>
          <w:lang w:val="en-US" w:eastAsia="zh-CN"/>
        </w:rPr>
        <w:t>25.61</w:t>
      </w:r>
      <w:r>
        <w:rPr>
          <w:rFonts w:hint="eastAsia" w:ascii="仿宋_GB2312" w:hAnsi="仿宋_GB2312" w:eastAsia="仿宋_GB2312" w:cs="仿宋_GB2312"/>
          <w:sz w:val="32"/>
          <w:highlight w:val="none"/>
          <w:lang w:eastAsia="zh-CN"/>
        </w:rPr>
        <w:t>%。1-1</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月支付数据</w:t>
      </w:r>
      <w:r>
        <w:rPr>
          <w:rFonts w:hint="eastAsia" w:ascii="仿宋_GB2312" w:hAnsi="仿宋_GB2312" w:cs="仿宋_GB2312"/>
          <w:sz w:val="32"/>
          <w:highlight w:val="none"/>
          <w:lang w:val="en-US" w:eastAsia="zh-CN"/>
        </w:rPr>
        <w:t>1509.83</w:t>
      </w:r>
      <w:r>
        <w:rPr>
          <w:rFonts w:hint="eastAsia" w:ascii="仿宋_GB2312" w:hAnsi="仿宋_GB2312" w:eastAsia="仿宋_GB2312" w:cs="仿宋_GB2312"/>
          <w:sz w:val="32"/>
          <w:highlight w:val="none"/>
          <w:lang w:eastAsia="zh-CN"/>
        </w:rPr>
        <w:t>万元，支付率</w:t>
      </w:r>
      <w:r>
        <w:rPr>
          <w:rFonts w:hint="eastAsia" w:ascii="仿宋_GB2312" w:hAnsi="仿宋_GB2312" w:cs="仿宋_GB2312"/>
          <w:sz w:val="32"/>
          <w:highlight w:val="none"/>
          <w:lang w:val="en-US" w:eastAsia="zh-CN"/>
        </w:rPr>
        <w:t>68.77</w:t>
      </w:r>
      <w:r>
        <w:rPr>
          <w:rFonts w:hint="eastAsia" w:ascii="仿宋_GB2312" w:hAnsi="仿宋_GB2312" w:eastAsia="仿宋_GB2312" w:cs="仿宋_GB2312"/>
          <w:sz w:val="32"/>
          <w:highlight w:val="none"/>
          <w:lang w:eastAsia="zh-CN"/>
        </w:rPr>
        <w:t>%。</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6</w:t>
      </w:r>
      <w:r>
        <w:rPr>
          <w:rFonts w:hint="eastAsia" w:ascii="仿宋_GB2312" w:hAnsi="仿宋_GB2312" w:eastAsia="仿宋_GB2312" w:cs="仿宋_GB2312"/>
          <w:sz w:val="32"/>
          <w:highlight w:val="none"/>
          <w:lang w:val="zh-CN" w:eastAsia="zh-CN"/>
        </w:rPr>
        <w:t>分，自评得分</w:t>
      </w:r>
      <w:r>
        <w:rPr>
          <w:rFonts w:hint="eastAsia" w:ascii="仿宋_GB2312" w:hAnsi="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预算年终结余:202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年无结转结余。</w:t>
      </w:r>
      <w:r>
        <w:rPr>
          <w:rFonts w:hint="eastAsia" w:ascii="仿宋_GB2312" w:hAnsi="仿宋_GB2312" w:eastAsia="仿宋_GB2312" w:cs="仿宋_GB2312"/>
          <w:sz w:val="32"/>
          <w:lang w:val="zh-CN" w:eastAsia="zh-CN"/>
        </w:rPr>
        <w:t>指标分值2分，自评得分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严控一般性支出：我单位严控“三公”经费、会议、培训、差旅、办节办展、办公设备购置、信息网络及软件购置更新、课题经费等8项一般性支出。</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3.</w:t>
      </w:r>
      <w:r>
        <w:rPr>
          <w:rFonts w:hint="eastAsia" w:ascii="仿宋_GB2312" w:hAnsi="仿宋_GB2312" w:eastAsia="仿宋_GB2312" w:cs="仿宋_GB2312"/>
          <w:b/>
          <w:bCs/>
          <w:sz w:val="32"/>
          <w:lang w:val="zh-CN" w:eastAsia="zh-CN"/>
        </w:rPr>
        <w:t>财务管理。指标分值</w:t>
      </w:r>
      <w:r>
        <w:rPr>
          <w:rFonts w:hint="eastAsia" w:ascii="仿宋_GB2312" w:hAnsi="仿宋_GB2312" w:eastAsia="仿宋_GB2312" w:cs="仿宋_GB2312"/>
          <w:b/>
          <w:bCs/>
          <w:sz w:val="32"/>
          <w:lang w:val="en-US" w:eastAsia="zh-CN"/>
        </w:rPr>
        <w:t>10</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财务管理制度：强化制度建设。不断强化财务管理制度建设，依据相关法律、法规及管理办法，制定符合我镇财务制度，着重从预算绩效管理主要内容和环节，规范操作程序和质量控制要求，构建起工作有指导、实施有方案、内部有规程等相互支撑制度体系。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zh-CN" w:eastAsia="zh-CN"/>
        </w:rPr>
        <w:t>财务岗位设置：我镇按照财务制度规定</w:t>
      </w:r>
      <w:r>
        <w:rPr>
          <w:rFonts w:hint="eastAsia" w:ascii="仿宋_GB2312" w:hAnsi="仿宋_GB2312" w:eastAsia="仿宋_GB2312" w:cs="仿宋_GB2312"/>
          <w:sz w:val="32"/>
          <w:lang w:val="en-US" w:eastAsia="zh-CN"/>
        </w:rPr>
        <w:t>,设立会计、出纳岗位，相互监督。</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eastAsia="zh-CN"/>
        </w:rPr>
        <w:t>资金使用规范：本年度收到预算资金</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万元，实际使用</w:t>
      </w:r>
      <w:r>
        <w:rPr>
          <w:rFonts w:hint="eastAsia" w:ascii="仿宋_GB2312" w:hAnsi="仿宋_GB2312" w:cs="仿宋_GB2312"/>
          <w:sz w:val="32"/>
          <w:highlight w:val="none"/>
          <w:lang w:val="en-US" w:eastAsia="zh-CN"/>
        </w:rPr>
        <w:t>2193.37</w:t>
      </w:r>
      <w:r>
        <w:rPr>
          <w:rFonts w:hint="eastAsia" w:ascii="仿宋_GB2312" w:hAnsi="仿宋_GB2312" w:eastAsia="仿宋_GB2312" w:cs="仿宋_GB2312"/>
          <w:sz w:val="32"/>
          <w:lang w:eastAsia="zh-CN"/>
        </w:rPr>
        <w:t>万元。资金使用过程中严格按照单位财务管理制度要</w:t>
      </w:r>
      <w:r>
        <w:rPr>
          <w:rFonts w:hint="eastAsia" w:ascii="仿宋_GB2312" w:hAnsi="仿宋_GB2312" w:eastAsia="仿宋_GB2312" w:cs="仿宋_GB2312"/>
          <w:sz w:val="32"/>
          <w:lang w:val="zh-CN" w:eastAsia="zh-CN"/>
        </w:rPr>
        <w:t>求执行，提高资金使用的合规性。指标分值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4.</w:t>
      </w:r>
      <w:r>
        <w:rPr>
          <w:rFonts w:hint="eastAsia" w:ascii="仿宋_GB2312" w:hAnsi="仿宋_GB2312" w:eastAsia="仿宋_GB2312" w:cs="仿宋_GB2312"/>
          <w:b/>
          <w:bCs/>
          <w:sz w:val="32"/>
          <w:lang w:val="zh-CN" w:eastAsia="zh-CN"/>
        </w:rPr>
        <w:t>资产管理。指标分值</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9</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zh-CN" w:eastAsia="zh-CN"/>
        </w:rPr>
        <w:t>人均资产变化率</w:t>
      </w:r>
      <w:r>
        <w:rPr>
          <w:rFonts w:hint="eastAsia" w:ascii="仿宋_GB2312" w:hAnsi="仿宋_GB2312" w:eastAsia="仿宋_GB2312" w:cs="仿宋_GB2312"/>
          <w:sz w:val="32"/>
          <w:lang w:val="en-US" w:eastAsia="zh-CN"/>
        </w:rPr>
        <w:t>=(期末人均资产-期初人均资产)/期初人均资产*100%。均符合相关规定，低于规定值。</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zh-CN" w:eastAsia="zh-CN"/>
        </w:rPr>
        <w:t>固定资产在用率：</w:t>
      </w:r>
      <w:r>
        <w:rPr>
          <w:rFonts w:hint="eastAsia" w:ascii="仿宋_GB2312" w:hAnsi="仿宋_GB2312" w:cs="仿宋_GB2312"/>
          <w:sz w:val="32"/>
          <w:lang w:eastAsia="zh-CN"/>
        </w:rPr>
        <w:t>截止到2025年</w:t>
      </w:r>
      <w:r>
        <w:rPr>
          <w:rFonts w:hint="eastAsia" w:ascii="仿宋_GB2312" w:hAnsi="仿宋_GB2312" w:eastAsia="仿宋_GB2312" w:cs="仿宋_GB2312"/>
          <w:sz w:val="32"/>
          <w:lang w:eastAsia="zh-CN"/>
        </w:rPr>
        <w:t>12月31日，固定资产总计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万元，在用的固定资产总计</w:t>
      </w:r>
      <w:r>
        <w:rPr>
          <w:rFonts w:hint="eastAsia" w:ascii="仿宋_GB2312" w:hAnsi="仿宋_GB2312" w:cs="仿宋_GB2312"/>
          <w:sz w:val="32"/>
          <w:lang w:val="en-US" w:eastAsia="zh-CN"/>
        </w:rPr>
        <w:t>993.76</w:t>
      </w:r>
      <w:r>
        <w:rPr>
          <w:rFonts w:hint="eastAsia" w:ascii="仿宋_GB2312" w:hAnsi="仿宋_GB2312" w:eastAsia="仿宋_GB2312" w:cs="仿宋_GB2312"/>
          <w:sz w:val="32"/>
          <w:lang w:eastAsia="zh-CN"/>
        </w:rPr>
        <w:t>万元，固定资产在用率达100%。</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eastAsia="zh-CN"/>
        </w:rPr>
        <w:t>资产盘活率。资产闲置</w:t>
      </w:r>
      <w:r>
        <w:rPr>
          <w:rFonts w:hint="eastAsia" w:ascii="仿宋_GB2312" w:hAnsi="仿宋_GB2312" w:eastAsia="仿宋_GB2312" w:cs="仿宋_GB2312"/>
          <w:sz w:val="32"/>
          <w:lang w:val="en-US" w:eastAsia="zh-CN"/>
        </w:rPr>
        <w:t>0万元，</w:t>
      </w:r>
      <w:r>
        <w:rPr>
          <w:rFonts w:hint="eastAsia" w:ascii="仿宋_GB2312" w:hAnsi="仿宋_GB2312" w:eastAsia="仿宋_GB2312" w:cs="仿宋_GB2312"/>
          <w:sz w:val="32"/>
          <w:lang w:eastAsia="zh-CN"/>
        </w:rPr>
        <w:t>资产盘活率达</w:t>
      </w:r>
      <w:r>
        <w:rPr>
          <w:rFonts w:hint="eastAsia" w:ascii="仿宋_GB2312" w:hAnsi="仿宋_GB2312" w:eastAsia="仿宋_GB2312" w:cs="仿宋_GB2312"/>
          <w:sz w:val="32"/>
          <w:lang w:val="en-US" w:eastAsia="zh-CN"/>
        </w:rPr>
        <w:t>100%。</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b/>
          <w:bCs/>
          <w:sz w:val="32"/>
          <w:lang w:val="zh-CN" w:eastAsia="zh-CN"/>
        </w:rPr>
      </w:pPr>
      <w:r>
        <w:rPr>
          <w:rFonts w:hint="eastAsia" w:ascii="仿宋_GB2312" w:hAnsi="仿宋_GB2312" w:eastAsia="仿宋_GB2312" w:cs="仿宋_GB2312"/>
          <w:b/>
          <w:bCs/>
          <w:sz w:val="32"/>
          <w:lang w:val="en-US" w:eastAsia="zh-CN"/>
        </w:rPr>
        <w:t>5.</w:t>
      </w:r>
      <w:r>
        <w:rPr>
          <w:rFonts w:hint="eastAsia" w:ascii="仿宋_GB2312" w:hAnsi="仿宋_GB2312" w:eastAsia="仿宋_GB2312" w:cs="仿宋_GB2312"/>
          <w:b/>
          <w:bCs/>
          <w:sz w:val="32"/>
          <w:lang w:val="zh-CN" w:eastAsia="zh-CN"/>
        </w:rPr>
        <w:t>采购管理。指标分值</w:t>
      </w:r>
      <w:r>
        <w:rPr>
          <w:rFonts w:hint="eastAsia" w:ascii="仿宋_GB2312" w:hAnsi="仿宋_GB2312" w:eastAsia="仿宋_GB2312" w:cs="仿宋_GB2312"/>
          <w:b/>
          <w:bCs/>
          <w:sz w:val="32"/>
          <w:lang w:val="en-US" w:eastAsia="zh-CN"/>
        </w:rPr>
        <w:t>6</w:t>
      </w:r>
      <w:r>
        <w:rPr>
          <w:rFonts w:hint="eastAsia" w:ascii="仿宋_GB2312" w:hAnsi="仿宋_GB2312" w:eastAsia="仿宋_GB2312" w:cs="仿宋_GB2312"/>
          <w:b/>
          <w:bCs/>
          <w:sz w:val="32"/>
          <w:lang w:val="zh-CN" w:eastAsia="zh-CN"/>
        </w:rPr>
        <w:t>分，自评得分</w:t>
      </w:r>
      <w:r>
        <w:rPr>
          <w:rFonts w:hint="eastAsia" w:ascii="仿宋_GB2312" w:hAnsi="仿宋_GB2312" w:eastAsia="仿宋_GB2312" w:cs="仿宋_GB2312"/>
          <w:b/>
          <w:bCs/>
          <w:sz w:val="32"/>
          <w:lang w:val="en-US" w:eastAsia="zh-CN"/>
        </w:rPr>
        <w:t>6</w:t>
      </w:r>
      <w:r>
        <w:rPr>
          <w:rFonts w:hint="eastAsia" w:ascii="仿宋_GB2312" w:hAnsi="仿宋_GB2312" w:eastAsia="仿宋_GB2312" w:cs="仿宋_GB2312"/>
          <w:b/>
          <w:bCs/>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eastAsia="zh-CN"/>
        </w:rPr>
      </w:pPr>
      <w:r>
        <w:rPr>
          <w:rFonts w:hint="eastAsia" w:ascii="仿宋_GB2312" w:hAnsi="仿宋_GB2312" w:eastAsia="仿宋_GB2312" w:cs="仿宋_GB2312"/>
          <w:sz w:val="32"/>
          <w:highlight w:val="none"/>
          <w:lang w:val="zh-CN" w:eastAsia="zh-CN"/>
        </w:rPr>
        <w:t>支持中小企业发展：202</w:t>
      </w:r>
      <w:r>
        <w:rPr>
          <w:rFonts w:hint="eastAsia" w:ascii="仿宋_GB2312" w:hAnsi="仿宋_GB2312" w:cs="仿宋_GB2312"/>
          <w:sz w:val="32"/>
          <w:highlight w:val="none"/>
          <w:lang w:val="en-US" w:eastAsia="zh-CN"/>
        </w:rPr>
        <w:t>5</w:t>
      </w:r>
      <w:r>
        <w:rPr>
          <w:rFonts w:hint="default" w:ascii="仿宋_GB2312" w:hAnsi="仿宋_GB2312" w:eastAsia="仿宋_GB2312" w:cs="仿宋_GB2312"/>
          <w:sz w:val="32"/>
          <w:highlight w:val="none"/>
          <w:lang w:val="zh-CN" w:eastAsia="zh-CN"/>
        </w:rPr>
        <w:t>年我镇政府采购预算总额</w:t>
      </w:r>
      <w:r>
        <w:rPr>
          <w:rFonts w:hint="eastAsia" w:ascii="仿宋_GB2312" w:hAnsi="仿宋_GB2312" w:cs="仿宋_GB2312"/>
          <w:sz w:val="32"/>
          <w:highlight w:val="none"/>
          <w:lang w:val="en-US" w:eastAsia="zh-CN"/>
        </w:rPr>
        <w:t>3.07</w:t>
      </w:r>
      <w:r>
        <w:rPr>
          <w:rFonts w:hint="default" w:ascii="仿宋_GB2312" w:hAnsi="仿宋_GB2312" w:eastAsia="仿宋_GB2312" w:cs="仿宋_GB2312"/>
          <w:sz w:val="32"/>
          <w:highlight w:val="none"/>
          <w:lang w:val="zh-CN" w:eastAsia="zh-CN"/>
        </w:rPr>
        <w:t>万元</w:t>
      </w:r>
      <w:r>
        <w:rPr>
          <w:rFonts w:hint="eastAsia" w:ascii="仿宋_GB2312" w:hAnsi="仿宋_GB2312" w:eastAsia="仿宋_GB2312" w:cs="仿宋_GB2312"/>
          <w:sz w:val="32"/>
          <w:highlight w:val="none"/>
          <w:lang w:val="zh-CN" w:eastAsia="zh-CN"/>
        </w:rPr>
        <w:t>，其中面向支持中小企业发展采购资金为</w:t>
      </w:r>
      <w:r>
        <w:rPr>
          <w:rFonts w:hint="eastAsia" w:ascii="仿宋_GB2312" w:hAnsi="仿宋_GB2312" w:eastAsia="仿宋_GB2312" w:cs="仿宋_GB2312"/>
          <w:sz w:val="32"/>
          <w:highlight w:val="none"/>
          <w:lang w:val="en-US" w:eastAsia="zh-CN"/>
        </w:rPr>
        <w:t>0万元</w:t>
      </w:r>
      <w:r>
        <w:rPr>
          <w:rFonts w:hint="default" w:ascii="仿宋_GB2312" w:hAnsi="仿宋_GB2312" w:eastAsia="仿宋_GB2312" w:cs="仿宋_GB2312"/>
          <w:sz w:val="32"/>
          <w:highlight w:val="none"/>
          <w:lang w:val="zh-CN" w:eastAsia="zh-CN"/>
        </w:rPr>
        <w:t>。</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分，自评得分</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highlight w:val="none"/>
          <w:lang w:val="zh-CN"/>
        </w:rPr>
      </w:pPr>
      <w:r>
        <w:rPr>
          <w:rFonts w:hint="eastAsia" w:ascii="仿宋_GB2312" w:hAnsi="仿宋_GB2312" w:eastAsia="仿宋_GB2312" w:cs="仿宋_GB2312"/>
          <w:sz w:val="32"/>
          <w:highlight w:val="none"/>
          <w:lang w:eastAsia="zh-CN"/>
        </w:rPr>
        <w:t>采购执行率：</w:t>
      </w:r>
      <w:r>
        <w:rPr>
          <w:rFonts w:hint="eastAsia" w:ascii="仿宋_GB2312" w:hAnsi="仿宋_GB2312" w:eastAsia="仿宋_GB2312" w:cs="仿宋_GB2312"/>
          <w:sz w:val="32"/>
          <w:highlight w:val="none"/>
          <w:lang w:val="zh-CN" w:eastAsia="zh-CN"/>
        </w:rPr>
        <w:t>202</w:t>
      </w:r>
      <w:r>
        <w:rPr>
          <w:rFonts w:hint="eastAsia" w:ascii="仿宋_GB2312" w:hAnsi="仿宋_GB2312" w:cs="仿宋_GB2312"/>
          <w:sz w:val="32"/>
          <w:highlight w:val="none"/>
          <w:lang w:val="en-US" w:eastAsia="zh-CN"/>
        </w:rPr>
        <w:t>5</w:t>
      </w:r>
      <w:r>
        <w:rPr>
          <w:rFonts w:hint="default" w:ascii="仿宋_GB2312" w:hAnsi="仿宋_GB2312" w:eastAsia="仿宋_GB2312" w:cs="仿宋_GB2312"/>
          <w:sz w:val="32"/>
          <w:highlight w:val="none"/>
          <w:lang w:val="zh-CN" w:eastAsia="zh-CN"/>
        </w:rPr>
        <w:t>年我镇政府采购预算总额</w:t>
      </w:r>
      <w:r>
        <w:rPr>
          <w:rFonts w:hint="eastAsia" w:ascii="仿宋_GB2312" w:hAnsi="仿宋_GB2312" w:cs="仿宋_GB2312"/>
          <w:sz w:val="32"/>
          <w:highlight w:val="none"/>
          <w:lang w:val="en-US" w:eastAsia="zh-CN"/>
        </w:rPr>
        <w:t>3.07</w:t>
      </w:r>
      <w:r>
        <w:rPr>
          <w:rFonts w:hint="default" w:ascii="仿宋_GB2312" w:hAnsi="仿宋_GB2312" w:eastAsia="仿宋_GB2312" w:cs="仿宋_GB2312"/>
          <w:sz w:val="32"/>
          <w:highlight w:val="none"/>
          <w:lang w:val="zh-CN" w:eastAsia="zh-CN"/>
        </w:rPr>
        <w:t>万元</w:t>
      </w:r>
      <w:r>
        <w:rPr>
          <w:rFonts w:hint="eastAsia" w:ascii="仿宋_GB2312" w:hAnsi="仿宋_GB2312" w:eastAsia="仿宋_GB2312" w:cs="仿宋_GB2312"/>
          <w:sz w:val="32"/>
          <w:highlight w:val="none"/>
          <w:lang w:val="zh-CN" w:eastAsia="zh-CN"/>
        </w:rPr>
        <w:t>，其中面向支持中小企业发展采购资金为</w:t>
      </w:r>
      <w:r>
        <w:rPr>
          <w:rFonts w:hint="eastAsia" w:ascii="仿宋_GB2312" w:hAnsi="仿宋_GB2312" w:eastAsia="仿宋_GB2312" w:cs="仿宋_GB2312"/>
          <w:sz w:val="32"/>
          <w:highlight w:val="none"/>
          <w:lang w:val="en-US" w:eastAsia="zh-CN"/>
        </w:rPr>
        <w:t>0万元</w:t>
      </w:r>
      <w:r>
        <w:rPr>
          <w:rFonts w:hint="default" w:ascii="仿宋_GB2312" w:hAnsi="仿宋_GB2312" w:eastAsia="仿宋_GB2312" w:cs="仿宋_GB2312"/>
          <w:sz w:val="32"/>
          <w:highlight w:val="none"/>
          <w:lang w:val="zh-CN" w:eastAsia="zh-CN"/>
        </w:rPr>
        <w:t>。</w:t>
      </w:r>
      <w:r>
        <w:rPr>
          <w:rFonts w:hint="eastAsia" w:ascii="仿宋_GB2312" w:hAnsi="仿宋_GB2312" w:eastAsia="仿宋_GB2312" w:cs="仿宋_GB2312"/>
          <w:sz w:val="32"/>
          <w:highlight w:val="none"/>
          <w:lang w:val="en-US" w:eastAsia="zh-CN"/>
        </w:rPr>
        <w:t>服务</w:t>
      </w:r>
      <w:r>
        <w:rPr>
          <w:rFonts w:hint="eastAsia" w:ascii="仿宋_GB2312" w:hAnsi="仿宋_GB2312" w:eastAsia="仿宋_GB2312" w:cs="仿宋_GB2312"/>
          <w:sz w:val="32"/>
          <w:highlight w:val="none"/>
          <w:lang w:val="zh-CN" w:eastAsia="zh-CN"/>
        </w:rPr>
        <w:t>采购</w:t>
      </w:r>
      <w:r>
        <w:rPr>
          <w:rFonts w:hint="eastAsia" w:ascii="仿宋_GB2312" w:hAnsi="仿宋_GB2312" w:cs="仿宋_GB2312"/>
          <w:sz w:val="32"/>
          <w:highlight w:val="none"/>
          <w:lang w:val="en-US" w:eastAsia="zh-CN"/>
        </w:rPr>
        <w:t>2.31</w:t>
      </w:r>
      <w:r>
        <w:rPr>
          <w:rFonts w:hint="eastAsia" w:ascii="仿宋_GB2312" w:hAnsi="仿宋_GB2312" w:eastAsia="仿宋_GB2312" w:cs="仿宋_GB2312"/>
          <w:sz w:val="32"/>
          <w:highlight w:val="none"/>
          <w:lang w:val="en-US" w:eastAsia="zh-CN"/>
        </w:rPr>
        <w:t>万元、</w:t>
      </w:r>
      <w:r>
        <w:rPr>
          <w:rFonts w:hint="eastAsia" w:ascii="仿宋_GB2312" w:hAnsi="仿宋_GB2312" w:eastAsia="仿宋_GB2312" w:cs="仿宋_GB2312"/>
          <w:sz w:val="32"/>
          <w:highlight w:val="none"/>
          <w:lang w:val="zh-CN" w:eastAsia="zh-CN"/>
        </w:rPr>
        <w:t>货物</w:t>
      </w:r>
      <w:r>
        <w:rPr>
          <w:rFonts w:hint="eastAsia" w:ascii="仿宋_GB2312" w:hAnsi="仿宋_GB2312" w:eastAsia="仿宋_GB2312" w:cs="仿宋_GB2312"/>
          <w:sz w:val="32"/>
          <w:highlight w:val="none"/>
          <w:lang w:val="en-US" w:eastAsia="zh-CN"/>
        </w:rPr>
        <w:t>采购</w:t>
      </w:r>
      <w:r>
        <w:rPr>
          <w:rFonts w:hint="eastAsia" w:ascii="仿宋_GB2312" w:hAnsi="仿宋_GB2312" w:cs="仿宋_GB2312"/>
          <w:sz w:val="32"/>
          <w:highlight w:val="none"/>
          <w:lang w:val="en-US" w:eastAsia="zh-CN"/>
        </w:rPr>
        <w:t>0.76</w:t>
      </w:r>
      <w:r>
        <w:rPr>
          <w:rFonts w:hint="eastAsia" w:ascii="仿宋_GB2312" w:hAnsi="仿宋_GB2312" w:eastAsia="仿宋_GB2312" w:cs="仿宋_GB2312"/>
          <w:sz w:val="32"/>
          <w:highlight w:val="none"/>
          <w:lang w:val="en-US" w:eastAsia="zh-CN"/>
        </w:rPr>
        <w:t>万元、工程采购0万元。</w:t>
      </w:r>
      <w:r>
        <w:rPr>
          <w:rFonts w:hint="eastAsia" w:ascii="仿宋_GB2312" w:hAnsi="仿宋_GB2312" w:eastAsia="仿宋_GB2312" w:cs="仿宋_GB2312"/>
          <w:sz w:val="32"/>
          <w:highlight w:val="none"/>
          <w:lang w:eastAsia="zh-CN"/>
        </w:rPr>
        <w:t>支持中小企业发展：政府采购授予中小企业合同金额</w:t>
      </w:r>
      <w:r>
        <w:rPr>
          <w:rFonts w:hint="eastAsia" w:ascii="仿宋_GB2312" w:hAnsi="仿宋_GB2312" w:eastAsia="仿宋_GB2312" w:cs="仿宋_GB2312"/>
          <w:sz w:val="32"/>
          <w:highlight w:val="none"/>
          <w:lang w:val="en-US" w:eastAsia="zh-CN"/>
        </w:rPr>
        <w:t>0</w:t>
      </w:r>
      <w:r>
        <w:rPr>
          <w:rFonts w:hint="eastAsia" w:ascii="仿宋_GB2312" w:hAnsi="仿宋_GB2312" w:eastAsia="仿宋_GB2312" w:cs="仿宋_GB2312"/>
          <w:sz w:val="32"/>
          <w:highlight w:val="none"/>
          <w:lang w:eastAsia="zh-CN"/>
        </w:rPr>
        <w:t>万元，其中：授予小微企业合同金额0万元。</w:t>
      </w:r>
      <w:r>
        <w:rPr>
          <w:rFonts w:hint="eastAsia" w:ascii="仿宋_GB2312" w:hAnsi="仿宋_GB2312" w:eastAsia="仿宋_GB2312" w:cs="仿宋_GB2312"/>
          <w:sz w:val="32"/>
          <w:highlight w:val="none"/>
          <w:lang w:val="zh-CN" w:eastAsia="zh-CN"/>
        </w:rPr>
        <w:t>指标分值</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分，自评得分</w:t>
      </w:r>
      <w:r>
        <w:rPr>
          <w:rFonts w:hint="eastAsia" w:ascii="仿宋_GB2312" w:hAnsi="仿宋_GB2312" w:eastAsia="仿宋_GB2312" w:cs="仿宋_GB2312"/>
          <w:sz w:val="32"/>
          <w:highlight w:val="none"/>
          <w:lang w:val="en-US" w:eastAsia="zh-CN"/>
        </w:rPr>
        <w:t>3</w:t>
      </w:r>
      <w:r>
        <w:rPr>
          <w:rFonts w:hint="eastAsia" w:ascii="仿宋_GB2312" w:hAnsi="仿宋_GB2312" w:eastAsia="仿宋_GB2312" w:cs="仿宋_GB2312"/>
          <w:sz w:val="32"/>
          <w:highlight w:val="none"/>
          <w:lang w:val="zh-CN" w:eastAsia="zh-CN"/>
        </w:rPr>
        <w:t>分。</w:t>
      </w:r>
    </w:p>
    <w:p>
      <w:pPr>
        <w:keepNext w:val="0"/>
        <w:keepLines w:val="0"/>
        <w:pageBreakBefore w:val="0"/>
        <w:widowControl w:val="0"/>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楷体_GB2312" w:hAnsi="楷体_GB2312" w:eastAsia="楷体_GB2312" w:cs="楷体_GB2312"/>
          <w:b/>
          <w:bCs/>
          <w:color w:val="000000"/>
          <w:kern w:val="0"/>
          <w:szCs w:val="32"/>
          <w:highlight w:val="none"/>
          <w:shd w:val="clear" w:color="auto" w:fill="FFFFFF"/>
          <w:lang w:val="en-US" w:eastAsia="zh-CN"/>
        </w:rPr>
      </w:pPr>
      <w:r>
        <w:rPr>
          <w:rFonts w:hint="eastAsia" w:ascii="楷体_GB2312" w:hAnsi="楷体_GB2312" w:eastAsia="楷体_GB2312" w:cs="楷体_GB2312"/>
          <w:b/>
          <w:bCs/>
          <w:color w:val="000000"/>
          <w:kern w:val="0"/>
          <w:szCs w:val="32"/>
          <w:highlight w:val="none"/>
          <w:shd w:val="clear" w:color="auto" w:fill="FFFFFF"/>
          <w:lang w:val="zh-CN"/>
        </w:rPr>
        <w:t>（二）部门预算项目绩效分析。指标分值</w:t>
      </w:r>
      <w:r>
        <w:rPr>
          <w:rFonts w:hint="eastAsia" w:ascii="楷体_GB2312" w:hAnsi="楷体_GB2312" w:eastAsia="楷体_GB2312" w:cs="楷体_GB2312"/>
          <w:b/>
          <w:bCs/>
          <w:color w:val="000000"/>
          <w:kern w:val="0"/>
          <w:szCs w:val="32"/>
          <w:highlight w:val="none"/>
          <w:shd w:val="clear" w:color="auto" w:fill="FFFFFF"/>
          <w:lang w:val="en-US" w:eastAsia="zh-CN"/>
        </w:rPr>
        <w:t>35分，自评得分32分。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zh-CN" w:eastAsia="zh-CN"/>
        </w:rPr>
      </w:pPr>
      <w:r>
        <w:rPr>
          <w:rFonts w:hint="default" w:ascii="仿宋_GB2312" w:hAnsi="仿宋_GB2312" w:eastAsia="仿宋_GB2312" w:cs="仿宋_GB2312"/>
          <w:sz w:val="32"/>
          <w:highlight w:val="none"/>
          <w:lang w:val="en-US" w:eastAsia="zh-CN"/>
        </w:rPr>
        <w:t>常年项目绩效分析。</w:t>
      </w:r>
      <w:r>
        <w:rPr>
          <w:rFonts w:hint="default" w:ascii="仿宋_GB2312" w:hAnsi="仿宋_GB2312" w:eastAsia="仿宋_GB2312" w:cs="仿宋_GB2312"/>
          <w:sz w:val="32"/>
          <w:highlight w:val="none"/>
          <w:lang w:val="zh-CN" w:eastAsia="zh-CN"/>
        </w:rPr>
        <w:t>该类项目总数</w:t>
      </w:r>
      <w:r>
        <w:rPr>
          <w:rFonts w:hint="eastAsia" w:ascii="仿宋_GB2312" w:hAnsi="仿宋_GB2312" w:cs="仿宋_GB2312"/>
          <w:sz w:val="32"/>
          <w:highlight w:val="none"/>
          <w:lang w:val="en-US" w:eastAsia="zh-CN"/>
        </w:rPr>
        <w:t>5</w:t>
      </w:r>
      <w:r>
        <w:rPr>
          <w:rFonts w:hint="default" w:ascii="仿宋_GB2312" w:hAnsi="仿宋_GB2312" w:eastAsia="仿宋_GB2312" w:cs="仿宋_GB2312"/>
          <w:sz w:val="32"/>
          <w:highlight w:val="none"/>
          <w:lang w:val="zh-CN" w:eastAsia="zh-CN"/>
        </w:rPr>
        <w:t>个</w:t>
      </w:r>
      <w:r>
        <w:rPr>
          <w:rFonts w:hint="eastAsia" w:ascii="仿宋_GB2312" w:hAnsi="仿宋_GB2312" w:eastAsia="仿宋_GB2312" w:cs="仿宋_GB2312"/>
          <w:sz w:val="32"/>
          <w:highlight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1.</w:t>
      </w:r>
      <w:r>
        <w:rPr>
          <w:rFonts w:hint="eastAsia" w:ascii="仿宋_GB2312" w:hAnsi="仿宋_GB2312" w:eastAsia="仿宋_GB2312" w:cs="仿宋_GB2312"/>
          <w:sz w:val="32"/>
          <w:highlight w:val="none"/>
          <w:lang w:val="zh-CN" w:eastAsia="zh-CN"/>
        </w:rPr>
        <w:t>人大代表工作经费：</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3.7</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3.7</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2.</w:t>
      </w:r>
      <w:r>
        <w:rPr>
          <w:rFonts w:hint="eastAsia" w:ascii="仿宋_GB2312" w:hAnsi="仿宋_GB2312" w:eastAsia="仿宋_GB2312" w:cs="仿宋_GB2312"/>
          <w:sz w:val="32"/>
          <w:highlight w:val="none"/>
          <w:lang w:val="zh-CN" w:eastAsia="zh-CN"/>
        </w:rPr>
        <w:t>村干部工资：</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299.1</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299.1</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3.社区干部工资：</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100.23</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100.23</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4</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val="zh-CN" w:eastAsia="zh-CN"/>
        </w:rPr>
        <w:t>村级公共运行维护费：</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95.93</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95.93</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5</w:t>
      </w:r>
      <w:r>
        <w:rPr>
          <w:rFonts w:hint="eastAsia" w:ascii="仿宋_GB2312" w:hAnsi="仿宋_GB2312" w:eastAsia="仿宋_GB2312" w:cs="仿宋_GB2312"/>
          <w:sz w:val="32"/>
          <w:highlight w:val="none"/>
          <w:lang w:val="en-US" w:eastAsia="zh-CN"/>
        </w:rPr>
        <w:t>.</w:t>
      </w:r>
      <w:r>
        <w:rPr>
          <w:rFonts w:hint="eastAsia" w:ascii="仿宋_GB2312" w:hAnsi="仿宋_GB2312" w:eastAsia="仿宋_GB2312" w:cs="仿宋_GB2312"/>
          <w:sz w:val="32"/>
          <w:highlight w:val="none"/>
          <w:lang w:val="zh-CN" w:eastAsia="zh-CN"/>
        </w:rPr>
        <w:t>驻村工作队专项工作经费：</w:t>
      </w:r>
      <w:r>
        <w:rPr>
          <w:rFonts w:hint="eastAsia" w:ascii="仿宋_GB2312" w:hAnsi="仿宋_GB2312" w:eastAsia="仿宋_GB2312" w:cs="仿宋_GB2312"/>
          <w:sz w:val="32"/>
          <w:highlight w:val="none"/>
          <w:lang w:val="en-US" w:eastAsia="zh-CN"/>
        </w:rPr>
        <w:t>调整后预算</w:t>
      </w:r>
      <w:r>
        <w:rPr>
          <w:rFonts w:hint="eastAsia" w:ascii="仿宋_GB2312" w:hAnsi="仿宋_GB2312" w:cs="仿宋_GB2312"/>
          <w:sz w:val="32"/>
          <w:highlight w:val="none"/>
          <w:lang w:val="en-US" w:eastAsia="zh-CN"/>
        </w:rPr>
        <w:t>4.34</w:t>
      </w:r>
      <w:r>
        <w:rPr>
          <w:rFonts w:hint="eastAsia" w:ascii="仿宋_GB2312" w:hAnsi="仿宋_GB2312" w:eastAsia="仿宋_GB2312" w:cs="仿宋_GB2312"/>
          <w:sz w:val="32"/>
          <w:highlight w:val="none"/>
          <w:lang w:val="en-US" w:eastAsia="zh-CN"/>
        </w:rPr>
        <w:t>万元，实际支付</w:t>
      </w:r>
      <w:r>
        <w:rPr>
          <w:rFonts w:hint="eastAsia" w:ascii="仿宋_GB2312" w:hAnsi="仿宋_GB2312" w:cs="仿宋_GB2312"/>
          <w:sz w:val="32"/>
          <w:highlight w:val="none"/>
          <w:lang w:val="en-US" w:eastAsia="zh-CN"/>
        </w:rPr>
        <w:t>4.34</w:t>
      </w:r>
      <w:r>
        <w:rPr>
          <w:rFonts w:hint="eastAsia" w:ascii="仿宋_GB2312" w:hAnsi="仿宋_GB2312" w:eastAsia="仿宋_GB2312" w:cs="仿宋_GB2312"/>
          <w:sz w:val="32"/>
          <w:highlight w:val="none"/>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zh-CN" w:eastAsia="zh-CN"/>
        </w:rPr>
      </w:pPr>
      <w:r>
        <w:rPr>
          <w:rFonts w:hint="default" w:ascii="仿宋_GB2312" w:hAnsi="仿宋_GB2312" w:eastAsia="仿宋_GB2312" w:cs="仿宋_GB2312"/>
          <w:sz w:val="32"/>
          <w:highlight w:val="none"/>
          <w:lang w:val="zh-CN" w:eastAsia="zh-CN"/>
        </w:rPr>
        <w:t>涉及预算总金额</w:t>
      </w:r>
      <w:r>
        <w:rPr>
          <w:rFonts w:hint="eastAsia" w:ascii="仿宋_GB2312" w:hAnsi="仿宋_GB2312" w:cs="仿宋_GB2312"/>
          <w:sz w:val="32"/>
          <w:highlight w:val="none"/>
          <w:lang w:val="en-US" w:eastAsia="zh-CN"/>
        </w:rPr>
        <w:t>503.3</w:t>
      </w:r>
      <w:r>
        <w:rPr>
          <w:rFonts w:hint="default" w:ascii="仿宋_GB2312" w:hAnsi="仿宋_GB2312" w:eastAsia="仿宋_GB2312" w:cs="仿宋_GB2312"/>
          <w:sz w:val="32"/>
          <w:highlight w:val="none"/>
          <w:lang w:val="zh-CN" w:eastAsia="zh-CN"/>
        </w:rPr>
        <w:t>万元，1</w:t>
      </w:r>
      <w:r>
        <w:rPr>
          <w:rFonts w:hint="eastAsia" w:ascii="仿宋_GB2312" w:hAnsi="仿宋_GB2312" w:eastAsia="仿宋_GB2312" w:cs="仿宋_GB2312"/>
          <w:sz w:val="32"/>
          <w:highlight w:val="none"/>
          <w:lang w:val="zh-CN" w:eastAsia="zh-CN"/>
        </w:rPr>
        <w:t>—</w:t>
      </w:r>
      <w:r>
        <w:rPr>
          <w:rFonts w:hint="default" w:ascii="仿宋_GB2312" w:hAnsi="仿宋_GB2312" w:eastAsia="仿宋_GB2312" w:cs="仿宋_GB2312"/>
          <w:sz w:val="32"/>
          <w:highlight w:val="none"/>
          <w:lang w:val="zh-CN" w:eastAsia="zh-CN"/>
        </w:rPr>
        <w:t>1</w:t>
      </w:r>
      <w:r>
        <w:rPr>
          <w:rFonts w:hint="default" w:ascii="仿宋_GB2312" w:hAnsi="仿宋_GB2312" w:eastAsia="仿宋_GB2312" w:cs="仿宋_GB2312"/>
          <w:sz w:val="32"/>
          <w:highlight w:val="none"/>
          <w:lang w:val="en-US" w:eastAsia="zh-CN"/>
        </w:rPr>
        <w:t>2</w:t>
      </w:r>
      <w:r>
        <w:rPr>
          <w:rFonts w:hint="default" w:ascii="仿宋_GB2312" w:hAnsi="仿宋_GB2312" w:eastAsia="仿宋_GB2312" w:cs="仿宋_GB2312"/>
          <w:sz w:val="32"/>
          <w:highlight w:val="none"/>
          <w:lang w:val="zh-CN" w:eastAsia="zh-CN"/>
        </w:rPr>
        <w:t>月预算执行总体</w:t>
      </w:r>
      <w:r>
        <w:rPr>
          <w:rFonts w:hint="eastAsia" w:ascii="仿宋_GB2312" w:hAnsi="仿宋_GB2312" w:eastAsia="仿宋_GB2312" w:cs="仿宋_GB2312"/>
          <w:sz w:val="32"/>
          <w:highlight w:val="none"/>
          <w:lang w:val="zh-CN" w:eastAsia="zh-CN"/>
        </w:rPr>
        <w:t>支付金额为</w:t>
      </w:r>
      <w:r>
        <w:rPr>
          <w:rFonts w:hint="eastAsia" w:ascii="仿宋_GB2312" w:hAnsi="仿宋_GB2312" w:cs="仿宋_GB2312"/>
          <w:sz w:val="32"/>
          <w:highlight w:val="none"/>
          <w:lang w:val="en-US" w:eastAsia="zh-CN"/>
        </w:rPr>
        <w:t>503.3</w:t>
      </w:r>
      <w:r>
        <w:rPr>
          <w:rFonts w:hint="eastAsia" w:ascii="仿宋_GB2312" w:hAnsi="仿宋_GB2312" w:eastAsia="仿宋_GB2312" w:cs="仿宋_GB2312"/>
          <w:sz w:val="32"/>
          <w:highlight w:val="none"/>
          <w:lang w:val="en-US" w:eastAsia="zh-CN"/>
        </w:rPr>
        <w:t>万元，</w:t>
      </w:r>
      <w:r>
        <w:rPr>
          <w:rFonts w:hint="default" w:ascii="仿宋_GB2312" w:hAnsi="仿宋_GB2312" w:eastAsia="仿宋_GB2312" w:cs="仿宋_GB2312"/>
          <w:sz w:val="32"/>
          <w:highlight w:val="none"/>
          <w:lang w:val="zh-CN" w:eastAsia="zh-CN"/>
        </w:rPr>
        <w:t>进度为</w:t>
      </w:r>
      <w:r>
        <w:rPr>
          <w:rFonts w:hint="eastAsia" w:ascii="仿宋_GB2312" w:hAnsi="仿宋_GB2312" w:eastAsia="仿宋_GB2312" w:cs="仿宋_GB2312"/>
          <w:sz w:val="32"/>
          <w:highlight w:val="none"/>
          <w:lang w:val="en-US" w:eastAsia="zh-CN"/>
        </w:rPr>
        <w:t>100</w:t>
      </w:r>
      <w:r>
        <w:rPr>
          <w:rFonts w:hint="default" w:ascii="仿宋_GB2312" w:hAnsi="仿宋_GB2312" w:eastAsia="仿宋_GB2312" w:cs="仿宋_GB2312"/>
          <w:sz w:val="32"/>
          <w:highlight w:val="none"/>
          <w:lang w:val="zh-CN" w:eastAsia="zh-CN"/>
        </w:rPr>
        <w:t>%</w:t>
      </w:r>
      <w:r>
        <w:rPr>
          <w:rFonts w:hint="eastAsia" w:ascii="仿宋_GB2312" w:hAnsi="仿宋_GB2312" w:eastAsia="仿宋_GB2312" w:cs="仿宋_GB2312"/>
          <w:sz w:val="32"/>
          <w:highlight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zh-CN" w:eastAsia="zh-CN"/>
        </w:rPr>
      </w:pPr>
      <w:r>
        <w:rPr>
          <w:rFonts w:hint="default" w:ascii="仿宋_GB2312" w:hAnsi="仿宋_GB2312" w:eastAsia="仿宋_GB2312" w:cs="仿宋_GB2312"/>
          <w:sz w:val="32"/>
          <w:highlight w:val="none"/>
          <w:lang w:val="zh-CN" w:eastAsia="zh-CN"/>
        </w:rPr>
        <w:t>其中：预算结余率大于</w:t>
      </w:r>
      <w:r>
        <w:rPr>
          <w:rFonts w:hint="default" w:ascii="仿宋_GB2312" w:hAnsi="仿宋_GB2312" w:eastAsia="仿宋_GB2312" w:cs="仿宋_GB2312"/>
          <w:sz w:val="32"/>
          <w:highlight w:val="none"/>
          <w:lang w:val="en-US" w:eastAsia="zh-CN"/>
        </w:rPr>
        <w:t>10%</w:t>
      </w:r>
      <w:r>
        <w:rPr>
          <w:rFonts w:hint="default" w:ascii="仿宋_GB2312" w:hAnsi="仿宋_GB2312" w:eastAsia="仿宋_GB2312" w:cs="仿宋_GB2312"/>
          <w:sz w:val="32"/>
          <w:highlight w:val="none"/>
          <w:lang w:val="zh-CN" w:eastAsia="zh-CN"/>
        </w:rPr>
        <w:t>的项目共计</w:t>
      </w:r>
      <w:r>
        <w:rPr>
          <w:rFonts w:hint="eastAsia" w:ascii="仿宋_GB2312" w:hAnsi="仿宋_GB2312" w:eastAsia="仿宋_GB2312" w:cs="仿宋_GB2312"/>
          <w:sz w:val="32"/>
          <w:highlight w:val="none"/>
          <w:lang w:val="en-US" w:eastAsia="zh-CN"/>
        </w:rPr>
        <w:t>0</w:t>
      </w:r>
      <w:r>
        <w:rPr>
          <w:rFonts w:hint="default" w:ascii="仿宋_GB2312" w:hAnsi="仿宋_GB2312" w:eastAsia="仿宋_GB2312" w:cs="仿宋_GB2312"/>
          <w:sz w:val="32"/>
          <w:highlight w:val="none"/>
          <w:lang w:val="zh-CN" w:eastAsia="zh-CN"/>
        </w:rPr>
        <w:t>个</w:t>
      </w:r>
      <w:r>
        <w:rPr>
          <w:rFonts w:hint="eastAsia" w:ascii="仿宋_GB2312" w:hAnsi="仿宋_GB2312" w:eastAsia="仿宋_GB2312" w:cs="仿宋_GB2312"/>
          <w:sz w:val="32"/>
          <w:highlight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zh-CN" w:eastAsia="zh-CN"/>
        </w:rPr>
      </w:pPr>
      <w:r>
        <w:rPr>
          <w:rFonts w:hint="default" w:ascii="仿宋_GB2312" w:hAnsi="仿宋_GB2312" w:eastAsia="仿宋_GB2312" w:cs="仿宋_GB2312"/>
          <w:sz w:val="32"/>
          <w:highlight w:val="none"/>
          <w:lang w:val="en-US" w:eastAsia="zh-CN"/>
        </w:rPr>
        <w:t>阶段</w:t>
      </w:r>
      <w:r>
        <w:rPr>
          <w:rFonts w:hint="eastAsia" w:ascii="仿宋_GB2312" w:hAnsi="仿宋_GB2312" w:eastAsia="仿宋_GB2312" w:cs="仿宋_GB2312"/>
          <w:sz w:val="32"/>
          <w:highlight w:val="none"/>
          <w:lang w:val="en-US" w:eastAsia="zh-CN"/>
        </w:rPr>
        <w:t>（</w:t>
      </w:r>
      <w:r>
        <w:rPr>
          <w:rFonts w:hint="default" w:ascii="仿宋_GB2312" w:hAnsi="仿宋_GB2312" w:eastAsia="仿宋_GB2312" w:cs="仿宋_GB2312"/>
          <w:sz w:val="32"/>
          <w:highlight w:val="none"/>
          <w:lang w:val="en-US" w:eastAsia="zh-CN"/>
        </w:rPr>
        <w:t>一次性</w:t>
      </w:r>
      <w:r>
        <w:rPr>
          <w:rFonts w:hint="eastAsia" w:ascii="仿宋_GB2312" w:hAnsi="仿宋_GB2312" w:eastAsia="仿宋_GB2312" w:cs="仿宋_GB2312"/>
          <w:sz w:val="32"/>
          <w:highlight w:val="none"/>
          <w:lang w:val="en-US" w:eastAsia="zh-CN"/>
        </w:rPr>
        <w:t>）</w:t>
      </w:r>
      <w:r>
        <w:rPr>
          <w:rFonts w:hint="default" w:ascii="仿宋_GB2312" w:hAnsi="仿宋_GB2312" w:eastAsia="仿宋_GB2312" w:cs="仿宋_GB2312"/>
          <w:sz w:val="32"/>
          <w:highlight w:val="none"/>
          <w:lang w:val="en-US" w:eastAsia="zh-CN"/>
        </w:rPr>
        <w:t>项目绩效分析。</w:t>
      </w:r>
      <w:r>
        <w:rPr>
          <w:rFonts w:hint="default" w:ascii="仿宋_GB2312" w:hAnsi="仿宋_GB2312" w:eastAsia="仿宋_GB2312" w:cs="仿宋_GB2312"/>
          <w:sz w:val="32"/>
          <w:highlight w:val="none"/>
          <w:lang w:val="zh-CN" w:eastAsia="zh-CN"/>
        </w:rPr>
        <w:t>该类项目总数</w:t>
      </w:r>
      <w:r>
        <w:rPr>
          <w:rFonts w:hint="eastAsia" w:ascii="仿宋_GB2312" w:hAnsi="仿宋_GB2312" w:cs="仿宋_GB2312"/>
          <w:sz w:val="32"/>
          <w:highlight w:val="none"/>
          <w:lang w:val="en-US" w:eastAsia="zh-CN"/>
        </w:rPr>
        <w:t>8</w:t>
      </w:r>
      <w:r>
        <w:rPr>
          <w:rFonts w:hint="default" w:ascii="仿宋_GB2312" w:hAnsi="仿宋_GB2312" w:eastAsia="仿宋_GB2312" w:cs="仿宋_GB2312"/>
          <w:sz w:val="32"/>
          <w:highlight w:val="none"/>
          <w:lang w:val="zh-CN" w:eastAsia="zh-CN"/>
        </w:rPr>
        <w:t>个</w:t>
      </w:r>
      <w:r>
        <w:rPr>
          <w:rFonts w:hint="eastAsia" w:ascii="仿宋_GB2312" w:hAnsi="仿宋_GB2312" w:eastAsia="仿宋_GB2312" w:cs="仿宋_GB2312"/>
          <w:sz w:val="32"/>
          <w:highlight w:val="none"/>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lang w:val="zh-CN" w:eastAsia="zh-CN"/>
        </w:rPr>
      </w:pPr>
      <w:r>
        <w:rPr>
          <w:rFonts w:hint="eastAsia" w:ascii="仿宋_GB2312" w:hAnsi="仿宋_GB2312" w:cs="仿宋_GB2312"/>
          <w:sz w:val="32"/>
          <w:lang w:val="en-US" w:eastAsia="zh-CN"/>
        </w:rPr>
        <w:t>1</w:t>
      </w:r>
      <w:r>
        <w:rPr>
          <w:rFonts w:hint="eastAsia" w:ascii="仿宋_GB2312" w:hAnsi="仿宋_GB2312" w:eastAsia="仿宋_GB2312" w:cs="仿宋_GB2312"/>
          <w:sz w:val="32"/>
          <w:lang w:val="en-US" w:eastAsia="zh-CN"/>
        </w:rPr>
        <w:t>.村（社区）残协建设项目:调整后预算</w:t>
      </w:r>
      <w:r>
        <w:rPr>
          <w:rFonts w:hint="eastAsia" w:ascii="仿宋_GB2312" w:hAnsi="仿宋_GB2312" w:cs="仿宋_GB2312"/>
          <w:sz w:val="32"/>
          <w:lang w:val="en-US" w:eastAsia="zh-CN"/>
        </w:rPr>
        <w:t>1.5</w:t>
      </w:r>
      <w:r>
        <w:rPr>
          <w:rFonts w:hint="eastAsia" w:ascii="仿宋_GB2312" w:hAnsi="仿宋_GB2312" w:eastAsia="仿宋_GB2312" w:cs="仿宋_GB2312"/>
          <w:sz w:val="32"/>
          <w:lang w:val="en-US" w:eastAsia="zh-CN"/>
        </w:rPr>
        <w:t>万元，实际支付</w:t>
      </w:r>
      <w:r>
        <w:rPr>
          <w:rFonts w:hint="eastAsia" w:ascii="仿宋_GB2312" w:hAnsi="仿宋_GB2312" w:cs="仿宋_GB2312"/>
          <w:sz w:val="32"/>
          <w:lang w:val="en-US" w:eastAsia="zh-CN"/>
        </w:rPr>
        <w:t>1.5</w:t>
      </w:r>
      <w:r>
        <w:rPr>
          <w:rFonts w:hint="eastAsia" w:ascii="仿宋_GB2312" w:hAnsi="仿宋_GB2312" w:eastAsia="仿宋_GB2312" w:cs="仿宋_GB2312"/>
          <w:sz w:val="32"/>
          <w:lang w:val="en-US" w:eastAsia="zh-CN"/>
        </w:rPr>
        <w:t>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2.黑水县芦花镇泽盖村红色美丽村庄集体经济建设项目:调整后预算70万元，实际支付70万元；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3.</w:t>
      </w:r>
      <w:r>
        <w:rPr>
          <w:rFonts w:hint="default" w:ascii="仿宋_GB2312" w:hAnsi="仿宋_GB2312" w:eastAsia="仿宋_GB2312" w:cs="仿宋_GB2312"/>
          <w:sz w:val="32"/>
          <w:lang w:val="en-US" w:eastAsia="zh-CN"/>
        </w:rPr>
        <w:t>芦花镇三达古村危桥重建项目</w:t>
      </w:r>
      <w:r>
        <w:rPr>
          <w:rFonts w:hint="eastAsia" w:ascii="仿宋_GB2312" w:hAnsi="仿宋_GB2312" w:eastAsia="仿宋_GB2312" w:cs="仿宋_GB2312"/>
          <w:sz w:val="32"/>
          <w:lang w:val="en-US" w:eastAsia="zh-CN"/>
        </w:rPr>
        <w:t>:调整后预算143.1万元，实际支付143.1万元；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4.</w:t>
      </w:r>
      <w:r>
        <w:rPr>
          <w:rFonts w:hint="default" w:ascii="仿宋_GB2312" w:hAnsi="仿宋_GB2312" w:eastAsia="仿宋_GB2312" w:cs="仿宋_GB2312"/>
          <w:sz w:val="32"/>
          <w:lang w:val="en-US" w:eastAsia="zh-CN"/>
        </w:rPr>
        <w:t>芦花镇德石窝村集体经济查漏补缺项目</w:t>
      </w:r>
      <w:r>
        <w:rPr>
          <w:rFonts w:hint="eastAsia" w:ascii="仿宋_GB2312" w:hAnsi="仿宋_GB2312" w:eastAsia="仿宋_GB2312" w:cs="仿宋_GB2312"/>
          <w:sz w:val="32"/>
          <w:lang w:val="en-US" w:eastAsia="zh-CN"/>
        </w:rPr>
        <w:t>:调整后预算45.27万元，实际支付45.27万元；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5.</w:t>
      </w:r>
      <w:r>
        <w:rPr>
          <w:rFonts w:hint="default" w:ascii="仿宋_GB2312" w:hAnsi="仿宋_GB2312" w:eastAsia="仿宋_GB2312" w:cs="仿宋_GB2312"/>
          <w:sz w:val="32"/>
          <w:lang w:val="en-US" w:eastAsia="zh-CN"/>
        </w:rPr>
        <w:t>基层人大践行全过程人民民主专项经费项目</w:t>
      </w:r>
      <w:r>
        <w:rPr>
          <w:rFonts w:hint="eastAsia" w:ascii="仿宋_GB2312" w:hAnsi="仿宋_GB2312" w:eastAsia="仿宋_GB2312" w:cs="仿宋_GB2312"/>
          <w:sz w:val="32"/>
          <w:lang w:val="en-US" w:eastAsia="zh-CN"/>
        </w:rPr>
        <w:t>:调整后预算8.3万元，实际支付8.3万元；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6.</w:t>
      </w:r>
      <w:r>
        <w:rPr>
          <w:rFonts w:hint="default" w:ascii="仿宋_GB2312" w:hAnsi="仿宋_GB2312" w:eastAsia="仿宋_GB2312" w:cs="仿宋_GB2312"/>
          <w:sz w:val="32"/>
          <w:lang w:val="en-US" w:eastAsia="zh-CN"/>
        </w:rPr>
        <w:t>黑水县芦花镇西布里社区移民后期扶持项目</w:t>
      </w:r>
      <w:r>
        <w:rPr>
          <w:rFonts w:hint="eastAsia" w:ascii="仿宋_GB2312" w:hAnsi="仿宋_GB2312" w:eastAsia="仿宋_GB2312" w:cs="仿宋_GB2312"/>
          <w:sz w:val="32"/>
          <w:lang w:val="en-US" w:eastAsia="zh-CN"/>
        </w:rPr>
        <w:t>:调整后预算127.8万元，实际支付127.8万元；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7.</w:t>
      </w:r>
      <w:r>
        <w:rPr>
          <w:rFonts w:hint="default" w:ascii="仿宋_GB2312" w:hAnsi="仿宋_GB2312" w:eastAsia="仿宋_GB2312" w:cs="仿宋_GB2312"/>
          <w:sz w:val="32"/>
          <w:lang w:val="en-US" w:eastAsia="zh-CN"/>
        </w:rPr>
        <w:t>芦花镇泽盖村集体经济项</w:t>
      </w:r>
      <w:r>
        <w:rPr>
          <w:rFonts w:hint="eastAsia" w:ascii="仿宋_GB2312" w:hAnsi="仿宋_GB2312" w:eastAsia="仿宋_GB2312" w:cs="仿宋_GB2312"/>
          <w:sz w:val="32"/>
          <w:lang w:val="en-US" w:eastAsia="zh-CN"/>
        </w:rPr>
        <w:t>目:调整后预算59.99万元，实际支付59.99万元；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8.</w:t>
      </w:r>
      <w:r>
        <w:rPr>
          <w:rFonts w:hint="default" w:ascii="仿宋_GB2312" w:hAnsi="仿宋_GB2312" w:eastAsia="仿宋_GB2312" w:cs="仿宋_GB2312"/>
          <w:sz w:val="32"/>
          <w:lang w:val="en-US" w:eastAsia="zh-CN"/>
        </w:rPr>
        <w:t>芦花镇农旅融合产业发展项目</w:t>
      </w:r>
      <w:r>
        <w:rPr>
          <w:rFonts w:hint="eastAsia" w:ascii="仿宋_GB2312" w:hAnsi="仿宋_GB2312" w:eastAsia="仿宋_GB2312" w:cs="仿宋_GB2312"/>
          <w:sz w:val="32"/>
          <w:lang w:val="en-US" w:eastAsia="zh-CN"/>
        </w:rPr>
        <w:t>:调整后预算193.45万元，实际支付193.45万元；</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 xml:space="preserve"> </w:t>
      </w:r>
      <w:r>
        <w:rPr>
          <w:rFonts w:hint="default" w:ascii="仿宋_GB2312" w:hAnsi="仿宋_GB2312" w:eastAsia="仿宋_GB2312" w:cs="仿宋_GB2312"/>
          <w:sz w:val="32"/>
          <w:lang w:val="zh-CN" w:eastAsia="zh-CN"/>
        </w:rPr>
        <w:t>涉及预算总金额</w:t>
      </w:r>
      <w:r>
        <w:rPr>
          <w:rFonts w:hint="eastAsia" w:ascii="仿宋_GB2312" w:hAnsi="仿宋_GB2312" w:eastAsia="仿宋_GB2312" w:cs="仿宋_GB2312"/>
          <w:sz w:val="32"/>
          <w:lang w:val="en-US" w:eastAsia="zh-CN"/>
        </w:rPr>
        <w:t>649.41</w:t>
      </w:r>
      <w:r>
        <w:rPr>
          <w:rFonts w:hint="default" w:ascii="仿宋_GB2312" w:hAnsi="仿宋_GB2312" w:eastAsia="仿宋_GB2312" w:cs="仿宋_GB2312"/>
          <w:sz w:val="32"/>
          <w:lang w:val="zh-CN" w:eastAsia="zh-CN"/>
        </w:rPr>
        <w:t>万元，1</w:t>
      </w:r>
      <w:r>
        <w:rPr>
          <w:rFonts w:hint="eastAsia" w:ascii="仿宋_GB2312" w:hAnsi="仿宋_GB2312" w:eastAsia="仿宋_GB2312" w:cs="仿宋_GB2312"/>
          <w:sz w:val="32"/>
          <w:lang w:val="zh-CN" w:eastAsia="zh-CN"/>
        </w:rPr>
        <w:t>—</w:t>
      </w:r>
      <w:r>
        <w:rPr>
          <w:rFonts w:hint="default" w:ascii="仿宋_GB2312" w:hAnsi="仿宋_GB2312" w:eastAsia="仿宋_GB2312" w:cs="仿宋_GB2312"/>
          <w:sz w:val="32"/>
          <w:lang w:val="zh-CN" w:eastAsia="zh-CN"/>
        </w:rPr>
        <w:t>1</w:t>
      </w:r>
      <w:r>
        <w:rPr>
          <w:rFonts w:hint="default" w:ascii="仿宋_GB2312" w:hAnsi="仿宋_GB2312" w:eastAsia="仿宋_GB2312" w:cs="仿宋_GB2312"/>
          <w:sz w:val="32"/>
          <w:lang w:val="en-US" w:eastAsia="zh-CN"/>
        </w:rPr>
        <w:t>2</w:t>
      </w:r>
      <w:r>
        <w:rPr>
          <w:rFonts w:hint="default" w:ascii="仿宋_GB2312" w:hAnsi="仿宋_GB2312" w:eastAsia="仿宋_GB2312" w:cs="仿宋_GB2312"/>
          <w:sz w:val="32"/>
          <w:lang w:val="zh-CN" w:eastAsia="zh-CN"/>
        </w:rPr>
        <w:t>月预算执行</w:t>
      </w:r>
      <w:r>
        <w:rPr>
          <w:rFonts w:hint="eastAsia" w:ascii="仿宋_GB2312" w:hAnsi="仿宋_GB2312" w:eastAsia="仿宋_GB2312" w:cs="仿宋_GB2312"/>
          <w:sz w:val="32"/>
          <w:lang w:val="zh-CN" w:eastAsia="zh-CN"/>
        </w:rPr>
        <w:t>总额</w:t>
      </w:r>
      <w:r>
        <w:rPr>
          <w:rFonts w:hint="eastAsia" w:ascii="仿宋_GB2312" w:hAnsi="仿宋_GB2312" w:eastAsia="仿宋_GB2312" w:cs="仿宋_GB2312"/>
          <w:sz w:val="32"/>
          <w:lang w:val="en-US" w:eastAsia="zh-CN"/>
        </w:rPr>
        <w:t>649.41万元，</w:t>
      </w:r>
      <w:r>
        <w:rPr>
          <w:rFonts w:hint="default" w:ascii="仿宋_GB2312" w:hAnsi="仿宋_GB2312" w:eastAsia="仿宋_GB2312" w:cs="仿宋_GB2312"/>
          <w:sz w:val="32"/>
          <w:lang w:val="zh-CN" w:eastAsia="zh-CN"/>
        </w:rPr>
        <w:t>总体进度为</w:t>
      </w:r>
      <w:r>
        <w:rPr>
          <w:rFonts w:hint="eastAsia" w:ascii="仿宋_GB2312" w:hAnsi="仿宋_GB2312" w:eastAsia="仿宋_GB2312" w:cs="仿宋_GB2312"/>
          <w:sz w:val="32"/>
          <w:lang w:val="en-US" w:eastAsia="zh-CN"/>
        </w:rPr>
        <w:t>100</w:t>
      </w:r>
      <w:r>
        <w:rPr>
          <w:rFonts w:hint="default" w:ascii="仿宋_GB2312" w:hAnsi="仿宋_GB2312" w:eastAsia="仿宋_GB2312" w:cs="仿宋_GB2312"/>
          <w:sz w:val="32"/>
          <w:lang w:val="zh-CN" w:eastAsia="zh-CN"/>
        </w:rPr>
        <w:t>%</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default" w:ascii="仿宋_GB2312" w:hAnsi="仿宋_GB2312" w:eastAsia="仿宋_GB2312" w:cs="仿宋_GB2312"/>
          <w:sz w:val="32"/>
          <w:lang w:val="zh-CN" w:eastAsia="zh-CN"/>
        </w:rPr>
        <w:t>其中：预算结余率大于</w:t>
      </w:r>
      <w:r>
        <w:rPr>
          <w:rFonts w:hint="default" w:ascii="仿宋_GB2312" w:hAnsi="仿宋_GB2312" w:eastAsia="仿宋_GB2312" w:cs="仿宋_GB2312"/>
          <w:sz w:val="32"/>
          <w:lang w:val="en-US" w:eastAsia="zh-CN"/>
        </w:rPr>
        <w:t>10%</w:t>
      </w:r>
      <w:r>
        <w:rPr>
          <w:rFonts w:hint="default" w:ascii="仿宋_GB2312" w:hAnsi="仿宋_GB2312" w:eastAsia="仿宋_GB2312" w:cs="仿宋_GB2312"/>
          <w:sz w:val="32"/>
          <w:lang w:val="zh-CN" w:eastAsia="zh-CN"/>
        </w:rPr>
        <w:t>的项目共计</w:t>
      </w:r>
      <w:r>
        <w:rPr>
          <w:rFonts w:hint="eastAsia" w:ascii="仿宋_GB2312" w:hAnsi="仿宋_GB2312" w:eastAsia="仿宋_GB2312" w:cs="仿宋_GB2312"/>
          <w:sz w:val="32"/>
          <w:lang w:val="en-US" w:eastAsia="zh-CN"/>
        </w:rPr>
        <w:t>0</w:t>
      </w:r>
      <w:r>
        <w:rPr>
          <w:rFonts w:hint="default" w:ascii="仿宋_GB2312" w:hAnsi="仿宋_GB2312" w:eastAsia="仿宋_GB2312" w:cs="仿宋_GB2312"/>
          <w:sz w:val="32"/>
          <w:lang w:val="zh-CN" w:eastAsia="zh-CN"/>
        </w:rPr>
        <w:t>个</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1.</w:t>
      </w:r>
      <w:r>
        <w:rPr>
          <w:rFonts w:hint="eastAsia" w:ascii="仿宋_GB2312" w:hAnsi="仿宋_GB2312" w:eastAsia="仿宋_GB2312" w:cs="仿宋_GB2312"/>
          <w:sz w:val="32"/>
          <w:lang w:val="zh-CN" w:eastAsia="zh-CN"/>
        </w:rPr>
        <w:t>项目决策。指标分值</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11</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en-US" w:eastAsia="zh-CN"/>
        </w:rPr>
        <w:t>决策程序：我镇从项目立项必要性、投入经济性、目标合理性、实施可行性、筹资合规性。按照厉行节约的要求，结合项目开支情况结合实际需求、相关费用标准及市场价格水平，重点对目标数量是否合理、投入是否经济、预算测算是否准确、测算</w:t>
      </w:r>
      <w:r>
        <w:rPr>
          <w:rFonts w:hint="eastAsia" w:ascii="仿宋_GB2312" w:hAnsi="仿宋_GB2312" w:eastAsia="仿宋_GB2312" w:cs="仿宋_GB2312"/>
          <w:sz w:val="32"/>
          <w:lang w:eastAsia="zh-CN"/>
        </w:rPr>
        <w:t>过程是否详细、测算依据是否充分等方面进行了分析。</w:t>
      </w:r>
      <w:r>
        <w:rPr>
          <w:rFonts w:hint="eastAsia" w:ascii="仿宋_GB2312" w:hAnsi="仿宋_GB2312" w:eastAsia="仿宋_GB2312" w:cs="仿宋_GB2312"/>
          <w:sz w:val="32"/>
          <w:lang w:val="zh-CN" w:eastAsia="zh-CN"/>
        </w:rPr>
        <w:t>确定项目实施。指标分值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eastAsia="zh-CN"/>
        </w:rPr>
        <w:t>项目入库；我</w:t>
      </w:r>
      <w:r>
        <w:rPr>
          <w:rFonts w:hint="eastAsia" w:ascii="仿宋_GB2312" w:hAnsi="仿宋_GB2312" w:eastAsia="仿宋_GB2312" w:cs="仿宋_GB2312"/>
          <w:sz w:val="32"/>
          <w:lang w:val="en-US" w:eastAsia="zh-CN"/>
        </w:rPr>
        <w:t>镇</w:t>
      </w:r>
      <w:r>
        <w:rPr>
          <w:rFonts w:hint="eastAsia" w:ascii="仿宋_GB2312" w:hAnsi="仿宋_GB2312" w:eastAsia="仿宋_GB2312" w:cs="仿宋_GB2312"/>
          <w:sz w:val="32"/>
          <w:lang w:eastAsia="zh-CN"/>
        </w:rPr>
        <w:t>按照项目建设要求在规定时间完成项目入库。</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eastAsia="zh-CN"/>
        </w:rPr>
      </w:pPr>
      <w:r>
        <w:rPr>
          <w:rFonts w:hint="eastAsia" w:ascii="仿宋_GB2312" w:hAnsi="仿宋_GB2312" w:eastAsia="仿宋_GB2312" w:cs="仿宋_GB2312"/>
          <w:sz w:val="32"/>
          <w:lang w:val="zh-CN" w:eastAsia="zh-CN"/>
        </w:rPr>
        <w:t>目标设置</w:t>
      </w:r>
      <w:r>
        <w:rPr>
          <w:rFonts w:hint="eastAsia" w:ascii="仿宋_GB2312" w:hAnsi="仿宋_GB2312" w:eastAsia="仿宋_GB2312" w:cs="仿宋_GB2312"/>
          <w:sz w:val="32"/>
          <w:lang w:val="en-US" w:eastAsia="zh-CN"/>
        </w:rPr>
        <w:t>:</w:t>
      </w:r>
      <w:r>
        <w:rPr>
          <w:rFonts w:hint="eastAsia" w:ascii="仿宋_GB2312" w:hAnsi="仿宋_GB2312" w:eastAsia="仿宋_GB2312" w:cs="仿宋_GB2312"/>
          <w:sz w:val="32"/>
          <w:lang w:val="zh-CN" w:eastAsia="zh-CN"/>
        </w:rPr>
        <w:t>申报的</w:t>
      </w:r>
      <w:r>
        <w:rPr>
          <w:rFonts w:hint="eastAsia" w:ascii="仿宋_GB2312" w:hAnsi="仿宋_GB2312" w:eastAsia="仿宋_GB2312" w:cs="仿宋_GB2312"/>
          <w:sz w:val="32"/>
          <w:lang w:eastAsia="zh-CN"/>
        </w:rPr>
        <w:t>资金项目内容</w:t>
      </w:r>
      <w:r>
        <w:rPr>
          <w:rFonts w:hint="eastAsia" w:ascii="仿宋_GB2312" w:hAnsi="仿宋_GB2312" w:eastAsia="仿宋_GB2312" w:cs="仿宋_GB2312"/>
          <w:sz w:val="32"/>
          <w:lang w:val="zh-CN" w:eastAsia="zh-CN"/>
        </w:rPr>
        <w:t>与具体实施内容相符的、申报目标是合理可行。指标分值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2.项目执行</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12</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执行同向：各项目实际列支内容是否与绩效目标设置方向相符。项目组织管理架构及具体实施流程，包括机构设置、监管措施、执行相关管理制度等符合相关规定。</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项目调整：按照县级部门资金分配，设立项目，项目未调整。</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执行结果：资金开支范围、支付依据合规合法，资金支付与预算相符。个别项目支付进度不符，</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目标实现。指标分值</w:t>
      </w:r>
      <w:r>
        <w:rPr>
          <w:rFonts w:hint="eastAsia" w:ascii="仿宋_GB2312" w:hAnsi="仿宋_GB2312" w:eastAsia="仿宋_GB2312" w:cs="仿宋_GB2312"/>
          <w:sz w:val="32"/>
          <w:lang w:val="en-US" w:eastAsia="zh-CN"/>
        </w:rPr>
        <w:t>11</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9</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目标完成：项目从经济、社会、生态、可持续效益以及服务对象满意度等方面科学制定目标任务。</w:t>
      </w:r>
      <w:r>
        <w:rPr>
          <w:rFonts w:hint="eastAsia" w:ascii="仿宋_GB2312" w:hAnsi="仿宋_GB2312" w:cs="仿宋_GB2312"/>
          <w:sz w:val="32"/>
          <w:lang w:val="zh-CN" w:eastAsia="zh-CN"/>
        </w:rPr>
        <w:t>截至</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年年底大部分</w:t>
      </w:r>
      <w:r>
        <w:rPr>
          <w:rFonts w:hint="eastAsia" w:ascii="仿宋_GB2312" w:hAnsi="仿宋_GB2312" w:eastAsia="仿宋_GB2312" w:cs="仿宋_GB2312"/>
          <w:sz w:val="32"/>
          <w:lang w:val="zh-CN" w:eastAsia="zh-CN"/>
        </w:rPr>
        <w:t>项目按照目标任务完成数量、质量、时效、成本等计划完成目标。个别项目为完成目标，指标分值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目标偏离：预算项目绩效目标数量指标实现程度与预期目标的有偏离情况：</w:t>
      </w:r>
      <w:r>
        <w:rPr>
          <w:rFonts w:hint="eastAsia" w:ascii="仿宋_GB2312" w:hAnsi="仿宋_GB2312" w:eastAsia="仿宋_GB2312" w:cs="仿宋_GB2312"/>
          <w:sz w:val="32"/>
          <w:lang w:val="en-US" w:eastAsia="zh-CN"/>
        </w:rPr>
        <w:t>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年我镇项目绩效目标基本实现</w:t>
      </w:r>
      <w:r>
        <w:rPr>
          <w:rFonts w:hint="eastAsia" w:ascii="仿宋_GB2312" w:hAnsi="仿宋_GB2312" w:eastAsia="仿宋_GB2312" w:cs="仿宋_GB2312"/>
          <w:sz w:val="32"/>
          <w:lang w:val="zh-CN" w:eastAsia="zh-CN"/>
        </w:rPr>
        <w:t>。指标分值</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4</w:t>
      </w:r>
      <w:r>
        <w:rPr>
          <w:rFonts w:hint="eastAsia" w:ascii="仿宋_GB2312" w:hAnsi="仿宋_GB2312" w:eastAsia="仿宋_GB2312" w:cs="仿宋_GB2312"/>
          <w:sz w:val="32"/>
          <w:lang w:val="zh-CN" w:eastAsia="zh-CN"/>
        </w:rPr>
        <w:t>分。</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cs="Times New Roman"/>
          <w:color w:val="000000"/>
          <w:kern w:val="0"/>
          <w:szCs w:val="32"/>
          <w:highlight w:val="none"/>
          <w:shd w:val="clear" w:color="auto" w:fill="FFFFFF"/>
          <w:lang w:val="zh-CN"/>
        </w:rPr>
      </w:pPr>
      <w:r>
        <w:rPr>
          <w:rFonts w:hint="eastAsia" w:ascii="仿宋_GB2312" w:hAnsi="仿宋_GB2312" w:eastAsia="仿宋_GB2312" w:cs="仿宋_GB2312"/>
          <w:sz w:val="32"/>
          <w:lang w:val="zh-CN" w:eastAsia="zh-CN"/>
        </w:rPr>
        <w:t>实现效果：加快构建全方位、全过程、全覆盖预算绩效管理体系，财政资源配置效率和资金使用效益实现“双提升”。指标分值</w:t>
      </w:r>
      <w:r>
        <w:rPr>
          <w:rFonts w:hint="eastAsia" w:ascii="仿宋_GB2312" w:hAnsi="仿宋_GB2312" w:eastAsia="仿宋_GB2312" w:cs="仿宋_GB2312"/>
          <w:sz w:val="32"/>
          <w:lang w:val="en-US" w:eastAsia="zh-CN"/>
        </w:rPr>
        <w:t>3</w:t>
      </w:r>
      <w:r>
        <w:rPr>
          <w:rFonts w:hint="eastAsia" w:ascii="仿宋_GB2312" w:hAnsi="仿宋_GB2312" w:eastAsia="仿宋_GB2312" w:cs="仿宋_GB2312"/>
          <w:sz w:val="32"/>
          <w:lang w:val="zh-CN" w:eastAsia="zh-CN"/>
        </w:rPr>
        <w:t>分，自评得分</w:t>
      </w:r>
      <w:r>
        <w:rPr>
          <w:rFonts w:hint="eastAsia" w:ascii="仿宋_GB2312" w:hAnsi="仿宋_GB2312" w:eastAsia="仿宋_GB2312" w:cs="仿宋_GB2312"/>
          <w:sz w:val="32"/>
          <w:lang w:val="en-US" w:eastAsia="zh-CN"/>
        </w:rPr>
        <w:t>2</w:t>
      </w:r>
      <w:r>
        <w:rPr>
          <w:rFonts w:hint="eastAsia" w:ascii="仿宋_GB2312" w:hAnsi="仿宋_GB2312" w:eastAsia="仿宋_GB2312" w:cs="仿宋_GB2312"/>
          <w:sz w:val="32"/>
          <w:lang w:val="zh-CN" w:eastAsia="zh-CN"/>
        </w:rPr>
        <w:t>分。</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rPr>
          <w:rFonts w:hint="eastAsia" w:ascii="楷体_GB2312" w:hAnsi="楷体_GB2312" w:eastAsia="楷体_GB2312" w:cs="楷体_GB2312"/>
          <w:b/>
          <w:bCs/>
          <w:color w:val="000000"/>
          <w:kern w:val="0"/>
          <w:szCs w:val="32"/>
          <w:highlight w:val="none"/>
          <w:shd w:val="clear" w:color="auto" w:fill="FFFFFF"/>
          <w:lang w:val="zh-CN" w:eastAsia="zh-CN"/>
        </w:rPr>
      </w:pPr>
      <w:r>
        <w:rPr>
          <w:rFonts w:hint="eastAsia" w:ascii="楷体_GB2312" w:hAnsi="楷体_GB2312" w:eastAsia="楷体_GB2312" w:cs="楷体_GB2312"/>
          <w:b/>
          <w:bCs/>
          <w:color w:val="000000"/>
          <w:kern w:val="0"/>
          <w:szCs w:val="32"/>
          <w:highlight w:val="none"/>
          <w:shd w:val="clear" w:color="auto" w:fill="FFFFFF"/>
          <w:lang w:val="zh-CN" w:eastAsia="zh-CN"/>
        </w:rPr>
        <w:t>（</w:t>
      </w:r>
      <w:r>
        <w:rPr>
          <w:rFonts w:hint="eastAsia" w:ascii="楷体_GB2312" w:hAnsi="楷体_GB2312" w:eastAsia="楷体_GB2312" w:cs="楷体_GB2312"/>
          <w:b/>
          <w:bCs/>
          <w:color w:val="000000"/>
          <w:kern w:val="0"/>
          <w:szCs w:val="32"/>
          <w:highlight w:val="none"/>
          <w:shd w:val="clear" w:color="auto" w:fill="FFFFFF"/>
          <w:lang w:val="en-US" w:eastAsia="zh-CN"/>
        </w:rPr>
        <w:t>三</w:t>
      </w:r>
      <w:r>
        <w:rPr>
          <w:rFonts w:hint="eastAsia" w:ascii="楷体_GB2312" w:hAnsi="楷体_GB2312" w:eastAsia="楷体_GB2312" w:cs="楷体_GB2312"/>
          <w:b/>
          <w:bCs/>
          <w:color w:val="000000"/>
          <w:kern w:val="0"/>
          <w:szCs w:val="32"/>
          <w:highlight w:val="none"/>
          <w:shd w:val="clear" w:color="auto" w:fill="FFFFFF"/>
          <w:lang w:val="zh-CN" w:eastAsia="zh-CN"/>
        </w:rPr>
        <w:t>）重点领域</w:t>
      </w:r>
      <w:r>
        <w:rPr>
          <w:rFonts w:hint="eastAsia" w:ascii="楷体_GB2312" w:hAnsi="楷体_GB2312" w:eastAsia="楷体_GB2312" w:cs="楷体_GB2312"/>
          <w:b/>
          <w:bCs/>
          <w:color w:val="000000"/>
          <w:kern w:val="0"/>
          <w:szCs w:val="32"/>
          <w:highlight w:val="none"/>
          <w:shd w:val="clear" w:color="auto" w:fill="FFFFFF"/>
          <w:lang w:val="zh-CN"/>
        </w:rPr>
        <w:t>绩效分析</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我单位不涉及</w:t>
      </w:r>
      <w:r>
        <w:rPr>
          <w:rFonts w:hint="eastAsia" w:ascii="仿宋_GB2312" w:hAnsi="仿宋_GB2312" w:eastAsia="仿宋_GB2312" w:cs="仿宋_GB2312"/>
          <w:sz w:val="32"/>
          <w:lang w:val="en-US" w:eastAsia="zh-CN"/>
        </w:rPr>
        <w:t>2025年度</w:t>
      </w:r>
      <w:r>
        <w:rPr>
          <w:rFonts w:hint="eastAsia" w:ascii="仿宋_GB2312" w:hAnsi="仿宋_GB2312" w:eastAsia="仿宋_GB2312" w:cs="仿宋_GB2312"/>
          <w:sz w:val="32"/>
          <w:lang w:val="zh-CN" w:eastAsia="zh-CN"/>
        </w:rPr>
        <w:t>国有资本经营预算、社会保险基金预算。</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cs="仿宋_GB2312"/>
          <w:sz w:val="32"/>
          <w:lang w:val="zh-CN" w:eastAsia="zh-CN"/>
        </w:rPr>
        <w:t>截止到2025年</w:t>
      </w:r>
      <w:r>
        <w:rPr>
          <w:rFonts w:hint="eastAsia" w:ascii="仿宋_GB2312" w:hAnsi="仿宋_GB2312" w:eastAsia="仿宋_GB2312" w:cs="仿宋_GB2312"/>
          <w:sz w:val="32"/>
          <w:lang w:val="zh-CN" w:eastAsia="zh-CN"/>
        </w:rPr>
        <w:t>12月31日，固定资产总计</w:t>
      </w:r>
      <w:r>
        <w:rPr>
          <w:rFonts w:hint="eastAsia" w:ascii="仿宋_GB2312" w:hAnsi="仿宋_GB2312" w:eastAsia="仿宋_GB2312" w:cs="仿宋_GB2312"/>
          <w:sz w:val="32"/>
          <w:lang w:val="en-US" w:eastAsia="zh-CN"/>
        </w:rPr>
        <w:t>1192.70</w:t>
      </w:r>
      <w:r>
        <w:rPr>
          <w:rFonts w:hint="eastAsia" w:ascii="仿宋_GB2312" w:hAnsi="仿宋_GB2312" w:eastAsia="仿宋_GB2312" w:cs="仿宋_GB2312"/>
          <w:sz w:val="32"/>
          <w:lang w:val="zh-CN" w:eastAsia="zh-CN"/>
        </w:rPr>
        <w:t>万元，在用的固定资产总计</w:t>
      </w:r>
      <w:r>
        <w:rPr>
          <w:rFonts w:hint="eastAsia" w:ascii="仿宋_GB2312" w:hAnsi="仿宋_GB2312" w:eastAsia="仿宋_GB2312" w:cs="仿宋_GB2312"/>
          <w:sz w:val="32"/>
          <w:lang w:val="en-US" w:eastAsia="zh-CN"/>
        </w:rPr>
        <w:t>1192.70</w:t>
      </w:r>
      <w:r>
        <w:rPr>
          <w:rFonts w:hint="eastAsia" w:ascii="仿宋_GB2312" w:hAnsi="仿宋_GB2312" w:eastAsia="仿宋_GB2312" w:cs="仿宋_GB2312"/>
          <w:sz w:val="32"/>
          <w:lang w:val="zh-CN" w:eastAsia="zh-CN"/>
        </w:rPr>
        <w:t>万元，固定资产在用率达100%</w:t>
      </w:r>
      <w:r>
        <w:rPr>
          <w:rFonts w:hint="eastAsia" w:ascii="仿宋_GB2312" w:hAnsi="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r>
        <w:rPr>
          <w:rFonts w:hint="eastAsia" w:ascii="仿宋_GB2312" w:hAnsi="仿宋_GB2312" w:eastAsia="仿宋_GB2312" w:cs="仿宋_GB2312"/>
          <w:sz w:val="32"/>
          <w:lang w:val="zh-CN" w:eastAsia="zh-CN"/>
        </w:rPr>
        <w:t>202</w:t>
      </w:r>
      <w:r>
        <w:rPr>
          <w:rFonts w:hint="eastAsia" w:ascii="仿宋_GB2312" w:hAnsi="仿宋_GB2312" w:eastAsia="仿宋_GB2312" w:cs="仿宋_GB2312"/>
          <w:sz w:val="32"/>
          <w:lang w:val="en-US" w:eastAsia="zh-CN"/>
        </w:rPr>
        <w:t>5</w:t>
      </w:r>
      <w:r>
        <w:rPr>
          <w:rFonts w:hint="default" w:ascii="仿宋_GB2312" w:hAnsi="仿宋_GB2312" w:eastAsia="仿宋_GB2312" w:cs="仿宋_GB2312"/>
          <w:sz w:val="32"/>
          <w:lang w:val="zh-CN" w:eastAsia="zh-CN"/>
        </w:rPr>
        <w:t>年我镇政府采购预算总额</w:t>
      </w:r>
      <w:r>
        <w:rPr>
          <w:rFonts w:hint="eastAsia" w:ascii="仿宋_GB2312" w:hAnsi="仿宋_GB2312" w:eastAsia="仿宋_GB2312" w:cs="仿宋_GB2312"/>
          <w:sz w:val="32"/>
          <w:lang w:val="en-US" w:eastAsia="zh-CN"/>
        </w:rPr>
        <w:t>254.58</w:t>
      </w:r>
      <w:r>
        <w:rPr>
          <w:rFonts w:hint="default" w:ascii="仿宋_GB2312" w:hAnsi="仿宋_GB2312" w:eastAsia="仿宋_GB2312" w:cs="仿宋_GB2312"/>
          <w:sz w:val="32"/>
          <w:lang w:val="zh-CN" w:eastAsia="zh-CN"/>
        </w:rPr>
        <w:t>万元</w:t>
      </w:r>
      <w:r>
        <w:rPr>
          <w:rFonts w:hint="eastAsia" w:ascii="仿宋_GB2312" w:hAnsi="仿宋_GB2312" w:eastAsia="仿宋_GB2312" w:cs="仿宋_GB2312"/>
          <w:sz w:val="32"/>
          <w:lang w:val="zh-CN" w:eastAsia="zh-CN"/>
        </w:rPr>
        <w:t>，其中面向支持中小企业发展采购资金为</w:t>
      </w:r>
      <w:r>
        <w:rPr>
          <w:rFonts w:hint="eastAsia" w:ascii="仿宋_GB2312" w:hAnsi="仿宋_GB2312" w:eastAsia="仿宋_GB2312" w:cs="仿宋_GB2312"/>
          <w:sz w:val="32"/>
          <w:lang w:val="en-US" w:eastAsia="zh-CN"/>
        </w:rPr>
        <w:t>0万元</w:t>
      </w:r>
      <w:r>
        <w:rPr>
          <w:rFonts w:hint="default" w:ascii="仿宋_GB2312" w:hAnsi="仿宋_GB2312" w:eastAsia="仿宋_GB2312" w:cs="仿宋_GB2312"/>
          <w:sz w:val="32"/>
          <w:lang w:val="zh-CN" w:eastAsia="zh-CN"/>
        </w:rPr>
        <w:t>。</w:t>
      </w:r>
      <w:r>
        <w:rPr>
          <w:rFonts w:hint="eastAsia" w:ascii="仿宋_GB2312" w:hAnsi="仿宋_GB2312" w:eastAsia="仿宋_GB2312" w:cs="仿宋_GB2312"/>
          <w:sz w:val="32"/>
          <w:lang w:val="en-US" w:eastAsia="zh-CN"/>
        </w:rPr>
        <w:t>服务</w:t>
      </w:r>
      <w:r>
        <w:rPr>
          <w:rFonts w:hint="eastAsia" w:ascii="仿宋_GB2312" w:hAnsi="仿宋_GB2312" w:eastAsia="仿宋_GB2312" w:cs="仿宋_GB2312"/>
          <w:sz w:val="32"/>
          <w:lang w:val="zh-CN" w:eastAsia="zh-CN"/>
        </w:rPr>
        <w:t>采购</w:t>
      </w:r>
      <w:r>
        <w:rPr>
          <w:rFonts w:hint="eastAsia" w:ascii="仿宋_GB2312" w:hAnsi="仿宋_GB2312" w:eastAsia="仿宋_GB2312" w:cs="仿宋_GB2312"/>
          <w:sz w:val="32"/>
          <w:lang w:val="en-US" w:eastAsia="zh-CN"/>
        </w:rPr>
        <w:t>107.10万元、</w:t>
      </w:r>
      <w:r>
        <w:rPr>
          <w:rFonts w:hint="eastAsia" w:ascii="仿宋_GB2312" w:hAnsi="仿宋_GB2312" w:eastAsia="仿宋_GB2312" w:cs="仿宋_GB2312"/>
          <w:sz w:val="32"/>
          <w:lang w:val="zh-CN" w:eastAsia="zh-CN"/>
        </w:rPr>
        <w:t>货物</w:t>
      </w:r>
      <w:r>
        <w:rPr>
          <w:rFonts w:hint="eastAsia" w:ascii="仿宋_GB2312" w:hAnsi="仿宋_GB2312" w:eastAsia="仿宋_GB2312" w:cs="仿宋_GB2312"/>
          <w:sz w:val="32"/>
          <w:lang w:val="en-US" w:eastAsia="zh-CN"/>
        </w:rPr>
        <w:t>采购0.76万元、工程采购147.48万元。</w:t>
      </w:r>
      <w:r>
        <w:rPr>
          <w:rFonts w:hint="eastAsia" w:ascii="仿宋_GB2312" w:hAnsi="仿宋_GB2312" w:eastAsia="仿宋_GB2312" w:cs="仿宋_GB2312"/>
          <w:sz w:val="32"/>
          <w:lang w:val="zh-CN" w:eastAsia="zh-CN"/>
        </w:rPr>
        <w:t>支持中小企业发展：政府采购授予中小企业合同金额</w:t>
      </w:r>
      <w:r>
        <w:rPr>
          <w:rFonts w:hint="eastAsia" w:ascii="仿宋_GB2312" w:hAnsi="仿宋_GB2312" w:eastAsia="仿宋_GB2312" w:cs="仿宋_GB2312"/>
          <w:sz w:val="32"/>
          <w:lang w:val="en-US" w:eastAsia="zh-CN"/>
        </w:rPr>
        <w:t>0</w:t>
      </w:r>
      <w:r>
        <w:rPr>
          <w:rFonts w:hint="eastAsia" w:ascii="仿宋_GB2312" w:hAnsi="仿宋_GB2312" w:eastAsia="仿宋_GB2312" w:cs="仿宋_GB2312"/>
          <w:sz w:val="32"/>
          <w:lang w:val="zh-CN" w:eastAsia="zh-CN"/>
        </w:rPr>
        <w:t>万元，其中：授予小微企业合同金额0万元。</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200"/>
        <w:jc w:val="both"/>
        <w:textAlignment w:val="auto"/>
        <w:rPr>
          <w:rFonts w:hint="eastAsia" w:ascii="楷体_GB2312" w:hAnsi="楷体_GB2312" w:eastAsia="楷体_GB2312" w:cs="楷体_GB2312"/>
          <w:b/>
          <w:bCs/>
          <w:color w:val="000000"/>
          <w:kern w:val="0"/>
          <w:szCs w:val="32"/>
          <w:highlight w:val="none"/>
          <w:shd w:val="clear" w:color="auto" w:fill="FFFFFF"/>
          <w:lang w:val="zh-CN" w:eastAsia="zh-CN"/>
        </w:rPr>
      </w:pPr>
      <w:r>
        <w:rPr>
          <w:rFonts w:hint="eastAsia" w:ascii="楷体_GB2312" w:hAnsi="楷体_GB2312" w:eastAsia="楷体_GB2312" w:cs="楷体_GB2312"/>
          <w:b/>
          <w:bCs/>
          <w:color w:val="000000"/>
          <w:kern w:val="0"/>
          <w:szCs w:val="32"/>
          <w:highlight w:val="none"/>
          <w:shd w:val="clear" w:color="auto" w:fill="FFFFFF"/>
          <w:lang w:val="zh-CN" w:eastAsia="zh-CN"/>
        </w:rPr>
        <w:t>（四）绩效结果应用情况</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本次我镇整体支出绩效评价情况由相关部门予以公开，</w:t>
      </w:r>
      <w:r>
        <w:rPr>
          <w:rFonts w:hint="eastAsia" w:ascii="仿宋_GB2312" w:hAnsi="仿宋_GB2312" w:cs="仿宋_GB2312"/>
          <w:sz w:val="32"/>
          <w:lang w:val="zh-CN" w:eastAsia="zh-CN"/>
        </w:rPr>
        <w:t>接受社会公众监督</w:t>
      </w:r>
      <w:r>
        <w:rPr>
          <w:rFonts w:hint="eastAsia" w:ascii="仿宋_GB2312" w:hAnsi="仿宋_GB2312" w:eastAsia="仿宋_GB2312" w:cs="仿宋_GB2312"/>
          <w:sz w:val="32"/>
          <w:lang w:val="zh-CN" w:eastAsia="zh-CN"/>
        </w:rPr>
        <w:t>。我镇于202</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年</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月</w:t>
      </w:r>
      <w:r>
        <w:rPr>
          <w:rFonts w:hint="eastAsia" w:ascii="仿宋_GB2312" w:hAnsi="仿宋_GB2312" w:eastAsia="仿宋_GB2312" w:cs="仿宋_GB2312"/>
          <w:sz w:val="32"/>
          <w:lang w:val="en-US" w:eastAsia="zh-CN"/>
        </w:rPr>
        <w:t>22</w:t>
      </w:r>
      <w:r>
        <w:rPr>
          <w:rFonts w:hint="eastAsia" w:ascii="仿宋_GB2312" w:hAnsi="仿宋_GB2312" w:eastAsia="仿宋_GB2312" w:cs="仿宋_GB2312"/>
          <w:sz w:val="32"/>
          <w:lang w:val="zh-CN" w:eastAsia="zh-CN"/>
        </w:rPr>
        <w:t>日在黑水县人民政府信息公开网站上公开了《</w:t>
      </w:r>
      <w:r>
        <w:rPr>
          <w:rFonts w:hint="eastAsia" w:ascii="仿宋_GB2312" w:hAnsi="仿宋_GB2312" w:eastAsia="仿宋_GB2312" w:cs="仿宋_GB2312"/>
          <w:sz w:val="32"/>
          <w:lang w:val="en-US" w:eastAsia="zh-CN"/>
        </w:rPr>
        <w:t>黑水县芦花镇人民政府2025年预算编制说明</w:t>
      </w:r>
      <w:r>
        <w:rPr>
          <w:rFonts w:hint="eastAsia" w:ascii="仿宋_GB2312" w:hAnsi="仿宋_GB2312" w:eastAsia="仿宋_GB2312" w:cs="仿宋_GB2312"/>
          <w:sz w:val="32"/>
          <w:lang w:val="zh-CN" w:eastAsia="zh-CN"/>
        </w:rPr>
        <w:t>》并同步公开了</w:t>
      </w:r>
      <w:r>
        <w:rPr>
          <w:rFonts w:hint="eastAsia" w:ascii="仿宋_GB2312" w:hAnsi="仿宋_GB2312" w:eastAsia="仿宋_GB2312" w:cs="仿宋_GB2312"/>
          <w:sz w:val="32"/>
          <w:lang w:val="en-US" w:eastAsia="zh-CN"/>
        </w:rPr>
        <w:t>2025年部门整体支出绩效目标表</w:t>
      </w:r>
      <w:r>
        <w:rPr>
          <w:rFonts w:hint="eastAsia" w:ascii="仿宋_GB2312" w:hAnsi="仿宋_GB2312" w:eastAsia="仿宋_GB2312" w:cs="仿宋_GB2312"/>
          <w:sz w:val="32"/>
          <w:lang w:val="zh-CN"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zh-CN" w:eastAsia="zh-CN"/>
        </w:rPr>
      </w:pPr>
      <w:r>
        <w:rPr>
          <w:rFonts w:hint="eastAsia" w:ascii="仿宋_GB2312" w:hAnsi="仿宋_GB2312" w:eastAsia="仿宋_GB2312" w:cs="仿宋_GB2312"/>
          <w:sz w:val="32"/>
          <w:lang w:val="zh-CN" w:eastAsia="zh-CN"/>
        </w:rPr>
        <w:t>由于202</w:t>
      </w:r>
      <w:r>
        <w:rPr>
          <w:rFonts w:hint="eastAsia" w:ascii="仿宋_GB2312" w:hAnsi="仿宋_GB2312" w:eastAsia="仿宋_GB2312" w:cs="仿宋_GB2312"/>
          <w:sz w:val="32"/>
          <w:lang w:val="en-US" w:eastAsia="zh-CN"/>
        </w:rPr>
        <w:t>5</w:t>
      </w:r>
      <w:r>
        <w:rPr>
          <w:rFonts w:hint="eastAsia" w:ascii="仿宋_GB2312" w:hAnsi="仿宋_GB2312" w:eastAsia="仿宋_GB2312" w:cs="仿宋_GB2312"/>
          <w:sz w:val="32"/>
          <w:lang w:val="zh-CN" w:eastAsia="zh-CN"/>
        </w:rPr>
        <w:t>年尚未进行决算批复，暂无法公开</w:t>
      </w:r>
      <w:r>
        <w:rPr>
          <w:rFonts w:hint="eastAsia" w:ascii="仿宋_GB2312" w:hAnsi="仿宋_GB2312" w:eastAsia="仿宋_GB2312" w:cs="仿宋_GB2312"/>
          <w:sz w:val="32"/>
          <w:lang w:val="en-US" w:eastAsia="zh-CN"/>
        </w:rPr>
        <w:t>2025年</w:t>
      </w:r>
      <w:r>
        <w:rPr>
          <w:rFonts w:hint="eastAsia" w:ascii="仿宋_GB2312" w:hAnsi="仿宋_GB2312" w:eastAsia="仿宋_GB2312" w:cs="仿宋_GB2312"/>
          <w:sz w:val="32"/>
          <w:lang w:val="zh-CN" w:eastAsia="zh-CN"/>
        </w:rPr>
        <w:t>决算和整体绩效。</w:t>
      </w:r>
    </w:p>
    <w:p>
      <w:pPr>
        <w:widowControl/>
        <w:adjustRightInd w:val="0"/>
        <w:snapToGrid w:val="0"/>
        <w:spacing w:line="578" w:lineRule="exact"/>
        <w:ind w:firstLine="640" w:firstLineChars="200"/>
        <w:contextualSpacing/>
        <w:jc w:val="left"/>
        <w:rPr>
          <w:rFonts w:eastAsia="黑体"/>
          <w:color w:val="000000"/>
          <w:kern w:val="0"/>
          <w:szCs w:val="32"/>
          <w:shd w:val="clear" w:color="auto" w:fill="FFFFFF"/>
        </w:rPr>
      </w:pPr>
      <w:r>
        <w:rPr>
          <w:rFonts w:eastAsia="黑体"/>
          <w:color w:val="000000"/>
          <w:kern w:val="0"/>
          <w:szCs w:val="32"/>
          <w:shd w:val="clear" w:color="auto" w:fill="FFFFFF"/>
        </w:rPr>
        <w:t>四、评价结论及建议</w:t>
      </w:r>
    </w:p>
    <w:p>
      <w:pPr>
        <w:keepNext w:val="0"/>
        <w:keepLines w:val="0"/>
        <w:pageBreakBefore w:val="0"/>
        <w:kinsoku/>
        <w:wordWrap/>
        <w:overflowPunct/>
        <w:topLinePunct w:val="0"/>
        <w:autoSpaceDE/>
        <w:autoSpaceDN/>
        <w:bidi w:val="0"/>
        <w:spacing w:line="560" w:lineRule="exact"/>
        <w:ind w:firstLine="642" w:firstLineChars="200"/>
        <w:jc w:val="both"/>
        <w:textAlignment w:val="auto"/>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（一）评价结论</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ascii="Times New Roman" w:hAnsi="Times New Roman" w:eastAsia="仿宋_GB2312" w:cs="Times New Roman"/>
          <w:highlight w:val="none"/>
        </w:rPr>
      </w:pPr>
      <w:r>
        <w:rPr>
          <w:rFonts w:hint="eastAsia" w:ascii="仿宋_GB2312" w:hAnsi="仿宋_GB2312" w:eastAsia="仿宋_GB2312" w:cs="仿宋_GB2312"/>
          <w:sz w:val="32"/>
          <w:lang w:eastAsia="zh-CN"/>
        </w:rPr>
        <w:t>根据黑水县财政局《关于开展202</w:t>
      </w:r>
      <w:r>
        <w:rPr>
          <w:rFonts w:hint="eastAsia" w:ascii="仿宋_GB2312" w:hAnsi="仿宋_GB2312" w:cs="仿宋_GB2312"/>
          <w:sz w:val="32"/>
          <w:lang w:val="en-US" w:eastAsia="zh-CN"/>
        </w:rPr>
        <w:t>6</w:t>
      </w:r>
      <w:r>
        <w:rPr>
          <w:rFonts w:hint="eastAsia" w:ascii="仿宋_GB2312" w:hAnsi="仿宋_GB2312" w:eastAsia="仿宋_GB2312" w:cs="仿宋_GB2312"/>
          <w:sz w:val="32"/>
          <w:lang w:eastAsia="zh-CN"/>
        </w:rPr>
        <w:t>年县级部门绩效自评工作的通知》，我镇对本部门202</w:t>
      </w:r>
      <w:r>
        <w:rPr>
          <w:rFonts w:hint="eastAsia" w:ascii="仿宋_GB2312" w:hAnsi="仿宋_GB2312" w:cs="仿宋_GB2312"/>
          <w:sz w:val="32"/>
          <w:lang w:val="en-US" w:eastAsia="zh-CN"/>
        </w:rPr>
        <w:t>5</w:t>
      </w:r>
      <w:r>
        <w:rPr>
          <w:rFonts w:hint="eastAsia" w:ascii="仿宋_GB2312" w:hAnsi="仿宋_GB2312" w:eastAsia="仿宋_GB2312" w:cs="仿宋_GB2312"/>
          <w:sz w:val="32"/>
          <w:lang w:eastAsia="zh-CN"/>
        </w:rPr>
        <w:t>年度整体绩效情况开展了自评工作，对照《部门预算绩效评价指标体系》进行了自评打分，根据部门整体支出绩效评价指标对部门整体支出量化评价，自评指标得分</w:t>
      </w:r>
      <w:r>
        <w:rPr>
          <w:rFonts w:hint="eastAsia" w:ascii="仿宋_GB2312" w:hAnsi="仿宋_GB2312" w:cs="仿宋_GB2312"/>
          <w:sz w:val="32"/>
          <w:lang w:val="en-US" w:eastAsia="zh-CN"/>
        </w:rPr>
        <w:t>93</w:t>
      </w:r>
      <w:r>
        <w:rPr>
          <w:rFonts w:hint="eastAsia" w:ascii="仿宋_GB2312" w:hAnsi="仿宋_GB2312" w:eastAsia="仿宋_GB2312" w:cs="仿宋_GB2312"/>
          <w:sz w:val="32"/>
          <w:lang w:eastAsia="zh-CN"/>
        </w:rPr>
        <w:t>分。</w:t>
      </w:r>
    </w:p>
    <w:p>
      <w:pPr>
        <w:keepNext w:val="0"/>
        <w:keepLines w:val="0"/>
        <w:pageBreakBefore w:val="0"/>
        <w:widowControl/>
        <w:numPr>
          <w:ilvl w:val="0"/>
          <w:numId w:val="3"/>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default" w:ascii="Times New Roman" w:hAnsi="Times New Roman" w:eastAsia="楷体_GB2312" w:cs="Times New Roman"/>
          <w:b/>
          <w:bCs/>
          <w:color w:val="000000"/>
          <w:kern w:val="0"/>
          <w:szCs w:val="32"/>
          <w:highlight w:val="none"/>
          <w:shd w:val="clear" w:color="auto" w:fill="FFFFFF"/>
          <w:lang w:val="zh-CN"/>
        </w:rPr>
        <w:t>存在问题</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cs="仿宋_GB2312"/>
          <w:sz w:val="32"/>
          <w:highlight w:val="none"/>
          <w:lang w:val="en-US" w:eastAsia="zh-CN"/>
        </w:rPr>
      </w:pPr>
      <w:r>
        <w:rPr>
          <w:rFonts w:hint="eastAsia" w:ascii="仿宋_GB2312" w:hAnsi="仿宋_GB2312" w:cs="仿宋_GB2312"/>
          <w:b/>
          <w:bCs/>
          <w:sz w:val="32"/>
          <w:highlight w:val="none"/>
          <w:lang w:val="en-US" w:eastAsia="zh-CN"/>
        </w:rPr>
        <w:t>1.部门绩效管理不够科学、专业。</w:t>
      </w:r>
      <w:r>
        <w:rPr>
          <w:rFonts w:hint="eastAsia" w:ascii="仿宋_GB2312" w:hAnsi="仿宋_GB2312" w:cs="仿宋_GB2312"/>
          <w:sz w:val="32"/>
          <w:highlight w:val="none"/>
          <w:lang w:val="en-US" w:eastAsia="zh-CN"/>
        </w:rPr>
        <w:t>目标设定不够精准，过多偏重过程指标，缺乏对核心价值、产出结果的聚焦。</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b/>
          <w:bCs/>
          <w:sz w:val="32"/>
          <w:highlight w:val="none"/>
          <w:lang w:val="en-US" w:eastAsia="zh-CN"/>
        </w:rPr>
        <w:t>2.管理措施不够到位。</w:t>
      </w:r>
      <w:r>
        <w:rPr>
          <w:rFonts w:hint="eastAsia" w:ascii="仿宋_GB2312" w:hAnsi="仿宋_GB2312" w:eastAsia="仿宋_GB2312" w:cs="仿宋_GB2312"/>
          <w:sz w:val="32"/>
          <w:highlight w:val="none"/>
          <w:lang w:val="en-US" w:eastAsia="zh-CN"/>
        </w:rPr>
        <w:t>预算编制和执行存在差异，</w:t>
      </w:r>
      <w:r>
        <w:rPr>
          <w:rFonts w:hint="eastAsia" w:ascii="仿宋_GB2312" w:hAnsi="仿宋_GB2312" w:eastAsia="仿宋_GB2312" w:cs="仿宋_GB2312"/>
          <w:sz w:val="32"/>
          <w:highlight w:val="none"/>
          <w:lang w:val="zh-CN" w:eastAsia="zh-CN"/>
        </w:rPr>
        <w:t>预算编制不够精确，财政资金紧张，存在中期调整取消资金的情况</w:t>
      </w:r>
      <w:r>
        <w:rPr>
          <w:rFonts w:hint="eastAsia" w:ascii="仿宋_GB2312" w:hAnsi="仿宋_GB2312" w:eastAsia="仿宋_GB2312" w:cs="仿宋_GB2312"/>
          <w:sz w:val="32"/>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2" w:firstLineChars="200"/>
        <w:contextualSpacing/>
        <w:jc w:val="both"/>
        <w:textAlignment w:val="auto"/>
        <w:outlineLvl w:val="9"/>
        <w:rPr>
          <w:rFonts w:hint="eastAsia" w:cs="Times New Roman"/>
          <w:sz w:val="32"/>
          <w:szCs w:val="32"/>
          <w:highlight w:val="none"/>
          <w:u w:val="none"/>
          <w:lang w:val="en-US" w:eastAsia="zh-CN"/>
        </w:rPr>
      </w:pPr>
      <w:r>
        <w:rPr>
          <w:rFonts w:hint="eastAsia" w:ascii="仿宋_GB2312" w:hAnsi="仿宋_GB2312" w:cs="仿宋_GB2312"/>
          <w:b/>
          <w:bCs/>
          <w:sz w:val="32"/>
          <w:highlight w:val="none"/>
          <w:lang w:val="en-US" w:eastAsia="zh-CN"/>
        </w:rPr>
        <w:t>3.能力与机制不足。</w:t>
      </w:r>
      <w:r>
        <w:rPr>
          <w:rFonts w:hint="eastAsia" w:ascii="仿宋_GB2312" w:hAnsi="仿宋_GB2312" w:cs="仿宋_GB2312"/>
          <w:sz w:val="32"/>
          <w:highlight w:val="none"/>
          <w:lang w:val="en-US" w:eastAsia="zh-CN"/>
        </w:rPr>
        <w:t>人员专业薄弱、培训不够；数字化水平低，复核监督乏力，长效机制不健全。</w:t>
      </w:r>
    </w:p>
    <w:p>
      <w:pPr>
        <w:keepNext w:val="0"/>
        <w:keepLines w:val="0"/>
        <w:pageBreakBefore w:val="0"/>
        <w:widowControl/>
        <w:numPr>
          <w:ilvl w:val="0"/>
          <w:numId w:val="3"/>
        </w:numPr>
        <w:kinsoku/>
        <w:wordWrap/>
        <w:overflowPunct/>
        <w:topLinePunct w:val="0"/>
        <w:autoSpaceDE/>
        <w:autoSpaceDN/>
        <w:bidi w:val="0"/>
        <w:adjustRightInd w:val="0"/>
        <w:snapToGrid w:val="0"/>
        <w:spacing w:line="560" w:lineRule="exact"/>
        <w:ind w:left="0" w:leftChars="0" w:firstLine="642" w:firstLineChars="200"/>
        <w:contextualSpacing/>
        <w:jc w:val="both"/>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Cs w:val="32"/>
          <w:highlight w:val="none"/>
          <w:shd w:val="clear" w:color="auto" w:fill="FFFFFF"/>
          <w:lang w:val="zh-CN" w:eastAsia="zh-CN"/>
        </w:rPr>
        <w:t>改进建议</w:t>
      </w:r>
      <w:bookmarkStart w:id="0" w:name="_Hlk110546638"/>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eastAsia="仿宋_GB2312" w:cs="仿宋_GB2312"/>
          <w:sz w:val="32"/>
          <w:highlight w:val="none"/>
          <w:lang w:val="en-US" w:eastAsia="zh-CN"/>
        </w:rPr>
        <w:t>解决对策针对我镇整体支出绩效评价工作中存在的问题，应在坚持“进步认识、强化管理、科学设定、注重实效”的根底上，进步部门整体支出绩效评价的质量。</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highlight w:val="none"/>
          <w:lang w:val="en-US" w:eastAsia="zh-CN"/>
        </w:rPr>
      </w:pPr>
      <w:r>
        <w:rPr>
          <w:rFonts w:hint="eastAsia" w:ascii="仿宋_GB2312" w:hAnsi="仿宋_GB2312" w:cs="仿宋_GB2312"/>
          <w:sz w:val="32"/>
          <w:highlight w:val="none"/>
          <w:lang w:val="en-US" w:eastAsia="zh-CN"/>
        </w:rPr>
        <w:t>提升</w:t>
      </w:r>
      <w:r>
        <w:rPr>
          <w:rFonts w:hint="eastAsia" w:ascii="仿宋_GB2312" w:hAnsi="仿宋_GB2312" w:eastAsia="仿宋_GB2312" w:cs="仿宋_GB2312"/>
          <w:sz w:val="32"/>
          <w:highlight w:val="none"/>
          <w:lang w:val="en-US" w:eastAsia="zh-CN"/>
        </w:rPr>
        <w:t>对预算绩效管理的认识，充分理解财政绩效评价指标体系，注重绩效目的、评价指标的关联性，更加科学合理地确定部门绩效目的和评价目的</w:t>
      </w:r>
      <w:r>
        <w:rPr>
          <w:rFonts w:hint="eastAsia" w:ascii="仿宋_GB2312" w:hAnsi="仿宋_GB2312" w:cs="仿宋_GB2312"/>
          <w:sz w:val="32"/>
          <w:highlight w:val="none"/>
          <w:lang w:val="en-US" w:eastAsia="zh-CN"/>
        </w:rPr>
        <w:t>；</w:t>
      </w:r>
      <w:r>
        <w:rPr>
          <w:rFonts w:hint="eastAsia" w:ascii="仿宋_GB2312" w:hAnsi="仿宋_GB2312" w:eastAsia="仿宋_GB2312" w:cs="仿宋_GB2312"/>
          <w:sz w:val="32"/>
          <w:highlight w:val="none"/>
          <w:lang w:val="en-US" w:eastAsia="zh-CN"/>
        </w:rPr>
        <w:t>注重各项指标的可衡量性。可衡量性不仅是指标的量化，还包括对定性指标的分级分档表述。</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cs="Times New Roman"/>
          <w:sz w:val="32"/>
          <w:szCs w:val="32"/>
          <w:highlight w:val="none"/>
          <w:u w:val="none"/>
          <w:lang w:val="zh-CN" w:eastAsia="zh-CN"/>
        </w:rPr>
      </w:pPr>
      <w:r>
        <w:rPr>
          <w:rFonts w:hint="eastAsia" w:ascii="仿宋_GB2312" w:hAnsi="仿宋_GB2312" w:eastAsia="仿宋_GB2312" w:cs="仿宋_GB2312"/>
          <w:sz w:val="32"/>
          <w:highlight w:val="none"/>
          <w:lang w:val="en-US" w:eastAsia="zh-CN"/>
        </w:rPr>
        <w:t>强化我镇预算约束细化预算编制，严格预算执行，合理制定工程方案，减少预算执行中的工程预算调整和结余。</w:t>
      </w:r>
      <w:bookmarkEnd w:id="0"/>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highlight w:val="yellow"/>
          <w:lang w:val="en-US" w:eastAsia="zh-CN"/>
        </w:rPr>
      </w:pPr>
      <w:r>
        <w:rPr>
          <w:rFonts w:hint="default" w:ascii="仿宋_GB2312" w:hAnsi="仿宋_GB2312" w:eastAsia="仿宋_GB2312" w:cs="仿宋_GB2312"/>
          <w:sz w:val="32"/>
          <w:highlight w:val="none"/>
          <w:lang w:val="en-US" w:eastAsia="zh-CN"/>
        </w:rPr>
        <w:t>常态化培训</w:t>
      </w:r>
      <w:r>
        <w:rPr>
          <w:rFonts w:hint="eastAsia" w:ascii="仿宋_GB2312" w:hAnsi="仿宋_GB2312" w:eastAsia="仿宋_GB2312" w:cs="仿宋_GB2312"/>
          <w:sz w:val="32"/>
          <w:highlight w:val="none"/>
          <w:lang w:val="en-US" w:eastAsia="zh-CN"/>
        </w:rPr>
        <w:t>，提升专业能力，评价结果与预算安排、资金分配、项目存续、干部绩效硬挂钩</w:t>
      </w:r>
      <w:r>
        <w:rPr>
          <w:rFonts w:hint="eastAsia" w:ascii="仿宋_GB2312" w:hAnsi="仿宋_GB2312" w:cs="仿宋_GB2312"/>
          <w:sz w:val="32"/>
          <w:highlight w:val="none"/>
          <w:lang w:val="en-US" w:eastAsia="zh-CN"/>
        </w:rPr>
        <w:t>。</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eastAsia" w:ascii="仿宋_GB2312" w:hAnsi="仿宋_GB2312" w:eastAsia="仿宋_GB2312" w:cs="仿宋_GB2312"/>
          <w:sz w:val="32"/>
          <w:lang w:val="en-US" w:eastAsia="zh-CN"/>
        </w:rPr>
      </w:pP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640" w:firstLineChars="2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附表：1.部门预算绩效自评打分表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1600" w:firstLineChars="500"/>
        <w:contextualSpacing/>
        <w:jc w:val="both"/>
        <w:textAlignment w:val="auto"/>
        <w:outlineLvl w:val="9"/>
        <w:rPr>
          <w:rFonts w:hint="default" w:ascii="仿宋_GB2312" w:hAnsi="仿宋_GB2312" w:eastAsia="仿宋_GB2312" w:cs="仿宋_GB2312"/>
          <w:sz w:val="32"/>
          <w:lang w:val="en-US" w:eastAsia="zh-CN"/>
        </w:rPr>
      </w:pPr>
      <w:r>
        <w:rPr>
          <w:rFonts w:hint="eastAsia" w:ascii="仿宋_GB2312" w:hAnsi="仿宋_GB2312" w:eastAsia="仿宋_GB2312" w:cs="仿宋_GB2312"/>
          <w:sz w:val="32"/>
          <w:lang w:val="en-US" w:eastAsia="zh-CN"/>
        </w:rPr>
        <w:t>2.</w:t>
      </w:r>
      <w:r>
        <w:rPr>
          <w:rFonts w:hint="default" w:ascii="仿宋_GB2312" w:hAnsi="仿宋_GB2312" w:eastAsia="仿宋_GB2312" w:cs="仿宋_GB2312"/>
          <w:sz w:val="32"/>
          <w:lang w:val="en-US" w:eastAsia="zh-CN"/>
        </w:rPr>
        <w:t>部门整体支出绩效目标完成情况自评表</w:t>
      </w:r>
    </w:p>
    <w:p>
      <w:pPr>
        <w:keepNext w:val="0"/>
        <w:keepLines w:val="0"/>
        <w:pageBreakBefore w:val="0"/>
        <w:widowControl/>
        <w:numPr>
          <w:ilvl w:val="0"/>
          <w:numId w:val="0"/>
        </w:numPr>
        <w:kinsoku/>
        <w:wordWrap/>
        <w:overflowPunct/>
        <w:topLinePunct w:val="0"/>
        <w:autoSpaceDE/>
        <w:autoSpaceDN/>
        <w:bidi w:val="0"/>
        <w:adjustRightInd w:val="0"/>
        <w:snapToGrid w:val="0"/>
        <w:spacing w:line="560" w:lineRule="exact"/>
        <w:ind w:firstLine="1600" w:firstLineChars="500"/>
        <w:contextualSpacing/>
        <w:jc w:val="both"/>
        <w:textAlignment w:val="auto"/>
        <w:outlineLvl w:val="9"/>
        <w:rPr>
          <w:rFonts w:hint="default" w:ascii="Times New Roman" w:hAnsi="Times New Roman" w:cs="Times New Roman"/>
          <w:color w:val="000000"/>
          <w:kern w:val="0"/>
          <w:szCs w:val="32"/>
          <w:highlight w:val="none"/>
          <w:shd w:val="clear" w:color="auto" w:fill="FFFFFF"/>
          <w:lang w:val="en-US" w:eastAsia="zh-CN"/>
        </w:rPr>
      </w:pPr>
      <w:r>
        <w:rPr>
          <w:rFonts w:hint="eastAsia" w:ascii="仿宋_GB2312" w:hAnsi="仿宋_GB2312" w:eastAsia="仿宋_GB2312" w:cs="仿宋_GB2312"/>
          <w:sz w:val="32"/>
          <w:lang w:val="en-US" w:eastAsia="zh-CN"/>
        </w:rPr>
        <w:t>3.部门预算项目支出绩效评价表（202</w:t>
      </w:r>
      <w:r>
        <w:rPr>
          <w:rFonts w:hint="eastAsia" w:ascii="仿宋_GB2312" w:hAnsi="仿宋_GB2312" w:cs="仿宋_GB2312"/>
          <w:sz w:val="32"/>
          <w:lang w:val="en-US" w:eastAsia="zh-CN"/>
        </w:rPr>
        <w:t>5</w:t>
      </w:r>
      <w:r>
        <w:rPr>
          <w:rFonts w:hint="eastAsia" w:ascii="仿宋_GB2312" w:hAnsi="仿宋_GB2312" w:eastAsia="仿宋_GB2312" w:cs="仿宋_GB2312"/>
          <w:sz w:val="32"/>
          <w:lang w:val="en-US" w:eastAsia="zh-CN"/>
        </w:rPr>
        <w:t>年度）</w:t>
      </w:r>
    </w:p>
    <w:p>
      <w:pPr>
        <w:keepNext w:val="0"/>
        <w:keepLines w:val="0"/>
        <w:pageBreakBefore w:val="0"/>
        <w:kinsoku/>
        <w:wordWrap/>
        <w:overflowPunct/>
        <w:topLinePunct w:val="0"/>
        <w:autoSpaceDE/>
        <w:autoSpaceDN/>
        <w:bidi w:val="0"/>
        <w:spacing w:line="578" w:lineRule="exact"/>
        <w:jc w:val="left"/>
        <w:textAlignment w:val="auto"/>
        <w:rPr>
          <w:color w:val="000000"/>
          <w:kern w:val="0"/>
          <w:szCs w:val="32"/>
          <w:shd w:val="clear" w:color="auto" w:fill="FFFFFF"/>
        </w:rPr>
      </w:pPr>
    </w:p>
    <w:p>
      <w:pPr>
        <w:keepNext w:val="0"/>
        <w:keepLines w:val="0"/>
        <w:pageBreakBefore w:val="0"/>
        <w:kinsoku/>
        <w:wordWrap/>
        <w:overflowPunct/>
        <w:topLinePunct w:val="0"/>
        <w:autoSpaceDE/>
        <w:autoSpaceDN/>
        <w:bidi w:val="0"/>
        <w:spacing w:line="578" w:lineRule="exact"/>
        <w:jc w:val="left"/>
        <w:textAlignment w:val="auto"/>
        <w:rPr>
          <w:color w:val="000000"/>
          <w:kern w:val="0"/>
          <w:szCs w:val="32"/>
          <w:shd w:val="clear" w:color="auto" w:fill="FFFFFF"/>
        </w:rPr>
      </w:pPr>
    </w:p>
    <w:p>
      <w:pPr>
        <w:widowControl/>
        <w:spacing w:line="578" w:lineRule="exact"/>
        <w:ind w:firstLine="4800" w:firstLineChars="1500"/>
        <w:rPr>
          <w:rFonts w:hint="eastAsia" w:ascii="仿宋_GB2312" w:hAnsi="宋体" w:eastAsia="仿宋_GB2312" w:cs="宋体"/>
          <w:kern w:val="0"/>
          <w:sz w:val="32"/>
          <w:szCs w:val="32"/>
          <w:lang w:val="en-US" w:eastAsia="zh-CN"/>
        </w:rPr>
      </w:pPr>
    </w:p>
    <w:p>
      <w:pPr>
        <w:widowControl/>
        <w:spacing w:line="578" w:lineRule="exact"/>
        <w:ind w:firstLine="4800" w:firstLineChars="1500"/>
        <w:rPr>
          <w:rFonts w:hint="eastAsia" w:ascii="仿宋_GB2312" w:hAnsi="宋体" w:eastAsia="仿宋_GB2312" w:cs="宋体"/>
          <w:kern w:val="0"/>
          <w:sz w:val="32"/>
          <w:szCs w:val="32"/>
          <w:lang w:val="en-US" w:eastAsia="zh-CN"/>
        </w:rPr>
      </w:pPr>
    </w:p>
    <w:p>
      <w:pPr>
        <w:widowControl/>
        <w:spacing w:line="578" w:lineRule="exact"/>
        <w:ind w:firstLine="5120" w:firstLineChars="16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黑水县芦花</w:t>
      </w:r>
      <w:r>
        <w:rPr>
          <w:rFonts w:hint="eastAsia" w:ascii="仿宋_GB2312" w:hAnsi="宋体" w:eastAsia="仿宋_GB2312" w:cs="宋体"/>
          <w:kern w:val="0"/>
          <w:sz w:val="32"/>
          <w:szCs w:val="32"/>
        </w:rPr>
        <w:t>镇人民政府</w:t>
      </w:r>
    </w:p>
    <w:p>
      <w:pPr>
        <w:widowControl/>
        <w:spacing w:line="578" w:lineRule="exac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                                </w:t>
      </w:r>
      <w:r>
        <w:rPr>
          <w:rFonts w:hint="eastAsia" w:ascii="仿宋_GB2312" w:hAnsi="宋体" w:cs="宋体"/>
          <w:kern w:val="0"/>
          <w:sz w:val="32"/>
          <w:szCs w:val="32"/>
          <w:lang w:val="en-US" w:eastAsia="zh-CN"/>
        </w:rPr>
        <w:t xml:space="preserve">   </w:t>
      </w:r>
      <w:r>
        <w:rPr>
          <w:rFonts w:hint="eastAsia" w:ascii="仿宋_GB2312" w:hAnsi="宋体" w:eastAsia="仿宋_GB2312" w:cs="宋体"/>
          <w:kern w:val="0"/>
          <w:sz w:val="32"/>
          <w:szCs w:val="32"/>
          <w:lang w:val="en-US" w:eastAsia="zh-CN"/>
        </w:rPr>
        <w:t>2026</w:t>
      </w:r>
      <w:r>
        <w:rPr>
          <w:rFonts w:hint="eastAsia" w:ascii="仿宋_GB2312" w:hAnsi="宋体" w:eastAsia="仿宋_GB2312" w:cs="宋体"/>
          <w:kern w:val="0"/>
          <w:sz w:val="32"/>
          <w:szCs w:val="32"/>
        </w:rPr>
        <w:t>年</w:t>
      </w:r>
      <w:r>
        <w:rPr>
          <w:rFonts w:hint="eastAsia" w:ascii="仿宋_GB2312" w:hAnsi="宋体" w:cs="宋体"/>
          <w:kern w:val="0"/>
          <w:sz w:val="32"/>
          <w:szCs w:val="32"/>
          <w:lang w:val="en-US" w:eastAsia="zh-CN"/>
        </w:rPr>
        <w:t>4</w:t>
      </w:r>
      <w:r>
        <w:rPr>
          <w:rFonts w:hint="eastAsia" w:ascii="仿宋_GB2312" w:hAnsi="宋体" w:eastAsia="仿宋_GB2312" w:cs="宋体"/>
          <w:kern w:val="0"/>
          <w:sz w:val="32"/>
          <w:szCs w:val="32"/>
        </w:rPr>
        <w:t>月</w:t>
      </w:r>
      <w:r>
        <w:rPr>
          <w:rFonts w:hint="eastAsia" w:ascii="仿宋_GB2312" w:hAnsi="宋体" w:cs="宋体"/>
          <w:kern w:val="0"/>
          <w:sz w:val="32"/>
          <w:szCs w:val="32"/>
          <w:lang w:val="en-US" w:eastAsia="zh-CN"/>
        </w:rPr>
        <w:t>8</w:t>
      </w:r>
      <w:r>
        <w:rPr>
          <w:rFonts w:hint="eastAsia" w:ascii="仿宋_GB2312" w:hAnsi="宋体" w:eastAsia="仿宋_GB2312" w:cs="宋体"/>
          <w:kern w:val="0"/>
          <w:sz w:val="32"/>
          <w:szCs w:val="32"/>
        </w:rPr>
        <w:t>日</w:t>
      </w: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eastAsia" w:ascii="仿宋_GB2312" w:hAnsi="宋体" w:eastAsia="仿宋_GB2312" w:cs="宋体"/>
          <w:kern w:val="0"/>
          <w:sz w:val="32"/>
          <w:szCs w:val="32"/>
        </w:rPr>
      </w:pPr>
    </w:p>
    <w:p>
      <w:pPr>
        <w:pStyle w:val="2"/>
        <w:rPr>
          <w:rFonts w:hint="default" w:ascii="仿宋_GB2312" w:hAnsi="宋体" w:eastAsia="仿宋_GB2312" w:cs="宋体"/>
          <w:kern w:val="0"/>
          <w:sz w:val="32"/>
          <w:szCs w:val="32"/>
          <w:lang w:val="en-US" w:eastAsia="zh-CN"/>
        </w:rPr>
      </w:pPr>
    </w:p>
    <w:p>
      <w:pPr>
        <w:pStyle w:val="2"/>
        <w:rPr>
          <w:rFonts w:hint="default" w:ascii="仿宋_GB2312" w:hAnsi="宋体" w:eastAsia="仿宋_GB2312" w:cs="宋体"/>
          <w:kern w:val="0"/>
          <w:sz w:val="32"/>
          <w:szCs w:val="32"/>
          <w:lang w:val="en-US" w:eastAsia="zh-CN"/>
        </w:rPr>
      </w:pPr>
    </w:p>
    <w:p>
      <w:pPr>
        <w:pStyle w:val="2"/>
        <w:rPr>
          <w:rFonts w:hint="default" w:ascii="仿宋_GB2312" w:hAnsi="宋体" w:eastAsia="仿宋_GB2312" w:cs="宋体"/>
          <w:kern w:val="0"/>
          <w:sz w:val="32"/>
          <w:szCs w:val="32"/>
          <w:lang w:val="en-US" w:eastAsia="zh-CN"/>
        </w:rPr>
      </w:pPr>
    </w:p>
    <w:p>
      <w:pPr>
        <w:pStyle w:val="2"/>
        <w:rPr>
          <w:rFonts w:hint="default" w:ascii="仿宋_GB2312" w:hAnsi="宋体" w:eastAsia="仿宋_GB2312" w:cs="宋体"/>
          <w:kern w:val="0"/>
          <w:sz w:val="32"/>
          <w:szCs w:val="32"/>
          <w:lang w:val="en-US" w:eastAsia="zh-CN"/>
        </w:rPr>
      </w:pPr>
    </w:p>
    <w:tbl>
      <w:tblPr>
        <w:tblStyle w:val="14"/>
        <w:tblpPr w:leftFromText="180" w:rightFromText="180" w:vertAnchor="text" w:horzAnchor="page" w:tblpX="1819" w:tblpY="21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8835" w:type="dxa"/>
            <w:tcBorders>
              <w:top w:val="single" w:color="auto" w:sz="4" w:space="0"/>
              <w:left w:val="nil"/>
              <w:bottom w:val="single" w:color="auto" w:sz="4" w:space="0"/>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_GB2312" w:eastAsia="仿宋_GB2312"/>
                <w:szCs w:val="32"/>
                <w:lang w:val="en-US" w:eastAsia="zh-CN"/>
              </w:rPr>
            </w:pPr>
            <w:r>
              <w:rPr>
                <w:rFonts w:hint="eastAsia" w:ascii="仿宋_GB2312" w:eastAsia="仿宋_GB2312"/>
                <w:sz w:val="28"/>
                <w:szCs w:val="28"/>
                <w:lang w:eastAsia="zh-CN"/>
              </w:rPr>
              <w:t>芦花</w:t>
            </w:r>
            <w:r>
              <w:rPr>
                <w:rFonts w:hint="eastAsia" w:ascii="仿宋_GB2312" w:eastAsia="仿宋_GB2312"/>
                <w:sz w:val="28"/>
                <w:szCs w:val="28"/>
                <w:lang w:val="en-US" w:eastAsia="zh-CN"/>
              </w:rPr>
              <w:t>镇党政办公室</w:t>
            </w: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eastAsia="仿宋_GB2312"/>
                <w:sz w:val="28"/>
                <w:szCs w:val="28"/>
              </w:rPr>
              <w:t xml:space="preserve">                </w:t>
            </w:r>
            <w:r>
              <w:rPr>
                <w:rFonts w:hint="eastAsia" w:ascii="仿宋_GB2312" w:eastAsia="仿宋_GB2312"/>
                <w:sz w:val="28"/>
                <w:szCs w:val="28"/>
                <w:lang w:val="en-US" w:eastAsia="zh-CN"/>
              </w:rPr>
              <w:t xml:space="preserve">      </w:t>
            </w:r>
            <w:r>
              <w:rPr>
                <w:rFonts w:hint="eastAsia" w:ascii="仿宋_GB2312" w:eastAsia="仿宋_GB2312"/>
                <w:sz w:val="28"/>
                <w:szCs w:val="28"/>
              </w:rPr>
              <w:t>20</w:t>
            </w:r>
            <w:r>
              <w:rPr>
                <w:rFonts w:hint="eastAsia" w:ascii="仿宋_GB2312" w:eastAsia="仿宋_GB2312"/>
                <w:sz w:val="28"/>
                <w:szCs w:val="28"/>
                <w:lang w:val="en-US" w:eastAsia="zh-CN"/>
              </w:rPr>
              <w:t>26</w:t>
            </w:r>
            <w:r>
              <w:rPr>
                <w:rFonts w:hint="eastAsia" w:ascii="仿宋_GB2312" w:eastAsia="仿宋_GB2312"/>
                <w:sz w:val="28"/>
                <w:szCs w:val="28"/>
              </w:rPr>
              <w:t>年</w:t>
            </w:r>
            <w:r>
              <w:rPr>
                <w:rFonts w:hint="eastAsia" w:ascii="仿宋_GB2312"/>
                <w:sz w:val="28"/>
                <w:szCs w:val="28"/>
                <w:lang w:val="en-US" w:eastAsia="zh-CN"/>
              </w:rPr>
              <w:t>4</w:t>
            </w:r>
            <w:r>
              <w:rPr>
                <w:rFonts w:hint="eastAsia" w:ascii="仿宋_GB2312" w:eastAsia="仿宋_GB2312"/>
                <w:sz w:val="28"/>
                <w:szCs w:val="28"/>
              </w:rPr>
              <w:t>月</w:t>
            </w:r>
            <w:r>
              <w:rPr>
                <w:rFonts w:hint="eastAsia" w:ascii="仿宋_GB2312"/>
                <w:sz w:val="28"/>
                <w:szCs w:val="28"/>
                <w:lang w:val="en-US" w:eastAsia="zh-CN"/>
              </w:rPr>
              <w:t>8</w:t>
            </w:r>
            <w:r>
              <w:rPr>
                <w:rFonts w:hint="eastAsia" w:ascii="仿宋_GB2312" w:eastAsia="仿宋_GB2312"/>
                <w:sz w:val="28"/>
                <w:szCs w:val="28"/>
              </w:rPr>
              <w:t>日印</w:t>
            </w:r>
            <w:r>
              <w:rPr>
                <w:rFonts w:hint="eastAsia" w:ascii="仿宋_GB2312" w:eastAsia="仿宋_GB2312"/>
                <w:sz w:val="32"/>
                <w:szCs w:val="32"/>
                <w:lang w:val="en-US" w:eastAsia="zh-CN"/>
              </w:rPr>
              <w:t xml:space="preserve">  </w:t>
            </w:r>
          </w:p>
        </w:tc>
      </w:tr>
    </w:tbl>
    <w:p>
      <w:pPr>
        <w:pStyle w:val="2"/>
        <w:jc w:val="both"/>
        <w:rPr>
          <w:rFonts w:hint="default" w:ascii="仿宋_GB2312" w:hAnsi="宋体" w:eastAsia="仿宋_GB2312" w:cs="宋体"/>
          <w:kern w:val="0"/>
          <w:sz w:val="32"/>
          <w:szCs w:val="32"/>
          <w:lang w:val="en-US" w:eastAsia="zh-CN"/>
        </w:rPr>
      </w:pPr>
    </w:p>
    <w:p>
      <w:pPr>
        <w:keepNext w:val="0"/>
        <w:keepLines w:val="0"/>
        <w:pageBreakBefore w:val="0"/>
        <w:kinsoku/>
        <w:wordWrap/>
        <w:overflowPunct/>
        <w:topLinePunct w:val="0"/>
        <w:autoSpaceDE/>
        <w:autoSpaceDN/>
        <w:bidi w:val="0"/>
        <w:spacing w:line="578" w:lineRule="exact"/>
        <w:jc w:val="left"/>
        <w:textAlignment w:val="auto"/>
        <w:rPr>
          <w:rFonts w:hint="eastAsia" w:ascii="Times New Roman" w:hAnsi="Times New Roman" w:eastAsia="黑体" w:cs="Times New Roman"/>
          <w:kern w:val="2"/>
          <w:sz w:val="32"/>
          <w:szCs w:val="24"/>
          <w:highlight w:val="none"/>
          <w:lang w:val="en-US" w:eastAsia="zh-CN" w:bidi="ar-SA"/>
        </w:rPr>
      </w:pPr>
      <w:r>
        <w:rPr>
          <w:color w:val="000000"/>
          <w:kern w:val="0"/>
          <w:szCs w:val="32"/>
          <w:shd w:val="clear" w:color="auto" w:fill="FFFFFF"/>
        </w:rPr>
        <w:br w:type="page"/>
      </w:r>
      <w:r>
        <w:rPr>
          <w:rFonts w:hint="eastAsia" w:ascii="黑体" w:hAnsi="黑体" w:eastAsia="黑体" w:cs="黑体"/>
          <w:kern w:val="2"/>
          <w:sz w:val="32"/>
          <w:szCs w:val="24"/>
          <w:highlight w:val="none"/>
          <w:lang w:val="en-US" w:eastAsia="zh-CN" w:bidi="ar-SA"/>
        </w:rPr>
        <w:t>附表1</w:t>
      </w:r>
    </w:p>
    <w:p>
      <w:pPr>
        <w:keepNext w:val="0"/>
        <w:keepLines w:val="0"/>
        <w:pageBreakBefore w:val="0"/>
        <w:widowControl/>
        <w:suppressLineNumbers w:val="0"/>
        <w:kinsoku/>
        <w:wordWrap/>
        <w:overflowPunct/>
        <w:topLinePunct w:val="0"/>
        <w:autoSpaceDE/>
        <w:autoSpaceDN/>
        <w:bidi w:val="0"/>
        <w:adjustRightInd/>
        <w:snapToGrid/>
        <w:spacing w:line="600" w:lineRule="exact"/>
        <w:jc w:val="center"/>
        <w:textAlignment w:val="center"/>
        <w:outlineLvl w:val="9"/>
        <w:rPr>
          <w:rFonts w:hint="eastAsia" w:ascii="Times New Roman" w:hAnsi="Times New Roman" w:eastAsia="方正小标宋简体" w:cs="Times New Roman"/>
          <w:i w:val="0"/>
          <w:color w:val="000000"/>
          <w:kern w:val="0"/>
          <w:sz w:val="44"/>
          <w:szCs w:val="44"/>
          <w:u w:val="none"/>
          <w:lang w:val="en-US" w:eastAsia="zh-CN" w:bidi="ar"/>
        </w:rPr>
      </w:pPr>
      <w:r>
        <w:rPr>
          <w:rFonts w:hint="eastAsia" w:ascii="Times New Roman" w:hAnsi="Times New Roman" w:eastAsia="方正小标宋简体" w:cs="Times New Roman"/>
          <w:i w:val="0"/>
          <w:color w:val="000000"/>
          <w:kern w:val="0"/>
          <w:sz w:val="44"/>
          <w:szCs w:val="44"/>
          <w:u w:val="none"/>
          <w:lang w:val="en-US" w:eastAsia="zh-CN" w:bidi="ar"/>
        </w:rPr>
        <w:t>部门预算绩效自评打分表</w:t>
      </w:r>
    </w:p>
    <w:tbl>
      <w:tblPr>
        <w:tblStyle w:val="14"/>
        <w:tblW w:w="108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04"/>
        <w:gridCol w:w="1462"/>
        <w:gridCol w:w="1665"/>
        <w:gridCol w:w="720"/>
        <w:gridCol w:w="4734"/>
        <w:gridCol w:w="756"/>
        <w:gridCol w:w="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 w:hRule="atLeast"/>
          <w:jc w:val="center"/>
        </w:trPr>
        <w:tc>
          <w:tcPr>
            <w:tcW w:w="4851"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绩效评价指标指标分值</w:t>
            </w:r>
          </w:p>
        </w:tc>
        <w:tc>
          <w:tcPr>
            <w:tcW w:w="47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sz w:val="24"/>
                <w:szCs w:val="24"/>
                <w:u w:val="none"/>
              </w:rPr>
            </w:pPr>
            <w:r>
              <w:rPr>
                <w:rFonts w:hint="eastAsia" w:ascii="黑体" w:hAnsi="宋体" w:eastAsia="黑体" w:cs="黑体"/>
                <w:i w:val="0"/>
                <w:color w:val="000000"/>
                <w:kern w:val="0"/>
                <w:sz w:val="24"/>
                <w:szCs w:val="24"/>
                <w:u w:val="none"/>
                <w:lang w:val="en-US" w:eastAsia="zh-CN" w:bidi="ar"/>
              </w:rPr>
              <w:t>指标解释</w:t>
            </w:r>
          </w:p>
        </w:tc>
        <w:tc>
          <w:tcPr>
            <w:tcW w:w="75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自评得分</w:t>
            </w:r>
          </w:p>
        </w:tc>
        <w:tc>
          <w:tcPr>
            <w:tcW w:w="478"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宋体" w:eastAsia="黑体" w:cs="黑体"/>
                <w:i w:val="0"/>
                <w:color w:val="000000"/>
                <w:kern w:val="0"/>
                <w:sz w:val="24"/>
                <w:szCs w:val="24"/>
                <w:u w:val="none"/>
                <w:lang w:val="en-US" w:eastAsia="zh-CN" w:bidi="ar"/>
              </w:rPr>
            </w:pPr>
            <w:r>
              <w:rPr>
                <w:rFonts w:hint="eastAsia" w:ascii="黑体" w:hAnsi="宋体" w:eastAsia="黑体" w:cs="黑体"/>
                <w:i w:val="0"/>
                <w:color w:val="000000"/>
                <w:kern w:val="0"/>
                <w:sz w:val="24"/>
                <w:szCs w:val="24"/>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一级指标</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二级指标</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三级指标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000000"/>
                <w:sz w:val="24"/>
                <w:szCs w:val="24"/>
                <w:u w:val="none"/>
              </w:rPr>
            </w:pPr>
            <w:r>
              <w:rPr>
                <w:rFonts w:hint="eastAsia" w:ascii="黑体" w:hAnsi="黑体" w:eastAsia="黑体" w:cs="黑体"/>
                <w:i w:val="0"/>
                <w:color w:val="000000"/>
                <w:kern w:val="0"/>
                <w:sz w:val="24"/>
                <w:szCs w:val="24"/>
                <w:u w:val="none"/>
                <w:lang w:val="en-US" w:eastAsia="zh-CN" w:bidi="ar"/>
              </w:rPr>
              <w:t>指标</w:t>
            </w:r>
            <w:r>
              <w:rPr>
                <w:rFonts w:hint="eastAsia" w:ascii="黑体" w:hAnsi="黑体" w:eastAsia="黑体" w:cs="黑体"/>
                <w:i w:val="0"/>
                <w:color w:val="000000"/>
                <w:kern w:val="0"/>
                <w:sz w:val="24"/>
                <w:szCs w:val="24"/>
                <w:u w:val="none"/>
                <w:lang w:val="en-US" w:eastAsia="zh-CN" w:bidi="ar"/>
              </w:rPr>
              <w:br w:type="textWrapping"/>
            </w:r>
            <w:r>
              <w:rPr>
                <w:rFonts w:hint="eastAsia" w:ascii="黑体" w:hAnsi="黑体" w:eastAsia="黑体" w:cs="黑体"/>
                <w:i w:val="0"/>
                <w:color w:val="000000"/>
                <w:kern w:val="0"/>
                <w:sz w:val="24"/>
                <w:szCs w:val="24"/>
                <w:u w:val="none"/>
                <w:lang w:val="en-US" w:eastAsia="zh-CN" w:bidi="ar"/>
              </w:rPr>
              <w:t>分值</w:t>
            </w:r>
          </w:p>
        </w:tc>
        <w:tc>
          <w:tcPr>
            <w:tcW w:w="47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75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c>
          <w:tcPr>
            <w:tcW w:w="478"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黑体" w:hAnsi="宋体" w:eastAsia="黑体" w:cs="黑体"/>
                <w:i w:val="0"/>
                <w:color w:val="000000"/>
                <w:sz w:val="24"/>
                <w:szCs w:val="24"/>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总体绩效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履职效能</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镇政府履职效果</w:t>
            </w:r>
          </w:p>
        </w:tc>
        <w:tc>
          <w:tcPr>
            <w:tcW w:w="720" w:type="dxa"/>
            <w:tcBorders>
              <w:top w:val="nil"/>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15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部门整体绩效目标中选定3-5个核心职能目标，反映该项职能目标完成效果情况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15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预算管理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（25分）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预算编制质量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8</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部门是否严格按要求编制年初部门预算，年初预算编制的科学性和准确性</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8</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2"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单位收入统筹</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部门统筹自有收入程度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支出执行进度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6</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部门1至6月、1至10月预算执行情况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预算年终结余</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部门整体年终预算结余情况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严控一般性支出</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5</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部门严控“三公”经费、会议、培训、差旅、办节办展、办公设备购置、信息网络及软件购置更新、课题经费等8项一般性支出情况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5</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财务管理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（10分）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财务管理制度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部门财务管理制度建立情况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财务岗位设置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2</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部门财务岗位设置是否符合相关财务管理制度要求</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资金使用规范</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部门资金使用是否符合相关财务管理制度规定</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资产管理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人均资产变化率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部门人均资产变化情况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资产利用率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部门资产超最低使用年限情况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总体绩效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（65分）</w:t>
            </w:r>
          </w:p>
        </w:tc>
        <w:tc>
          <w:tcPr>
            <w:tcW w:w="14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资产管理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（9分）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资产盘活率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部门闲置一年以上的资产盘活情况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采购管理</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（6分）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支持中小企业发展</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部门是否严格执行政府采购促进中小企业发展相关管理办法</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采购执行率</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部门政府采购项目资金支付比例情况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项目绩效</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（35分）</w:t>
            </w: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项目决策</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决策程序</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部门预算项目设立是否按规定履行评估论证、申报程序</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目标设置</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部门预算项目绩效目标与计划期内的任务量、预算安排的资金量匹配情况，绩效目标设置是否科学合理、规范完整、量化细化、预算匹配</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项目入库</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部门预算项目是否在规定时间完成项目入库</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项目执行</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（12分）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执行同向</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部门预算项目实际列支内容是否与绩效目标设置方向相符</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项目调整</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部门预算项目是否采取对应调整措施</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执行结果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部门预算项目预算执行情况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楷体_GB2312" w:hAnsi="楷体_GB2312" w:eastAsia="楷体_GB2312" w:cs="楷体_GB2312"/>
                <w:b/>
                <w:i w:val="0"/>
                <w:color w:val="000000"/>
                <w:sz w:val="24"/>
                <w:szCs w:val="24"/>
                <w:u w:val="none"/>
              </w:rPr>
            </w:pPr>
          </w:p>
        </w:tc>
        <w:tc>
          <w:tcPr>
            <w:tcW w:w="146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楷体_GB2312" w:hAnsi="楷体_GB2312" w:eastAsia="楷体_GB2312" w:cs="楷体_GB2312"/>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目标实现</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（11分）</w:t>
            </w: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目标完成</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部门预算项目绩效目标数量指标完成情况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3</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目标偏离</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4</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部门预算项目绩效目标数量指标实现程度与预期目标的偏离情况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4</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46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exact"/>
              <w:jc w:val="center"/>
              <w:rPr>
                <w:rFonts w:hint="eastAsia" w:ascii="宋体" w:hAnsi="宋体" w:eastAsia="宋体" w:cs="宋体"/>
                <w:b/>
                <w:i w:val="0"/>
                <w:color w:val="000000"/>
                <w:sz w:val="24"/>
                <w:szCs w:val="24"/>
                <w:u w:val="none"/>
              </w:rPr>
            </w:pPr>
          </w:p>
        </w:tc>
        <w:tc>
          <w:tcPr>
            <w:tcW w:w="16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实现效果</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3</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部门预算项目绩效目标效益指标实施效果</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kern w:val="0"/>
                <w:sz w:val="24"/>
                <w:szCs w:val="24"/>
                <w:u w:val="none"/>
                <w:lang w:val="en-US" w:eastAsia="zh-CN" w:bidi="ar"/>
              </w:rPr>
            </w:pPr>
            <w:r>
              <w:rPr>
                <w:rFonts w:hint="eastAsia" w:ascii="仿宋_GB2312" w:hAnsi="仿宋_GB2312" w:eastAsia="仿宋_GB2312" w:cs="仿宋_GB2312"/>
                <w:i w:val="0"/>
                <w:color w:val="000000"/>
                <w:kern w:val="0"/>
                <w:sz w:val="24"/>
                <w:szCs w:val="24"/>
                <w:u w:val="none"/>
                <w:lang w:val="en-US" w:eastAsia="zh-CN" w:bidi="ar"/>
              </w:rPr>
              <w:t>2</w:t>
            </w: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atLeast"/>
          <w:jc w:val="center"/>
        </w:trPr>
        <w:tc>
          <w:tcPr>
            <w:tcW w:w="10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宋体" w:hAnsi="宋体" w:eastAsia="宋体" w:cs="宋体"/>
                <w:b/>
                <w:i w:val="0"/>
                <w:color w:val="000000"/>
                <w:sz w:val="24"/>
                <w:szCs w:val="24"/>
                <w:u w:val="none"/>
              </w:rPr>
            </w:pPr>
            <w:r>
              <w:rPr>
                <w:rFonts w:hint="eastAsia" w:ascii="楷体_GB2312" w:hAnsi="楷体_GB2312" w:eastAsia="楷体_GB2312" w:cs="楷体_GB2312"/>
                <w:b/>
                <w:i w:val="0"/>
                <w:color w:val="000000"/>
                <w:kern w:val="0"/>
                <w:sz w:val="24"/>
                <w:szCs w:val="24"/>
                <w:u w:val="none"/>
                <w:lang w:val="en-US" w:eastAsia="zh-CN" w:bidi="ar"/>
              </w:rPr>
              <w:t>扣分项</w:t>
            </w:r>
            <w:r>
              <w:rPr>
                <w:rFonts w:hint="eastAsia" w:ascii="楷体_GB2312" w:hAnsi="楷体_GB2312" w:eastAsia="楷体_GB2312" w:cs="楷体_GB2312"/>
                <w:b/>
                <w:i w:val="0"/>
                <w:color w:val="000000"/>
                <w:kern w:val="0"/>
                <w:sz w:val="24"/>
                <w:szCs w:val="24"/>
                <w:u w:val="none"/>
                <w:lang w:val="en-US" w:eastAsia="zh-CN" w:bidi="ar"/>
              </w:rPr>
              <w:br w:type="textWrapping"/>
            </w:r>
            <w:r>
              <w:rPr>
                <w:rFonts w:hint="eastAsia" w:ascii="楷体_GB2312" w:hAnsi="楷体_GB2312" w:eastAsia="楷体_GB2312" w:cs="楷体_GB2312"/>
                <w:b/>
                <w:i w:val="0"/>
                <w:color w:val="000000"/>
                <w:kern w:val="0"/>
                <w:sz w:val="24"/>
                <w:szCs w:val="24"/>
                <w:u w:val="none"/>
                <w:lang w:val="en-US" w:eastAsia="zh-CN" w:bidi="ar"/>
              </w:rPr>
              <w:t>（10分）</w:t>
            </w:r>
          </w:p>
        </w:tc>
        <w:tc>
          <w:tcPr>
            <w:tcW w:w="312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被评价部门配合度</w:t>
            </w:r>
          </w:p>
        </w:tc>
        <w:tc>
          <w:tcPr>
            <w:tcW w:w="7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w:t>
            </w:r>
          </w:p>
        </w:tc>
        <w:tc>
          <w:tcPr>
            <w:tcW w:w="473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仿宋_GB2312" w:hAnsi="仿宋_GB2312" w:eastAsia="仿宋_GB2312" w:cs="仿宋_GB2312"/>
                <w:i w:val="0"/>
                <w:color w:val="000000"/>
                <w:sz w:val="24"/>
                <w:szCs w:val="24"/>
                <w:u w:val="none"/>
              </w:rPr>
            </w:pPr>
            <w:r>
              <w:rPr>
                <w:rFonts w:hint="eastAsia" w:ascii="仿宋_GB2312" w:hAnsi="仿宋_GB2312" w:eastAsia="仿宋_GB2312" w:cs="仿宋_GB2312"/>
                <w:i w:val="0"/>
                <w:color w:val="000000"/>
                <w:kern w:val="0"/>
                <w:sz w:val="24"/>
                <w:szCs w:val="24"/>
                <w:u w:val="none"/>
                <w:lang w:val="en-US" w:eastAsia="zh-CN" w:bidi="ar"/>
              </w:rPr>
              <w:t>被评价对象工作配合情况</w:t>
            </w:r>
          </w:p>
        </w:tc>
        <w:tc>
          <w:tcPr>
            <w:tcW w:w="75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c>
          <w:tcPr>
            <w:tcW w:w="47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left"/>
              <w:textAlignment w:val="center"/>
              <w:rPr>
                <w:rFonts w:hint="eastAsia" w:ascii="宋体" w:hAnsi="宋体" w:eastAsia="宋体" w:cs="宋体"/>
                <w:i w:val="0"/>
                <w:color w:val="000000"/>
                <w:kern w:val="0"/>
                <w:sz w:val="24"/>
                <w:szCs w:val="24"/>
                <w:u w:val="none"/>
                <w:lang w:val="en-US" w:eastAsia="zh-CN" w:bidi="ar"/>
              </w:rPr>
            </w:pPr>
          </w:p>
        </w:tc>
      </w:tr>
    </w:tbl>
    <w:p>
      <w:pPr>
        <w:spacing w:line="20" w:lineRule="exact"/>
        <w:rPr>
          <w:rFonts w:eastAsia="黑体"/>
        </w:rPr>
      </w:pPr>
    </w:p>
    <w:p>
      <w:pPr>
        <w:spacing w:line="578" w:lineRule="exact"/>
        <w:jc w:val="left"/>
        <w:rPr>
          <w:rFonts w:eastAsia="黑体"/>
          <w:highlight w:val="none"/>
        </w:rPr>
      </w:pPr>
      <w:r>
        <w:rPr>
          <w:rFonts w:eastAsia="黑体"/>
          <w:highlight w:val="none"/>
        </w:rPr>
        <w:t>附表</w:t>
      </w:r>
      <w:r>
        <w:rPr>
          <w:rFonts w:hint="eastAsia" w:eastAsia="黑体"/>
          <w:highlight w:val="none"/>
        </w:rPr>
        <w:t>2</w:t>
      </w:r>
    </w:p>
    <w:p>
      <w:pPr>
        <w:widowControl/>
        <w:spacing w:line="578" w:lineRule="exact"/>
        <w:jc w:val="center"/>
        <w:textAlignment w:val="center"/>
        <w:rPr>
          <w:rFonts w:eastAsia="方正小标宋简体"/>
          <w:color w:val="000000"/>
          <w:kern w:val="0"/>
          <w:sz w:val="44"/>
          <w:szCs w:val="44"/>
          <w:highlight w:val="none"/>
        </w:rPr>
      </w:pPr>
      <w:r>
        <w:rPr>
          <w:rFonts w:eastAsia="方正小标宋简体"/>
          <w:color w:val="000000"/>
          <w:kern w:val="0"/>
          <w:sz w:val="44"/>
          <w:szCs w:val="44"/>
          <w:highlight w:val="none"/>
        </w:rPr>
        <w:t>部门整体</w:t>
      </w:r>
      <w:r>
        <w:rPr>
          <w:rFonts w:hint="eastAsia" w:eastAsia="方正小标宋简体"/>
          <w:color w:val="000000"/>
          <w:kern w:val="0"/>
          <w:sz w:val="44"/>
          <w:szCs w:val="44"/>
          <w:highlight w:val="none"/>
        </w:rPr>
        <w:t>支出</w:t>
      </w:r>
      <w:r>
        <w:rPr>
          <w:rFonts w:eastAsia="方正小标宋简体"/>
          <w:color w:val="000000"/>
          <w:kern w:val="0"/>
          <w:sz w:val="44"/>
          <w:szCs w:val="44"/>
          <w:highlight w:val="none"/>
        </w:rPr>
        <w:t>绩效目标完成情况自评表</w:t>
      </w:r>
    </w:p>
    <w:tbl>
      <w:tblPr>
        <w:tblStyle w:val="14"/>
        <w:tblW w:w="9658" w:type="dxa"/>
        <w:jc w:val="center"/>
        <w:tblLayout w:type="fixed"/>
        <w:tblCellMar>
          <w:top w:w="0" w:type="dxa"/>
          <w:left w:w="108" w:type="dxa"/>
          <w:bottom w:w="0" w:type="dxa"/>
          <w:right w:w="108" w:type="dxa"/>
        </w:tblCellMar>
      </w:tblPr>
      <w:tblGrid>
        <w:gridCol w:w="331"/>
        <w:gridCol w:w="593"/>
        <w:gridCol w:w="803"/>
        <w:gridCol w:w="1246"/>
        <w:gridCol w:w="803"/>
        <w:gridCol w:w="777"/>
        <w:gridCol w:w="1018"/>
        <w:gridCol w:w="1045"/>
        <w:gridCol w:w="1111"/>
        <w:gridCol w:w="1931"/>
      </w:tblGrid>
      <w:tr>
        <w:tblPrEx>
          <w:tblCellMar>
            <w:top w:w="0" w:type="dxa"/>
            <w:left w:w="108" w:type="dxa"/>
            <w:bottom w:w="0" w:type="dxa"/>
            <w:right w:w="108" w:type="dxa"/>
          </w:tblCellMar>
        </w:tblPrEx>
        <w:trPr>
          <w:trHeight w:val="465" w:hRule="atLeast"/>
          <w:jc w:val="center"/>
        </w:trPr>
        <w:tc>
          <w:tcPr>
            <w:tcW w:w="1727" w:type="dxa"/>
            <w:gridSpan w:val="3"/>
            <w:tcBorders>
              <w:top w:val="single" w:color="000000" w:sz="4" w:space="0"/>
              <w:left w:val="single" w:color="000000" w:sz="4" w:space="0"/>
              <w:bottom w:val="single" w:color="auto" w:sz="4" w:space="0"/>
              <w:right w:val="single" w:color="000000" w:sz="4" w:space="0"/>
            </w:tcBorders>
            <w:noWrap/>
            <w:vAlign w:val="center"/>
          </w:tcPr>
          <w:p>
            <w:pPr>
              <w:rPr>
                <w:rFonts w:ascii="宋体" w:hAnsi="宋体" w:eastAsia="宋体" w:cs="宋体"/>
                <w:color w:val="000000"/>
                <w:kern w:val="0"/>
                <w:sz w:val="24"/>
                <w:highlight w:val="none"/>
              </w:rPr>
            </w:pPr>
            <w:r>
              <w:rPr>
                <w:rFonts w:eastAsia="黑体"/>
                <w:sz w:val="24"/>
                <w:highlight w:val="none"/>
              </w:rPr>
              <w:br w:type="page"/>
            </w:r>
            <w:r>
              <w:rPr>
                <w:rFonts w:hint="eastAsia" w:ascii="宋体" w:hAnsi="宋体" w:eastAsia="宋体" w:cs="宋体"/>
                <w:color w:val="000000"/>
                <w:kern w:val="0"/>
                <w:sz w:val="24"/>
                <w:highlight w:val="none"/>
              </w:rPr>
              <w:t>部门名称</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ascii="宋体" w:hAnsi="宋体" w:eastAsia="宋体" w:cs="宋体"/>
                <w:sz w:val="24"/>
                <w:szCs w:val="24"/>
                <w:highlight w:val="none"/>
              </w:rPr>
              <w:t>黑水县芦花镇</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年度部门整体预算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资金总额</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财政拨款</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其他资金</w:t>
            </w:r>
          </w:p>
        </w:tc>
      </w:tr>
      <w:tr>
        <w:tblPrEx>
          <w:tblCellMar>
            <w:top w:w="0" w:type="dxa"/>
            <w:left w:w="108" w:type="dxa"/>
            <w:bottom w:w="0" w:type="dxa"/>
            <w:right w:w="108" w:type="dxa"/>
          </w:tblCellMar>
        </w:tblPrEx>
        <w:trPr>
          <w:trHeight w:val="239"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收入预算</w:t>
            </w:r>
          </w:p>
        </w:tc>
        <w:tc>
          <w:tcPr>
            <w:tcW w:w="2049" w:type="dxa"/>
            <w:gridSpan w:val="2"/>
            <w:tcBorders>
              <w:top w:val="single" w:color="000000" w:sz="4" w:space="0"/>
              <w:left w:val="single" w:color="auto" w:sz="4" w:space="0"/>
              <w:bottom w:val="single" w:color="000000" w:sz="4" w:space="0"/>
              <w:right w:val="single" w:color="auto" w:sz="4" w:space="0"/>
            </w:tcBorders>
            <w:noWrap/>
            <w:vAlign w:val="center"/>
          </w:tcPr>
          <w:p>
            <w:pPr>
              <w:widowControl/>
              <w:spacing w:line="240" w:lineRule="exact"/>
              <w:jc w:val="center"/>
              <w:textAlignment w:val="center"/>
              <w:rPr>
                <w:rFonts w:hint="default" w:ascii="宋体" w:hAnsi="宋体" w:eastAsia="宋体" w:cs="宋体"/>
                <w:color w:val="000000"/>
                <w:kern w:val="0"/>
                <w:sz w:val="24"/>
                <w:highlight w:val="none"/>
                <w:lang w:val="en-US" w:eastAsia="zh-CN"/>
              </w:rPr>
            </w:pPr>
            <w:r>
              <w:rPr>
                <w:rFonts w:ascii="宋体" w:hAnsi="宋体" w:eastAsia="宋体" w:cs="宋体"/>
                <w:sz w:val="24"/>
                <w:szCs w:val="24"/>
                <w:highlight w:val="none"/>
              </w:rPr>
              <w:t>1,500.47</w:t>
            </w:r>
            <w:r>
              <w:rPr>
                <w:rFonts w:hint="eastAsia" w:ascii="宋体" w:hAnsi="宋体" w:eastAsia="宋体" w:cs="宋体"/>
                <w:sz w:val="24"/>
                <w:szCs w:val="24"/>
                <w:highlight w:val="none"/>
                <w:lang w:val="en-US" w:eastAsia="zh-CN"/>
              </w:rPr>
              <w:t xml:space="preserve">万元 </w:t>
            </w:r>
          </w:p>
        </w:tc>
        <w:tc>
          <w:tcPr>
            <w:tcW w:w="1795" w:type="dxa"/>
            <w:gridSpan w:val="2"/>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ascii="宋体" w:hAnsi="宋体" w:eastAsia="宋体" w:cs="宋体"/>
                <w:sz w:val="24"/>
                <w:szCs w:val="24"/>
                <w:highlight w:val="none"/>
              </w:rPr>
              <w:t>1,500.47</w:t>
            </w:r>
            <w:r>
              <w:rPr>
                <w:rFonts w:hint="eastAsia" w:ascii="宋体" w:hAnsi="宋体" w:eastAsia="宋体" w:cs="宋体"/>
                <w:sz w:val="24"/>
                <w:szCs w:val="24"/>
                <w:highlight w:val="none"/>
                <w:lang w:val="en-US" w:eastAsia="zh-CN"/>
              </w:rPr>
              <w:t>万元</w:t>
            </w:r>
          </w:p>
        </w:tc>
        <w:tc>
          <w:tcPr>
            <w:tcW w:w="408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 xml:space="preserve"> </w:t>
            </w:r>
          </w:p>
        </w:tc>
      </w:tr>
      <w:tr>
        <w:tblPrEx>
          <w:tblCellMar>
            <w:top w:w="0" w:type="dxa"/>
            <w:left w:w="108" w:type="dxa"/>
            <w:bottom w:w="0" w:type="dxa"/>
            <w:right w:w="108" w:type="dxa"/>
          </w:tblCellMar>
        </w:tblPrEx>
        <w:trPr>
          <w:trHeight w:val="296" w:hRule="atLeast"/>
          <w:jc w:val="center"/>
        </w:trPr>
        <w:tc>
          <w:tcPr>
            <w:tcW w:w="1727" w:type="dxa"/>
            <w:gridSpan w:val="3"/>
            <w:tcBorders>
              <w:top w:val="single" w:color="auto" w:sz="4" w:space="0"/>
              <w:left w:val="single" w:color="auto" w:sz="4" w:space="0"/>
              <w:bottom w:val="single" w:color="auto" w:sz="4" w:space="0"/>
              <w:right w:val="single" w:color="auto"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支出预算</w:t>
            </w:r>
          </w:p>
        </w:tc>
        <w:tc>
          <w:tcPr>
            <w:tcW w:w="2049" w:type="dxa"/>
            <w:gridSpan w:val="2"/>
            <w:tcBorders>
              <w:top w:val="single" w:color="000000" w:sz="4" w:space="0"/>
              <w:left w:val="single" w:color="auto"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ascii="宋体" w:hAnsi="宋体" w:eastAsia="宋体" w:cs="宋体"/>
                <w:sz w:val="24"/>
                <w:szCs w:val="24"/>
                <w:highlight w:val="none"/>
              </w:rPr>
              <w:t>1,500.47</w:t>
            </w:r>
            <w:r>
              <w:rPr>
                <w:rFonts w:hint="eastAsia" w:ascii="宋体" w:hAnsi="宋体" w:eastAsia="宋体" w:cs="宋体"/>
                <w:sz w:val="24"/>
                <w:szCs w:val="24"/>
                <w:highlight w:val="none"/>
                <w:lang w:val="en-US" w:eastAsia="zh-CN"/>
              </w:rPr>
              <w:t>万元</w:t>
            </w:r>
          </w:p>
        </w:tc>
        <w:tc>
          <w:tcPr>
            <w:tcW w:w="1795" w:type="dxa"/>
            <w:gridSpan w:val="2"/>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ascii="宋体" w:hAnsi="宋体" w:eastAsia="宋体" w:cs="宋体"/>
                <w:sz w:val="24"/>
                <w:szCs w:val="24"/>
                <w:highlight w:val="none"/>
              </w:rPr>
              <w:t>1,500.47</w:t>
            </w:r>
            <w:r>
              <w:rPr>
                <w:rFonts w:hint="eastAsia" w:ascii="宋体" w:hAnsi="宋体" w:eastAsia="宋体" w:cs="宋体"/>
                <w:sz w:val="24"/>
                <w:szCs w:val="24"/>
                <w:highlight w:val="none"/>
                <w:lang w:val="en-US" w:eastAsia="zh-CN"/>
              </w:rPr>
              <w:t>万元</w:t>
            </w:r>
          </w:p>
        </w:tc>
        <w:tc>
          <w:tcPr>
            <w:tcW w:w="408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hint="eastAsia" w:ascii="宋体" w:hAnsi="宋体" w:eastAsia="宋体" w:cs="宋体"/>
                <w:color w:val="000000"/>
                <w:kern w:val="0"/>
                <w:sz w:val="24"/>
                <w:highlight w:val="none"/>
                <w:lang w:eastAsia="zh-CN"/>
              </w:rPr>
            </w:pPr>
            <w:r>
              <w:rPr>
                <w:rFonts w:hint="eastAsia" w:ascii="宋体" w:hAnsi="宋体" w:eastAsia="宋体" w:cs="宋体"/>
                <w:color w:val="000000"/>
                <w:kern w:val="0"/>
                <w:sz w:val="24"/>
                <w:highlight w:val="none"/>
                <w:lang w:val="en-US" w:eastAsia="zh-CN"/>
              </w:rPr>
              <w:t xml:space="preserve"> </w:t>
            </w:r>
          </w:p>
        </w:tc>
      </w:tr>
      <w:tr>
        <w:tblPrEx>
          <w:tblCellMar>
            <w:top w:w="0" w:type="dxa"/>
            <w:left w:w="108" w:type="dxa"/>
            <w:bottom w:w="0" w:type="dxa"/>
            <w:right w:w="108" w:type="dxa"/>
          </w:tblCellMar>
        </w:tblPrEx>
        <w:trPr>
          <w:trHeight w:val="296" w:hRule="atLeast"/>
          <w:jc w:val="center"/>
        </w:trPr>
        <w:tc>
          <w:tcPr>
            <w:tcW w:w="1727" w:type="dxa"/>
            <w:gridSpan w:val="3"/>
            <w:tcBorders>
              <w:top w:val="single" w:color="auto"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年度总体目标</w:t>
            </w:r>
          </w:p>
        </w:tc>
        <w:tc>
          <w:tcPr>
            <w:tcW w:w="7931" w:type="dxa"/>
            <w:gridSpan w:val="7"/>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2025年是“十四五”规划的收官之年，也是贯彻党的二十届三中全会精神、进一步全面深化改革的关键之年，芦花镇将聚焦经济建设这一中心工作和高质量发展这一首要任务，全面落实中央、省委、州委、县委的各项决策部署，坚持稳中求进、以进促稳、先立后破，统筹发展与安全，全力构建生态美丽芦花、和谐幸福芦花、富裕小康芦花。</w:t>
            </w:r>
          </w:p>
        </w:tc>
      </w:tr>
      <w:tr>
        <w:tblPrEx>
          <w:tblCellMar>
            <w:top w:w="0" w:type="dxa"/>
            <w:left w:w="108" w:type="dxa"/>
            <w:bottom w:w="0" w:type="dxa"/>
            <w:right w:w="108" w:type="dxa"/>
          </w:tblCellMar>
        </w:tblPrEx>
        <w:trPr>
          <w:trHeight w:val="296"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管理效率</w:t>
            </w: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一级指标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二级指标</w:t>
            </w:r>
          </w:p>
        </w:tc>
        <w:tc>
          <w:tcPr>
            <w:tcW w:w="124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三级指标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指标值</w:t>
            </w:r>
          </w:p>
        </w:tc>
        <w:tc>
          <w:tcPr>
            <w:tcW w:w="3951" w:type="dxa"/>
            <w:gridSpan w:val="4"/>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指标设置参考值</w:t>
            </w:r>
          </w:p>
        </w:tc>
        <w:tc>
          <w:tcPr>
            <w:tcW w:w="1931" w:type="dxa"/>
            <w:vMerge w:val="restart"/>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指标实际完成值</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1246"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777" w:type="dxa"/>
            <w:tcBorders>
              <w:top w:val="single" w:color="000000" w:sz="4" w:space="0"/>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三年</w:t>
            </w:r>
          </w:p>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均值</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2023</w:t>
            </w:r>
            <w:r>
              <w:rPr>
                <w:rFonts w:ascii="宋体" w:hAnsi="宋体" w:eastAsia="宋体" w:cs="宋体"/>
                <w:color w:val="000000"/>
                <w:kern w:val="0"/>
                <w:sz w:val="24"/>
                <w:highlight w:val="none"/>
              </w:rPr>
              <w:t>年</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2024</w:t>
            </w:r>
            <w:r>
              <w:rPr>
                <w:rFonts w:ascii="宋体" w:hAnsi="宋体" w:eastAsia="宋体" w:cs="宋体"/>
                <w:color w:val="000000"/>
                <w:kern w:val="0"/>
                <w:sz w:val="24"/>
                <w:highlight w:val="none"/>
              </w:rPr>
              <w:t>年</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2025</w:t>
            </w:r>
            <w:r>
              <w:rPr>
                <w:rFonts w:ascii="宋体" w:hAnsi="宋体" w:eastAsia="宋体" w:cs="宋体"/>
                <w:color w:val="000000"/>
                <w:kern w:val="0"/>
                <w:sz w:val="24"/>
                <w:highlight w:val="none"/>
              </w:rPr>
              <w:t>年</w:t>
            </w:r>
          </w:p>
        </w:tc>
        <w:tc>
          <w:tcPr>
            <w:tcW w:w="1931" w:type="dxa"/>
            <w:vMerge w:val="continue"/>
            <w:tcBorders>
              <w:left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成本指标</w:t>
            </w:r>
          </w:p>
        </w:tc>
        <w:tc>
          <w:tcPr>
            <w:tcW w:w="803"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预算管理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财政拨款</w:t>
            </w:r>
            <w:r>
              <w:rPr>
                <w:rFonts w:ascii="宋体" w:hAnsi="宋体" w:eastAsia="宋体" w:cs="宋体"/>
                <w:color w:val="000000"/>
                <w:kern w:val="0"/>
                <w:sz w:val="24"/>
                <w:highlight w:val="none"/>
              </w:rPr>
              <w:t>预算编制偏离度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187.41%</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187.41%</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264.01%</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209.18%</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89.04%</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187.41%</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单位收入统筹度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预算年终结余</w:t>
            </w:r>
            <w:r>
              <w:rPr>
                <w:rFonts w:ascii="宋体" w:hAnsi="宋体" w:eastAsia="宋体" w:cs="宋体"/>
                <w:color w:val="000000"/>
                <w:kern w:val="0"/>
                <w:sz w:val="24"/>
                <w:highlight w:val="none"/>
              </w:rPr>
              <w:t>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77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一般性支出</w:t>
            </w:r>
            <w:r>
              <w:rPr>
                <w:rFonts w:ascii="宋体" w:hAnsi="宋体" w:eastAsia="宋体" w:cs="宋体"/>
                <w:color w:val="000000"/>
                <w:kern w:val="0"/>
                <w:sz w:val="24"/>
                <w:highlight w:val="none"/>
              </w:rPr>
              <w:t>金额</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31.4万元</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31.41万元</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highlight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jc w:val="right"/>
              <w:rPr>
                <w:highlight w:val="none"/>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highlight w:val="none"/>
              </w:rPr>
            </w:pPr>
            <w:r>
              <w:rPr>
                <w:rFonts w:hint="eastAsia" w:ascii="宋体" w:hAnsi="宋体" w:eastAsia="宋体" w:cs="宋体"/>
                <w:i w:val="0"/>
                <w:iCs w:val="0"/>
                <w:color w:val="000000"/>
                <w:kern w:val="0"/>
                <w:sz w:val="22"/>
                <w:szCs w:val="22"/>
                <w:highlight w:val="none"/>
                <w:u w:val="none"/>
                <w:lang w:val="en-US" w:eastAsia="zh-CN" w:bidi="ar"/>
              </w:rPr>
              <w:t>31.41万元</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31.4万元</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财务管理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财务管理规范</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优</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highlight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jc w:val="right"/>
              <w:rPr>
                <w:highlight w:val="none"/>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jc w:val="right"/>
              <w:rPr>
                <w:highlight w:val="none"/>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优</w:t>
            </w: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资产管理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资产配置预算偏离度</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77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018"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04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111"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c>
          <w:tcPr>
            <w:tcW w:w="1931"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eastAsia="宋体" w:cs="宋体"/>
                <w:color w:val="000000"/>
                <w:kern w:val="0"/>
                <w:sz w:val="24"/>
                <w:highlight w:val="none"/>
              </w:rPr>
            </w:pPr>
          </w:p>
        </w:tc>
      </w:tr>
      <w:tr>
        <w:tblPrEx>
          <w:tblCellMar>
            <w:top w:w="0" w:type="dxa"/>
            <w:left w:w="108" w:type="dxa"/>
            <w:bottom w:w="0" w:type="dxa"/>
            <w:right w:w="108" w:type="dxa"/>
          </w:tblCellMar>
        </w:tblPrEx>
        <w:trPr>
          <w:trHeight w:val="90"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采购管理</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采购执行率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777"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045"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11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100%</w:t>
            </w:r>
          </w:p>
        </w:tc>
      </w:tr>
      <w:tr>
        <w:tblPrEx>
          <w:tblCellMar>
            <w:top w:w="0" w:type="dxa"/>
            <w:left w:w="108" w:type="dxa"/>
            <w:bottom w:w="0" w:type="dxa"/>
            <w:right w:w="108" w:type="dxa"/>
          </w:tblCellMar>
        </w:tblPrEx>
        <w:trPr>
          <w:trHeight w:val="468" w:hRule="atLeast"/>
          <w:jc w:val="center"/>
        </w:trPr>
        <w:tc>
          <w:tcPr>
            <w:tcW w:w="331"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履职效能</w:t>
            </w:r>
          </w:p>
        </w:tc>
        <w:tc>
          <w:tcPr>
            <w:tcW w:w="59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一级指标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二级指标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三级指标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r>
              <w:rPr>
                <w:rFonts w:hint="eastAsia" w:ascii="宋体" w:hAnsi="宋体" w:eastAsia="宋体" w:cs="宋体"/>
                <w:color w:val="000000"/>
                <w:kern w:val="0"/>
                <w:sz w:val="24"/>
                <w:highlight w:val="none"/>
              </w:rPr>
              <w:t>指标值（包含数字及文字描述）</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稳步提升旅游产业，增强接待能力</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景区接待游客人数≥2万人次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产出指标</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none"/>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抓紧抓实党建、党政工作，持续筑牢思想根基</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党政班子集中学习，组织各个党支部书记召开党建工作会议≥10次/年</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none"/>
              </w:rPr>
            </w:pPr>
            <w:r>
              <w:rPr>
                <w:rFonts w:hint="eastAsia" w:ascii="宋体" w:hAnsi="宋体" w:eastAsia="宋体" w:cs="宋体"/>
                <w:i w:val="0"/>
                <w:iCs w:val="0"/>
                <w:color w:val="000000"/>
                <w:kern w:val="0"/>
                <w:sz w:val="22"/>
                <w:szCs w:val="22"/>
                <w:highlight w:val="none"/>
                <w:u w:val="none"/>
                <w:lang w:val="en-US" w:eastAsia="zh-CN" w:bidi="ar"/>
              </w:rPr>
              <w:t>产出指标</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yellow"/>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效益指标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社会效益指标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提升群众生活幸福感、满意度</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群众满意度≥98%</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效益指标</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yellow"/>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保障在职干部、村组（社区）干部工资、保险足额按时发放缴纳</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村（社区）干部137人，确保村干部工资发放、保险按时有序缴纳，保障村干部基本生活；在职干部职工43人，确保按时发放工资和保险缴纳覆盖率100%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r>
      <w:tr>
        <w:tblPrEx>
          <w:tblCellMar>
            <w:top w:w="0" w:type="dxa"/>
            <w:left w:w="108" w:type="dxa"/>
            <w:bottom w:w="0" w:type="dxa"/>
            <w:right w:w="108" w:type="dxa"/>
          </w:tblCellMar>
        </w:tblPrEx>
        <w:trPr>
          <w:trHeight w:val="29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yellow"/>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开展廉政课堂活动、培训，对干部进行警示教育</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全年开展廉政教育次数≥8次</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r>
      <w:tr>
        <w:tblPrEx>
          <w:tblCellMar>
            <w:top w:w="0" w:type="dxa"/>
            <w:left w:w="108" w:type="dxa"/>
            <w:bottom w:w="0" w:type="dxa"/>
            <w:right w:w="108" w:type="dxa"/>
          </w:tblCellMar>
        </w:tblPrEx>
        <w:trPr>
          <w:trHeight w:val="306" w:hRule="atLeast"/>
          <w:jc w:val="center"/>
        </w:trPr>
        <w:tc>
          <w:tcPr>
            <w:tcW w:w="331" w:type="dxa"/>
            <w:vMerge w:val="continue"/>
            <w:tcBorders>
              <w:top w:val="single" w:color="000000" w:sz="4" w:space="0"/>
              <w:left w:val="single" w:color="000000" w:sz="4" w:space="0"/>
              <w:bottom w:val="single" w:color="000000" w:sz="4" w:space="0"/>
              <w:right w:val="single" w:color="000000" w:sz="4" w:space="0"/>
            </w:tcBorders>
            <w:noWrap/>
            <w:vAlign w:val="center"/>
          </w:tcPr>
          <w:p>
            <w:pPr>
              <w:widowControl/>
              <w:spacing w:line="240" w:lineRule="exact"/>
              <w:jc w:val="center"/>
              <w:textAlignment w:val="center"/>
              <w:rPr>
                <w:rFonts w:ascii="宋体" w:hAnsi="宋体" w:eastAsia="宋体" w:cs="宋体"/>
                <w:color w:val="000000"/>
                <w:kern w:val="0"/>
                <w:sz w:val="24"/>
                <w:highlight w:val="yellow"/>
              </w:rPr>
            </w:pPr>
          </w:p>
        </w:tc>
        <w:tc>
          <w:tcPr>
            <w:tcW w:w="59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数量指标</w:t>
            </w:r>
          </w:p>
        </w:tc>
        <w:tc>
          <w:tcPr>
            <w:tcW w:w="1246"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保障机关正常运转率</w:t>
            </w:r>
          </w:p>
        </w:tc>
        <w:tc>
          <w:tcPr>
            <w:tcW w:w="4754" w:type="dxa"/>
            <w:gridSpan w:val="5"/>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严格控制“三公”经费，机关运转率＝100%</w:t>
            </w:r>
          </w:p>
        </w:tc>
        <w:tc>
          <w:tcPr>
            <w:tcW w:w="1931"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ascii="宋体" w:hAnsi="宋体" w:eastAsia="宋体" w:cs="宋体"/>
                <w:color w:val="000000"/>
                <w:kern w:val="0"/>
                <w:sz w:val="24"/>
                <w:highlight w:val="yellow"/>
              </w:rPr>
            </w:pPr>
            <w:r>
              <w:rPr>
                <w:rFonts w:hint="eastAsia" w:ascii="宋体" w:hAnsi="宋体" w:eastAsia="宋体" w:cs="宋体"/>
                <w:i w:val="0"/>
                <w:iCs w:val="0"/>
                <w:color w:val="000000"/>
                <w:kern w:val="0"/>
                <w:sz w:val="22"/>
                <w:szCs w:val="22"/>
                <w:u w:val="none"/>
                <w:lang w:val="en-US" w:eastAsia="zh-CN" w:bidi="ar"/>
              </w:rPr>
              <w:t>产出指标</w:t>
            </w:r>
          </w:p>
        </w:tc>
      </w:tr>
    </w:tbl>
    <w:p>
      <w:pPr>
        <w:rPr>
          <w:rFonts w:eastAsia="黑体"/>
          <w:sz w:val="24"/>
          <w:highlight w:val="yellow"/>
        </w:rPr>
      </w:pPr>
    </w:p>
    <w:p>
      <w:pPr>
        <w:rPr>
          <w:rFonts w:eastAsia="黑体"/>
          <w:highlight w:val="yellow"/>
        </w:rPr>
      </w:pPr>
      <w:r>
        <w:rPr>
          <w:rFonts w:eastAsia="黑体"/>
          <w:highlight w:val="yellow"/>
        </w:rPr>
        <w:br w:type="page"/>
      </w:r>
    </w:p>
    <w:p>
      <w:pPr>
        <w:pStyle w:val="8"/>
        <w:spacing w:after="0" w:line="578" w:lineRule="exact"/>
        <w:ind w:left="0" w:leftChars="0" w:firstLine="0" w:firstLineChars="0"/>
        <w:rPr>
          <w:rFonts w:ascii="Times New Roman" w:eastAsia="黑体"/>
          <w:szCs w:val="24"/>
        </w:rPr>
      </w:pPr>
      <w:r>
        <w:rPr>
          <w:rFonts w:ascii="Times New Roman" w:eastAsia="黑体"/>
          <w:szCs w:val="24"/>
        </w:rPr>
        <w:t>附表</w:t>
      </w:r>
      <w:r>
        <w:rPr>
          <w:rFonts w:hint="eastAsia" w:ascii="Times New Roman" w:eastAsia="黑体"/>
          <w:szCs w:val="24"/>
        </w:rPr>
        <w:t>3</w:t>
      </w:r>
    </w:p>
    <w:p>
      <w:pPr>
        <w:widowControl/>
        <w:spacing w:line="578" w:lineRule="exact"/>
        <w:jc w:val="center"/>
        <w:textAlignment w:val="center"/>
        <w:rPr>
          <w:rFonts w:eastAsia="方正小标宋简体"/>
          <w:color w:val="000000"/>
          <w:kern w:val="0"/>
          <w:sz w:val="44"/>
          <w:szCs w:val="44"/>
        </w:rPr>
      </w:pPr>
    </w:p>
    <w:p>
      <w:pPr>
        <w:widowControl/>
        <w:spacing w:line="578" w:lineRule="exact"/>
        <w:jc w:val="center"/>
        <w:textAlignment w:val="center"/>
        <w:rPr>
          <w:rFonts w:eastAsia="方正小标宋简体"/>
          <w:color w:val="000000"/>
          <w:kern w:val="0"/>
          <w:sz w:val="44"/>
          <w:szCs w:val="44"/>
        </w:rPr>
      </w:pPr>
      <w:r>
        <w:rPr>
          <w:rFonts w:eastAsia="方正小标宋简体"/>
          <w:color w:val="000000"/>
          <w:kern w:val="0"/>
          <w:sz w:val="44"/>
          <w:szCs w:val="44"/>
        </w:rPr>
        <w:t>部门预算项目支出绩效评价表</w:t>
      </w:r>
    </w:p>
    <w:p>
      <w:pPr>
        <w:widowControl/>
        <w:spacing w:line="578" w:lineRule="exact"/>
        <w:jc w:val="center"/>
        <w:textAlignment w:val="center"/>
        <w:rPr>
          <w:rFonts w:eastAsia="方正小标宋简体"/>
          <w:color w:val="000000"/>
          <w:kern w:val="0"/>
          <w:szCs w:val="32"/>
        </w:rPr>
      </w:pPr>
      <w:r>
        <w:rPr>
          <w:rFonts w:eastAsia="方正小标宋简体"/>
          <w:color w:val="000000"/>
          <w:kern w:val="0"/>
          <w:szCs w:val="32"/>
        </w:rPr>
        <w:t>（202</w:t>
      </w:r>
      <w:r>
        <w:rPr>
          <w:rFonts w:hint="eastAsia" w:eastAsia="方正小标宋简体"/>
          <w:color w:val="000000"/>
          <w:kern w:val="0"/>
          <w:szCs w:val="32"/>
        </w:rPr>
        <w:t>5</w:t>
      </w:r>
      <w:r>
        <w:rPr>
          <w:rFonts w:eastAsia="方正小标宋简体"/>
          <w:color w:val="000000"/>
          <w:kern w:val="0"/>
          <w:szCs w:val="32"/>
        </w:rPr>
        <w:t>年度）</w:t>
      </w:r>
    </w:p>
    <w:tbl>
      <w:tblPr>
        <w:tblStyle w:val="14"/>
        <w:tblpPr w:leftFromText="180" w:rightFromText="180" w:vertAnchor="text" w:horzAnchor="page" w:tblpXSpec="center" w:tblpY="1155"/>
        <w:tblOverlap w:val="never"/>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76"/>
        <w:gridCol w:w="1147"/>
        <w:gridCol w:w="970"/>
        <w:gridCol w:w="1284"/>
        <w:gridCol w:w="396"/>
        <w:gridCol w:w="907"/>
        <w:gridCol w:w="436"/>
        <w:gridCol w:w="891"/>
        <w:gridCol w:w="486"/>
        <w:gridCol w:w="486"/>
        <w:gridCol w:w="147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7" w:hRule="atLeast"/>
          <w:jc w:val="center"/>
        </w:trPr>
        <w:tc>
          <w:tcPr>
            <w:tcW w:w="2393" w:type="pct"/>
            <w:gridSpan w:val="4"/>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C0C0C0"/>
                <w:sz w:val="20"/>
                <w:szCs w:val="20"/>
                <w:u w:val="none"/>
              </w:rPr>
            </w:pPr>
            <w:r>
              <w:rPr>
                <w:rFonts w:ascii="宋体" w:hAnsi="宋体" w:eastAsia="宋体" w:cs="宋体"/>
                <w:i w:val="0"/>
                <w:iCs w:val="0"/>
                <w:color w:val="C0C0C0"/>
                <w:kern w:val="0"/>
                <w:sz w:val="20"/>
                <w:szCs w:val="20"/>
                <w:u w:val="none"/>
                <w:lang w:val="en-US" w:eastAsia="zh-CN" w:bidi="ar"/>
              </w:rPr>
              <w:t>报表编号：510000_0013zp</w:t>
            </w:r>
          </w:p>
        </w:tc>
        <w:tc>
          <w:tcPr>
            <w:tcW w:w="184" w:type="pct"/>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1164" w:type="pct"/>
            <w:gridSpan w:val="3"/>
            <w:tcBorders>
              <w:top w:val="nil"/>
              <w:left w:val="nil"/>
              <w:bottom w:val="nil"/>
              <w:right w:val="nil"/>
            </w:tcBorders>
            <w:shd w:val="clear" w:color="auto" w:fill="auto"/>
            <w:vAlign w:val="center"/>
          </w:tcPr>
          <w:p>
            <w:pPr>
              <w:rPr>
                <w:rFonts w:hint="eastAsia" w:ascii="宋体" w:hAnsi="宋体" w:eastAsia="宋体" w:cs="宋体"/>
                <w:i w:val="0"/>
                <w:iCs w:val="0"/>
                <w:color w:val="000000"/>
                <w:sz w:val="20"/>
                <w:szCs w:val="20"/>
                <w:u w:val="none"/>
              </w:rPr>
            </w:pPr>
          </w:p>
        </w:tc>
        <w:tc>
          <w:tcPr>
            <w:tcW w:w="178" w:type="pct"/>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172" w:type="pct"/>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c>
          <w:tcPr>
            <w:tcW w:w="906" w:type="pct"/>
            <w:tcBorders>
              <w:top w:val="nil"/>
              <w:left w:val="nil"/>
              <w:bottom w:val="nil"/>
              <w:right w:val="nil"/>
            </w:tcBorders>
            <w:shd w:val="clear" w:color="auto" w:fill="auto"/>
            <w:noWrap/>
            <w:vAlign w:val="center"/>
          </w:tcPr>
          <w:p>
            <w:pPr>
              <w:rPr>
                <w:rFonts w:hint="eastAsia" w:ascii="宋体" w:hAnsi="宋体" w:eastAsia="宋体" w:cs="宋体"/>
                <w:i w:val="0"/>
                <w:iCs w:val="0"/>
                <w:color w:val="000000"/>
                <w:sz w:val="22"/>
                <w:szCs w:val="22"/>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51322822T000006217845-2022年芦花镇谷汝村安全饮水项目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新建蓄水池1座，新建取水口1座，9座主管减压阀井，3座支管减压阀井，加药间1间，安装管道24.1Km</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新建蓄水池1座，新建取水口1座，9座主管减压阀井，3座支管减压阀井，加药间1间，安装管道24.1Km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新建蓄水池1座，新建取水口1座，9座主管减压阀井，3座支管减压阀井，加药间1间，安装管道24.1Km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1.39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新建蓄水池1座，新建取水口1座</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9座主管减压阀井，3座支管减压阀井</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加药间1间</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安装管道24.1Km</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km</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为保障谷汝村老百姓用水安全提升管道设施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提高群众生活质量水平</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项目计划总投资290万元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51322822T000006218015-黑水县2021年第二批中央财政衔接推进乡村振兴补助资金以工代赈项目-续建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新改建生产作业道3.8公里，入口桥面提升1.18公里，灌溉渠系2.2公里，游步道0.9公里，蓄水池1个，地标导视，农旅融合发展配套建设750平方米</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新改建生产作业道3.8公里，入口桥面提升1.18公里，灌溉渠系2.2公里，游步道0.9公里，蓄水池1个，地标导视，农旅融合发展配套建设750平方米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新改建生产作业道3.8公里，入口桥面提升1.18公里，灌溉渠系2.2公里，游步道0.9公里，蓄水池1个，地标导视，农旅融合发展配套建设750平方米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地标导视，农旅融合发展配套建设750平方米</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新改建生产作业道3.8公里，入口桥面提升1.18公里，灌溉渠系2.2公里，游步道0.9公里</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8.08</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公里</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8.08</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蓄水池1个</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提升铁别村旅游基础设施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提升铁别村旅游基础设施，增加老百姓收入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优良中低差</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项目预计总投资260万元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51322823T000007750599-村级公共运行维护费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8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组织活动和公共服务运行补助经费（以下简称基层活动和运行经费），从2016年起，将基层组织活动经费、农村公共运行维护经费和村办公经费加以统筹整合，是指省、州、县三级政府在本级财政年度预算中安排给基层组织，用于开展基层组织活动、党组织标准化规范化建设、农村公共服务运行维护和村级日常办公运转的一般性转移支付资金。芦花镇村基层组织活动和公共运行维护主要用于基层党组织开展工作和活动，各村（社区）15万元标准（其中上级补助12.5万元/村（社区），县级2.5万元/村（社区））</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基层组织活动和公共服务运行补助经费（以下简称基层活动和运行经费），从2016年起，将基层组织活动经费、农村公共运行维护经费和村办公经费加以统筹整合，是指省、州、县三级政府在本级财政年度预算中安排给基层组织，用于开展基层组织活动、党组织标准化规范化建设、农村公共服务运行维护和村级日常办公运转的一般性转移支付资金。芦花镇村基层组织活动和公共运行维护主要用于基层党组织开展工作和活动，各村（社区）15万元标准（其中上级补助12.5万元/村（社区），县级2.5万元/村（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组织活动和公共服务运行补助经费（以下简称基层活动和运行经费），从2016年起，将基层组织活动经费、农村公共运行维护经费和村办公经费加以统筹整合，是指省、州、县三级政府在本级财政年度预算中安排给基层组织，用于开展基层组织活动、党组织标准化规范化建设、农村公共服务运行维护和村级日常办公运转的一般性转移支付资金。芦花镇村基层组织活动和公共运行维护主要用于基层党组织开展工作和活动，各村（社区）15万元标准（其中上级补助12.5万元/村（社区），县级2.5万元/村（社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95.93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95.93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75.00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95.93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95.93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保障全镇各个社区日常运转</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上级补助资金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社区基层组织活动和公共运行维护经费</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县级补助资金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万元/村</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保障全镇各个行政村日常运转</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建设项目达到验收标准</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保障村级建设,维护维修后利用率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保障各个行政村和社区经费按时发放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强化基层组织政治功能和服务功能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51322823T000007751511-人大代表工作经费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人大代表工作经费</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人大代表工作经费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人大代表人数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保障经费足额保障率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保障全镇工作开展积极性</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51322823T000007751746-驻村工作队专项工作经费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工作队经费，2024年芦花镇热拉村3*5000=15000元,英博村3*5000=15000元,德石窝村1*5000=5000元，二古鲁村1*5000=5000元，共4万元；2025年：热拉村：3*5000=15000元；英搏村：3*5000=15000元；谷汝村：1*5000=5000元；德石窝村：1*5000=5000元；二古鲁村：1*5000=5000元；共计9人，45000元。</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2025年：热拉村：3*5000=15000元；英搏村：3*5000=15000元；谷汝村：1*5000=5000元；德石窝村：1*5000=5000元；二古鲁村：1*5000=5000元；共计9人，45000元。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2025年：热拉村：3*5000=15000元；英搏村：3*5000=15000元；谷汝村：1*5000=5000元；德石窝村：1*5000=5000元；二古鲁村：1*5000=5000元；共计9人，45000元。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4.34</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96.40%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4.34</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96.40%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驻村工作队经费预算资金按照5000元/人.年，共计8人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驻村工作队(热拉、英搏、德石窝、二古鲁)</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驻村工作队人数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人次</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保障全镇驻村工作队工作经费足额保障率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保障全镇驻村工作队队员工作开展积极性</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51322823T000009247221-2022年度达古冰山景区旅游管理资金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每年度达古冰山景区旅游管理资金20万元，认真用好管理资金，积极开展自然环境保护，配合做好旅游管理和游客服务等。</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每年度达古冰山景区旅游管理资金20万元，认真用好管理资金，积极开展自然环境保护，配合做好旅游管理和游客服务等。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每年度达古冰山景区旅游管理资金20万元，认真用好管理资金，积极开展自然环境保护，配合做好旅游管理和游客服务等。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达古冰山景区旅游管理资金20万元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达古冰山景区旅游管理资金分红431人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431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平均每人232元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元/人年</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232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促进景区发展、助力脱贫攻坚</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配合做好旅游管理和游客服务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提升景区名气，提高经济发展</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解决景区群众增收难题</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每年度达古冰山景区旅游管理资金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51322823T000009272565-2023年芦花镇安全饮水项目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完成芦花镇部分村的农村安全饮水设施：重建50立方米蓄水池2口、40立方米蓄水池1口、20立方米蓄水池5口、10立方米蓄水池2口，重建截流取水2处、重建山泉取水池5处，更换管道11835米</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完成芦花镇部分村的农村安全饮水设施：重建50立方米蓄水池2口、40立方米蓄水池1口、20立方米蓄水池5口、10立方米蓄水池2口，重建截流取水2处、重建山泉取水池5处，更换管道11835米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完成芦花镇部分村的农村安全饮水设施：重建50立方米蓄水池2口、40立方米蓄水池1口、20立方米蓄水池5口、10立方米蓄水池2口，重建截流取水2处、重建山泉取水池5处，更换管道11835米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0.73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重建截流取水2处、重建山泉取水池5处</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重建50立方米蓄水池2口、40立方米蓄水池1口、20立方米蓄水池5口、10立方米蓄水池2口</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更换管道11835米</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11835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11835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安全饮水设施涉及村（热拉村、泽盖村、三达古村）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完成安全饮水设施建设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提高群众生活质量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项目计划总投资200万元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51322823T000009272601-2023年芦花镇罗坝街生产道路硬化项目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完成罗坝街村生产道路的提升改造任务：提升改造罗坝街产业道路5km，完善排水沟、挡墙等设施</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完成罗坝街村生产道路的提升改造任务：提升改造罗坝街产业道路5km，完善排水沟、挡墙等设施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完成罗坝街村生产道路的提升改造任务：提升改造罗坝街产业道路5km，完善排水沟、挡墙等设施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完善排水沟、挡墙等设施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提升改造罗坝街产业道路5km</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千米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完成生产道路提升改造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提高群众生活质量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项目计划总投资100万元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51322823T000009272616-芦花镇谷汝村入户路建设项目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硬化混凝土道路1531.5平方米</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硬化混凝土道路1531.5平方米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硬化混凝土道路1531.5平方米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涉及村数量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硬化混凝土道路1531.5平方米</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1531.5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1531.5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完善入户路建设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提高群众生活质量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项目计划总投资20万元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51322824T000010042451-铁别村集体经济建设项目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新建一栋240平方米牛舍及安装配套附属设施</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新建一栋240平方米牛舍及安装配套附属设施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新建一栋240平方米牛舍及安装配套附属设施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新建一栋240平方米牛舍及安装配套附属设施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240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符合国家设计建设标准</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2023年10月开工，12月完工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用于该村发展壮大村集体经济</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帮扶对象满意度指标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农户收入增收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用于壮大铁别村集体经济</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51322824T000010365269-黑水县芦花镇泽盖村红色美丽村庄集体经济建设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泽盖村红色美丽村庄集体经济建设投入至县国投公司，与浙江君兰集体共同修建团结园酒店民宿</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泽盖村红色美丽村庄集体经济建设投入至县国投公司，与浙江君兰集体共同修建团结园酒店民宿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泽盖村红色美丽村庄集体经济建设投入至县国投公司，与浙江君兰集体共同修建团结园酒店民宿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修建团结园酒店民宿</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预计2024年年底完工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带动周边群众的致富</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群众满意度达标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51322824T000011676383-芦花镇入户路补短建设项目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完成芦花镇泽盖村、四美村、谷汝村等村约5千米入户路的建设任务</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完成芦花镇泽盖村、四美村、谷汝村等村约5千米入户路的建设任务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完成芦花镇泽盖村、四美村、谷汝村等村约5千米入户路的建设任务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5.96</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5.96</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建设入户路的长度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千米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建设入户路的厚度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项目按照国家标准行业规范完成建设任务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项目将在24年11月底前完成建设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改善群众的生产生活条件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建成后群众将极大改善出行条件，满意度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51322824T000011843611-芦花镇铁别村农旅融合基础设施补短建设项目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芦花镇铁别村农旅融合基础设施补短建设项目提档升级铁别村农产品展销中心约400平方米，新建木质结构厕所3处，新建装配式游客接待小屋，完善村内安全饮水等设施</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芦花镇铁别村农旅融合基础设施补短建设项目提档升级铁别村农产品展销中心约400平方米，新建木质结构厕所3处，新建装配式游客接待小屋，完善村内安全饮水等设施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芦花镇铁别村农旅融合基础设施补短建设项目提档升级铁别村农产品展销中心约400平方米，新建木质结构厕所3处，新建装配式游客接待小屋，完善村内安全饮水等设施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新建木质结构厕所</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提档升级农产品展销中心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项目按照行业标准及规范完成建设任务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项目于24年12月底前完成建设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项目建成后将带动村集体经济发展，每年增收3万元以上</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村内服务对象满意度达标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51322824T000011843650-芦花镇德石窝村安全饮水项目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芦花镇德石窝村安全饮水项目解决芦花镇德石窝村三个点位的用水问题，新建取水口3处，新建沉砂池一处，新建50立方米蓄水池1处、40立方米蓄水池一处、20立方米蓄水池一处，管道总计5629米</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芦花镇德石窝村安全饮水项目解决芦花镇德石窝村三个点位的用水问题，新建取水口3处，新建沉砂池一处，新建50立方米蓄水池1处、40立方米蓄水池一处、20立方米蓄水池一处，管道总计5629米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芦花镇德石窝村安全饮水项目解决芦花镇德石窝村三个点位的用水问题，新建取水口3处，新建沉砂池一处，新建50立方米蓄水池1处、40立方米蓄水池一处、20立方米蓄水池一处，管道总计5629米</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8.86</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8.86</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8.86</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新建取水口</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新建蓄水池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立方米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按照行业规范及标准完成建设任务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项目于24年12月底前完成建设任务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项目建成后将带动德石窝村集体经济发展，每年增收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村内服务对象满意度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51322825T000012195271-中央省国有企业退休人员社会化管理补助资金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芦花镇共计39人：（电力公司28人，邮政公司4人，电信7人），每人260元，共计10140元</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芦花镇共计39人：（电力公司28人，邮政公司4人，电信7人），每人260元，共计10140元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芦花镇共计39人：（电力公司28人，邮政公司4人，电信7人），每人260元，共计10140元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0.90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每人每年260元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元/人年</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芦花镇共计39人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保障企业退休人员社会化管理</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按时发放退休人员社会化管理补助资金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完成退休人员社会化管理</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国企退休人员满意度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退休人员社会化管理补助资金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51322825T000012983622-四美村乡村旅游基础设施配套建设项目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涉及征地占用农户28户退耕还林地，经测算，共需补偿费用397275元。</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涉及征地占用农户28户退耕还林地，经测算，共需补偿费用397275元。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涉及征地占用农户28户退耕还林地，经测算，共需补偿费用397275元。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3.12</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3.12</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3.12</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涉及征地占用农户28户退耕还林地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户</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28</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按文件保量拨付补偿款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及时拨付资金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对占地农户补偿费用</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提高本村生态环境</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提高四美村群众对生态环境的满意度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涉及征地占用农户28户退耕还林地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397275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397275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51322825T000013073935-芦花镇三达古村危桥重建项目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芦花镇三达古危桥重建项目内容及规模为：拆除重建桥梁1座，桥面宽度5.5m，桥梁总长32m,配套桥台两侧挡土墙及桥头道路等相关附属工程。</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芦花镇三达古危桥重建项目内容及规模为：拆除重建桥梁1座，桥面宽度5.5m，桥梁总长32m,配套桥台两侧挡土墙及桥头道路等相关附属工程。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芦花镇三达古危桥重建项目内容及规模为：拆除重建桥梁1座，桥面宽度5.5m，桥梁总长32m,配套桥台两侧挡土墙及桥头道路等相关附属工程。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143.10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143.10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143.10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143.10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拆除重建桥梁1座</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桥梁总长32m</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桥面宽度5.5m</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2025年11月完工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提高群众生活质量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芦花镇三达古危桥重建项目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186.69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186.69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51322825T000013113899-乡镇武装工作经费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乡镇武装工作经费5万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乡镇武装工作经费5万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乡镇武装工作经费5万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1.98</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1.98</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1.98</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1.98</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战备器材库房占地面积</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资料室占地面积</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办公室占地面积</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活动室建设数量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专武部长：专务干事</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战备器材库房建设数量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活动室占地面积</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基层武装阵地建设</w:t>
            </w:r>
            <w:bookmarkStart w:id="1" w:name="_GoBack"/>
            <w:bookmarkEnd w:id="1"/>
            <w:r>
              <w:rPr>
                <w:rFonts w:ascii="宋体" w:hAnsi="宋体" w:eastAsia="宋体" w:cs="宋体"/>
                <w:i w:val="0"/>
                <w:iCs w:val="0"/>
                <w:color w:val="000000"/>
                <w:kern w:val="0"/>
                <w:sz w:val="18"/>
                <w:szCs w:val="18"/>
                <w:u w:val="none"/>
                <w:lang w:val="en-US" w:eastAsia="zh-CN" w:bidi="ar"/>
              </w:rPr>
              <w:t>数量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基层武装阵地建设项目合格率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按时发放武装经费</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提升基层武装建设力量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民兵满意度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项目资金投入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51322825T000013225199-村干部工资（新）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30"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村干部基本报酬和误工补贴纳入县对乡镇转移支付补助计算，由各乡镇纳入乡镇财政预算子以足额保障。村常职干部养老保险补贴、医疗保险补贴由各乡镇每年 12月中旬前，汇总村常职干部养老保险、医疗保险缴纳情況报县财政局并及时拨付补贴资金。村干部意外伤害保险补助资金由县级财政解决，具体由民政局负责实施。共111名村干部，51名常职干部。</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村干部基本报酬和误工补贴纳入县对乡镇转移支付补助计算，由各乡镇纳入乡镇财政预算子以足额保障。村常职干部养老保险补贴、医疗保险补贴由各乡镇每年 12月中旬前，汇总村常职干部养老保险、医疗保险缴纳情況报县财政局并及时拨付补贴资金。村干部意外伤害保险补助资金由县级财政解决，具体由民政局负责实施。共111名村干部，51名常职干部。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村干部基本报酬和误工补贴纳入县对乡镇转移支付补助计算，由各乡镇纳入乡镇财政预算子以足额保障。村常职干部养老保险补贴、医疗保险补贴由各乡镇每年 12月中旬前，汇总村常职干部养老保险、医疗保险缴纳情況报县财政局并及时拨付补贴资金。村干部意外伤害保险补助资金由县级财政解决，具体由民政局负责实施。共111名村干部，51名常职干部。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303.32</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299.10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299.10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303.32</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299.10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299.10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村组干部意外保险购买人数111人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村干部绩效发放人数111人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村干部基本工资发放人数111人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常职干部养老保险及医保购买人数51人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村干部年底考核合格率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村干部工资、绩效按时按序发放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努力推动各项事业实现更好更快发展</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确保服务村干部满意度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村干部工资</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303.321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303.321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51322825T000013225235-社区干部工资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xml:space="preserve">社区基本报酬和误工补贴纳入县对乡镇转移支付补助计算，由各乡镇纳入乡镇财政预算子以足额保障。 </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 xml:space="preserve">社区基本报酬和误工补贴纳入县对乡镇转移支付补助计算，由各乡镇纳入乡镇财政预算子以足额保障。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 xml:space="preserve">社区基本报酬和误工补贴纳入县对乡镇转移支付补助计算，由各乡镇纳入乡镇财政预算子以足额保障。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106.56</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100.23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100.23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106.56</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100.23</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100.23</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社区干部人数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26</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社区干部考核达标率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保障干部工资、绩效按时按序发放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努力推动各项事业实现更好更快发展发放序发放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社区干部工资</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106.5555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106.5555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51322825T000013575611-芦花镇德石窝村集体经济查漏补缺项目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完成德石窝村新型农村集体经济查漏补缺项目采购</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完成德石窝村新型农村集体经济查漏补缺项目采购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完成德石窝村新型农村集体经济查漏补缺项目采购</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45.27</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45.27</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45.27</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45.27</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购置厨房设备等用具</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符合行业及国家相关标准，达到使用条件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项目于2025年6月前完成建设</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项目建成后将为德石窝村每年增加收入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项目建成后德石窝村村民满意度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项目采购预算不超过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60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51322825T000013725269-基层人大践行全过程人民民主专项经费项目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人大为了加快我镇人大践行全过程人民民主实践基地建设，推动实践基地成为人大制度优势发挥充分、人大代表作用发挥明显、基层民主建设鲜活生动、社会治理成效突出的区域，突出我镇人大践行全过程人民民主的软件和硬件，营造基层民主氛围，充分展示我镇推进全过程人民民主实践取得的成效。</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人大为了加快我镇人大践行全过程人民民主实践基地建设，推动实践基地成为人大制度优势发挥充分、人大代表作用发挥明显、基层民主建设鲜活生动、社会治理成效突出的区域，突出我镇人大践行全过程人民民主的软件和硬件，营造基层民主氛围，充分展示我镇推进全过程人民民主实践取得的成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人大为了加快我镇人大践行全过程人民民主实践基地建设，推动实践基地成为人大制度优势发挥充分、人大代表作用发挥明显、基层民主建设鲜活生动、社会治理成效突出的区域，突出我镇人大践行全过程人民民主的软件和硬件，营造基层民主氛围，充分展示我镇推进全过程人民民主实践取得的成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8.30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印发宣传手册、会务资料数量</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份</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打造人大之家点位</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打造人大代表联络站</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保质保量完成任务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规定时效内完成任务</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提高履职或服务效率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可持续影响指标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对未来可持续发展影响</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参加代表满意度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项目资金投入</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51322825T000013789204-芦花镇谷汝村支部党建结对共建帮扶资金项目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主要用于谷汝村党员干部与交通运输部帮扶组联学共建、党员能力提升、党员综合素质培养等，助力</w:t>
            </w:r>
            <w:r>
              <w:rPr>
                <w:rFonts w:hint="eastAsia" w:ascii="宋体" w:hAnsi="宋体" w:eastAsia="宋体" w:cs="宋体"/>
                <w:i w:val="0"/>
                <w:iCs w:val="0"/>
                <w:color w:val="000000"/>
                <w:kern w:val="0"/>
                <w:sz w:val="18"/>
                <w:szCs w:val="18"/>
                <w:u w:val="none"/>
                <w:lang w:val="en-US" w:eastAsia="zh-CN" w:bidi="ar"/>
              </w:rPr>
              <w:t>基层党组织建设</w:t>
            </w:r>
            <w:r>
              <w:rPr>
                <w:rFonts w:ascii="宋体" w:hAnsi="宋体" w:eastAsia="宋体" w:cs="宋体"/>
                <w:i w:val="0"/>
                <w:iCs w:val="0"/>
                <w:color w:val="000000"/>
                <w:kern w:val="0"/>
                <w:sz w:val="18"/>
                <w:szCs w:val="18"/>
                <w:u w:val="none"/>
                <w:lang w:val="en-US" w:eastAsia="zh-CN" w:bidi="ar"/>
              </w:rPr>
              <w:t>，服务乡村全面振兴。</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主要用于谷汝村党员干部与交通运输部帮扶组联学共建、党员能力提升、党员综合素质培养等，助力基层党组织建设，服务乡村全面振兴。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主要用于谷汝村党员干部与交通运输部帮扶组联学共建、党员能力提升、党员综合素质培养等，助力</w:t>
            </w:r>
            <w:r>
              <w:rPr>
                <w:rFonts w:hint="eastAsia" w:ascii="宋体" w:hAnsi="宋体" w:eastAsia="宋体" w:cs="宋体"/>
                <w:i w:val="0"/>
                <w:iCs w:val="0"/>
                <w:color w:val="000000"/>
                <w:kern w:val="0"/>
                <w:sz w:val="18"/>
                <w:szCs w:val="18"/>
                <w:u w:val="none"/>
                <w:lang w:val="en-US" w:eastAsia="zh-CN" w:bidi="ar"/>
              </w:rPr>
              <w:t>基层党组织建设</w:t>
            </w:r>
            <w:r>
              <w:rPr>
                <w:rFonts w:ascii="宋体" w:hAnsi="宋体" w:eastAsia="宋体" w:cs="宋体"/>
                <w:i w:val="0"/>
                <w:iCs w:val="0"/>
                <w:color w:val="000000"/>
                <w:kern w:val="0"/>
                <w:sz w:val="18"/>
                <w:szCs w:val="18"/>
                <w:u w:val="none"/>
                <w:lang w:val="en-US" w:eastAsia="zh-CN" w:bidi="ar"/>
              </w:rPr>
              <w:t>，服务乡村全面振兴。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77.03%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77.03%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开展谷汝村党员干部与交通运输部帮扶组活动人数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人</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开展谷汝村党员干部与交通运输部帮扶组活动次数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次</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确保党员能力、综合素质提升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2025年完成活动</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助力</w:t>
            </w:r>
            <w:r>
              <w:rPr>
                <w:rFonts w:hint="eastAsia" w:ascii="宋体" w:hAnsi="宋体" w:eastAsia="宋体" w:cs="宋体"/>
                <w:i w:val="0"/>
                <w:iCs w:val="0"/>
                <w:color w:val="000000"/>
                <w:kern w:val="0"/>
                <w:sz w:val="18"/>
                <w:szCs w:val="18"/>
                <w:u w:val="none"/>
                <w:lang w:val="en-US" w:eastAsia="zh-CN" w:bidi="ar"/>
              </w:rPr>
              <w:t>基层党组织建设</w:t>
            </w:r>
            <w:r>
              <w:rPr>
                <w:rFonts w:ascii="宋体" w:hAnsi="宋体" w:eastAsia="宋体" w:cs="宋体"/>
                <w:i w:val="0"/>
                <w:iCs w:val="0"/>
                <w:color w:val="000000"/>
                <w:kern w:val="0"/>
                <w:sz w:val="18"/>
                <w:szCs w:val="18"/>
                <w:u w:val="none"/>
                <w:lang w:val="en-US" w:eastAsia="zh-CN" w:bidi="ar"/>
              </w:rPr>
              <w:t>，服务乡村全面振兴</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提高基层党员综合素质</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谷汝村支部党建结对共建帮扶资金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51322825T000013946105-黑水县芦花镇西布里社区移民后期扶持项目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完成芦花镇西布里社区移民后期扶持项目建设，改善社区基础设施，改善人居环境，提升群众幸福感</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完成芦花镇西布里社区移民后期扶持项目建设，改善社区基础设施，改善人居环境，提升群众幸福感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完成芦花镇西布里社区移民后期扶持项目建设，改善社区基础设施，改善人居环境，提升群众幸福感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127.80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127.80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127.80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127.80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完成燃气线路改造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km</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完成给排水改造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km</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完成电气线路改造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km</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完成道路改造</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km</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4.9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项目建设预计26年10月前完成</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项目建成后每年为西布里社区群众增收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项目建成后西布里社区群众满意度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项目工程总费用</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3500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51322825T000013988660-2025年党建结对共建帮扶资金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英搏村2025年党建结对共建帮扶资金建设内容：1、建设“三务”公开栏、制度上墙81平方米；2、改造提升党支部会议室80平方米（二楼阳台改造）；3、改造二楼地面110平方米；4、配置活动室办公桌椅10套、文件柜8个、一楼会议室椅子100张；5、改造国旗旗台1座。</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芦花镇英搏村2025年党建结对共建帮扶资金建设内容：1、建设“三务”公开栏、制度上墙81平方米；2、改造提升党支部会议室80平方米（二楼阳台改造）；3、改造二楼地面110平方米；4、配置活动室办公桌椅10套、文件柜8个、一楼会议室椅子100张；5、改造国旗旗台1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英搏村2025年党建结对共建帮扶资金建设内容：1、建设“三务”公开栏、制度上墙81平方米；2、改造提升党支部会议室80平方米（二楼阳台改造）；3、改造二楼地面110平方米；4、配置活动室办公桌椅10套、文件柜8个、一楼会议室椅子100张；5、改造国旗旗台1座。</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27.99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96.50%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27.99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96.50%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配置活动室办公桌椅</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配置活动室文件柜</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建设“三务”公开栏、制度上墙</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改造二楼地面</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改造提升党支部会议室</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平方米</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80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改造国旗旗台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座</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配置一楼会议室椅子</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张</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按质按量完成建设内容</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2025年完成项目建设内容</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提升群众认可度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群众满意度达标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芦花镇英搏村2025年党建结对共建帮扶资金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29</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51322825T000013997578-芦花镇泽盖村集体经济项目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完成芦花镇泽盖村集体经济项目采购工作</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完成芦花镇泽盖村集体经济项目采购工作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完成芦花镇泽盖村集体经济项目采购工作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59.99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59.99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59.99</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59.99</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采购基础类电器</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采购空气能热水、供暖主机设备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套</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项目符合国家相关标准</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定性</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良好</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项目建成后为泽盖村增加集体经济</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项目建成后为泽盖村增加就业岗位</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服务对象满意度指标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项目建成后泽盖村群众满意度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51322826T000014132642-芦花镇结对资金</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其中芦花镇镇结对资金15万元中10.7万元用于解决芦花镇涉及群众工资“石榴籽”工程重点户社会帮扶。</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其中芦花镇镇结对资金15万元中10.7万元用于解决芦花镇涉及群众工资“石榴籽”工程重点户社会帮扶。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其中芦花镇镇结对资金15万元中10.7万元用于解决芦花镇涉及群众工资“石榴籽”工程重点户社会帮扶。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涉及群众工作石榴籽”工程重点户户数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户</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37</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涉及村（社区）个数</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资金使用符合政策规定用途</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资金分配与帮扶对象实际需求匹配</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资金拨付及时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解决帮扶对象实际问题</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帮扶对象满意度指标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达到帮扶对象满意度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花镇涉及群众工资“石榴籽”工程重点户社会帮扶资金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10.7</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51322826T000014493358-村（社区）残协建设项目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村（社区）残协建设项目</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村（社区）残协建设项目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涉及村社区</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个</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保障全镇经费足额保障率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30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可持续发展指标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保障全镇工作开展积极性</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确保服务对象满意度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4" w:hRule="atLeast"/>
          <w:jc w:val="center"/>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宋体" w:eastAsia="黑体" w:cs="黑体"/>
                <w:b/>
                <w:bCs/>
                <w:i w:val="0"/>
                <w:iCs w:val="0"/>
                <w:color w:val="000000"/>
                <w:sz w:val="30"/>
                <w:szCs w:val="30"/>
                <w:u w:val="none"/>
              </w:rPr>
            </w:pPr>
            <w:r>
              <w:rPr>
                <w:rFonts w:hint="eastAsia" w:ascii="黑体" w:hAnsi="宋体" w:eastAsia="黑体" w:cs="黑体"/>
                <w:b/>
                <w:bCs/>
                <w:i w:val="0"/>
                <w:iCs w:val="0"/>
                <w:color w:val="000000"/>
                <w:kern w:val="0"/>
                <w:sz w:val="30"/>
                <w:szCs w:val="30"/>
                <w:u w:val="none"/>
                <w:lang w:val="en-US" w:eastAsia="zh-CN" w:bidi="ar"/>
              </w:rPr>
              <w:t>部门预算项目支出绩效自评表（2025年度）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项目名称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51322826T000014972037-芦花镇英搏村厨卫新建项目</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 w:hRule="atLeast"/>
          <w:jc w:val="center"/>
        </w:trPr>
        <w:tc>
          <w:tcPr>
            <w:tcW w:w="966"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主管部门</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w:t>
            </w:r>
          </w:p>
        </w:tc>
        <w:tc>
          <w:tcPr>
            <w:tcW w:w="386" w:type="pct"/>
            <w:tcBorders>
              <w:top w:val="nil"/>
              <w:left w:val="nil"/>
              <w:bottom w:val="nil"/>
              <w:right w:val="nil"/>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实施单位 （盖章）</w:t>
            </w:r>
          </w:p>
        </w:tc>
        <w:tc>
          <w:tcPr>
            <w:tcW w:w="1258"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黑水县芦花镇人民政府</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项目基本情况</w:t>
            </w: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1.项目年度目标完成情况</w:t>
            </w: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项目年度目标</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年度目标完成情况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08"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2389"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完善芦花镇英搏村厨房及厕所基本需求，提升改造英搏村办公条件</w:t>
            </w:r>
          </w:p>
        </w:tc>
        <w:tc>
          <w:tcPr>
            <w:tcW w:w="1644"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完善芦花镇英搏村厨房及厕所基本需求，提升改造英搏村办公条件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3"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2.项目实施内容及过程概述</w:t>
            </w:r>
          </w:p>
        </w:tc>
        <w:tc>
          <w:tcPr>
            <w:tcW w:w="4033" w:type="pct"/>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完善芦花镇英搏村厨房及厕所基本需求，提升改造英搏村办公条件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预算执行情况（10分）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年度预算数（万元）</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年初预算</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调整后预算数</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预算执行数</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预算执行率</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原因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6"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总额</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iCs/>
                <w:color w:val="000000"/>
                <w:sz w:val="18"/>
                <w:szCs w:val="18"/>
                <w:u w:val="none"/>
              </w:rPr>
            </w:pPr>
            <w:r>
              <w:rPr>
                <w:rFonts w:hint="eastAsia" w:ascii="黑体" w:hAnsi="黑体" w:eastAsia="黑体" w:cs="黑体"/>
                <w:i/>
                <w:iCs/>
                <w:color w:val="000000"/>
                <w:kern w:val="0"/>
                <w:sz w:val="18"/>
                <w:szCs w:val="18"/>
                <w:u w:val="none"/>
                <w:lang w:val="en-US" w:eastAsia="zh-CN" w:bidi="ar"/>
              </w:rPr>
              <w:t>1.预算执行率=预算执行数/调整后预算数，预算执行率未达到90%的需说明原因（100字以内）;2.年中发生预算调整的（追加或调减）,应单独说明理由；3.其他资金包括：社会投入资金、银行贷款.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9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其中：财政资金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7"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财政专户管理资金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1"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单位资金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0.00</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10.00</w:t>
            </w: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98.00%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其他资金</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962" w:type="pct"/>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90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黑体" w:hAnsi="黑体" w:eastAsia="黑体" w:cs="黑体"/>
                <w:i/>
                <w:iCs/>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绩效指标（90分）</w:t>
            </w: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一级指标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二级指标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三级指标</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指标性质</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指标值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度量单位</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完成值</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权重</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得分</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未完成原因分析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产出指标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数量指标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完善芦花镇英搏村厨房及厕所基本需求</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处</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质量指标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全面验收合格</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时效指标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按时完成项目</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月</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12</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效益指标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社会效益指标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提升改造英搏村办公条件</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9"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满意度指标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提高群众满意度</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95</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2" w:hRule="atLeast"/>
          <w:jc w:val="center"/>
        </w:trPr>
        <w:tc>
          <w:tcPr>
            <w:tcW w:w="24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成本指标</w:t>
            </w:r>
          </w:p>
        </w:tc>
        <w:tc>
          <w:tcPr>
            <w:tcW w:w="627"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经济成本指标</w:t>
            </w:r>
          </w:p>
        </w:tc>
        <w:tc>
          <w:tcPr>
            <w:tcW w:w="799"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芦花镇英搏村厨卫新建项目资金</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w:t>
            </w:r>
          </w:p>
        </w:tc>
        <w:tc>
          <w:tcPr>
            <w:tcW w:w="59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84"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万元</w:t>
            </w:r>
          </w:p>
        </w:tc>
        <w:tc>
          <w:tcPr>
            <w:tcW w:w="386"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微软雅黑" w:hAnsi="微软雅黑" w:eastAsia="微软雅黑" w:cs="微软雅黑"/>
                <w:i/>
                <w:iCs/>
                <w:color w:val="000000"/>
                <w:sz w:val="16"/>
                <w:szCs w:val="16"/>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3741" w:type="pct"/>
            <w:gridSpan w:val="8"/>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合计</w:t>
            </w:r>
          </w:p>
        </w:tc>
        <w:tc>
          <w:tcPr>
            <w:tcW w:w="178"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172"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100</w:t>
            </w:r>
          </w:p>
        </w:tc>
        <w:tc>
          <w:tcPr>
            <w:tcW w:w="906" w:type="pct"/>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评价结论</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此项目我镇自评总分100分，按照我镇实际情况，做到了执行项目的及时性，同时在项目管理上做到了督促监管，保证项目规范有序推进，项目运行效果显著。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2"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存在问题</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241" w:type="pc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改进措施</w:t>
            </w:r>
          </w:p>
        </w:tc>
        <w:tc>
          <w:tcPr>
            <w:tcW w:w="4758" w:type="pct"/>
            <w:gridSpan w:val="10"/>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微软雅黑" w:hAnsi="微软雅黑" w:eastAsia="微软雅黑" w:cs="微软雅黑"/>
                <w:i/>
                <w:iCs/>
                <w:color w:val="000000"/>
                <w:sz w:val="16"/>
                <w:szCs w:val="16"/>
                <w:u w:val="none"/>
              </w:rPr>
            </w:pPr>
            <w:r>
              <w:rPr>
                <w:rFonts w:hint="eastAsia" w:ascii="微软雅黑" w:hAnsi="微软雅黑" w:eastAsia="微软雅黑" w:cs="微软雅黑"/>
                <w:i/>
                <w:iCs/>
                <w:color w:val="000000"/>
                <w:kern w:val="0"/>
                <w:sz w:val="16"/>
                <w:szCs w:val="16"/>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577"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项目负责人：</w:t>
            </w:r>
          </w:p>
        </w:tc>
        <w:tc>
          <w:tcPr>
            <w:tcW w:w="2422" w:type="pct"/>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财务负责人：</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5000" w:type="pct"/>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1、报表说明:该报表查询项目信息、绩效目标信息、预算及执行情况，用于预算单位查询导出开展项目自评。</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5000" w:type="pct"/>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2、取数口径：部门项目绩效目标表信息，包括年初预算、追加预算、结转预算和调整预算的绩效目标（以项目的最终绩效目标为准）。</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5000" w:type="pct"/>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适用地区：全省范围</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5000" w:type="pct"/>
            <w:gridSpan w:val="11"/>
            <w:tcBorders>
              <w:top w:val="nil"/>
              <w:left w:val="nil"/>
              <w:bottom w:val="nil"/>
              <w:right w:val="nil"/>
            </w:tcBorders>
            <w:shd w:val="clear" w:color="auto" w:fill="auto"/>
            <w:vAlign w:val="center"/>
          </w:tcPr>
          <w:p>
            <w:pPr>
              <w:keepNext w:val="0"/>
              <w:keepLines w:val="0"/>
              <w:widowControl/>
              <w:suppressLineNumbers w:val="0"/>
              <w:jc w:val="left"/>
              <w:textAlignment w:val="center"/>
              <w:rPr>
                <w:rFonts w:ascii="宋体" w:hAnsi="宋体" w:eastAsia="宋体" w:cs="宋体"/>
                <w:i w:val="0"/>
                <w:iCs w:val="0"/>
                <w:color w:val="000000"/>
                <w:sz w:val="18"/>
                <w:szCs w:val="18"/>
                <w:u w:val="none"/>
              </w:rPr>
            </w:pPr>
            <w:r>
              <w:rPr>
                <w:rFonts w:ascii="宋体" w:hAnsi="宋体" w:eastAsia="宋体" w:cs="宋体"/>
                <w:i w:val="0"/>
                <w:iCs w:val="0"/>
                <w:color w:val="000000"/>
                <w:kern w:val="0"/>
                <w:sz w:val="18"/>
                <w:szCs w:val="18"/>
                <w:u w:val="none"/>
                <w:lang w:val="en-US" w:eastAsia="zh-CN" w:bidi="ar"/>
              </w:rPr>
              <w:t>适用用户：部门用户、单位用户</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 w:hRule="atLeast"/>
          <w:jc w:val="center"/>
        </w:trPr>
        <w:tc>
          <w:tcPr>
            <w:tcW w:w="241"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2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627"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799"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59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84"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38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8"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172"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c>
          <w:tcPr>
            <w:tcW w:w="906" w:type="pct"/>
            <w:tcBorders>
              <w:top w:val="nil"/>
              <w:left w:val="nil"/>
              <w:bottom w:val="nil"/>
              <w:right w:val="nil"/>
            </w:tcBorders>
            <w:shd w:val="clear" w:color="auto" w:fill="auto"/>
            <w:vAlign w:val="center"/>
          </w:tcPr>
          <w:p>
            <w:pPr>
              <w:rPr>
                <w:rFonts w:hint="eastAsia" w:ascii="宋体" w:hAnsi="宋体" w:eastAsia="宋体" w:cs="宋体"/>
                <w:i w:val="0"/>
                <w:iCs w:val="0"/>
                <w:color w:val="000000"/>
                <w:sz w:val="18"/>
                <w:szCs w:val="18"/>
                <w:u w:val="none"/>
              </w:rPr>
            </w:pPr>
          </w:p>
        </w:tc>
      </w:tr>
    </w:tbl>
    <w:p>
      <w:pPr>
        <w:pStyle w:val="18"/>
        <w:spacing w:before="0" w:after="0" w:line="578" w:lineRule="exact"/>
        <w:ind w:firstLine="640" w:firstLineChars="200"/>
        <w:rPr>
          <w:rFonts w:ascii="Times New Roman" w:hAnsi="Times New Roman" w:eastAsia="仿宋_GB2312"/>
          <w:b w:val="0"/>
          <w:color w:val="000000"/>
          <w:kern w:val="0"/>
          <w:sz w:val="32"/>
          <w:szCs w:val="32"/>
          <w:shd w:val="clear" w:color="auto" w:fill="FFFFFF"/>
        </w:rPr>
      </w:pPr>
    </w:p>
    <w:p>
      <w:pPr>
        <w:pStyle w:val="18"/>
        <w:spacing w:before="0" w:after="0" w:line="578" w:lineRule="exact"/>
        <w:ind w:firstLine="481" w:firstLineChars="200"/>
      </w:pPr>
    </w:p>
    <w:sectPr>
      <w:headerReference r:id="rId3" w:type="default"/>
      <w:footerReference r:id="rId4" w:type="default"/>
      <w:pgSz w:w="11906" w:h="16838"/>
      <w:pgMar w:top="2098" w:right="1474" w:bottom="1984" w:left="1587" w:header="851" w:footer="992" w:gutter="0"/>
      <w:pgNumType w:fmt="numberInDash"/>
      <w:cols w:space="425"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86"/>
    <w:family w:val="modern"/>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A00002BF" w:usb1="38CF7CFA" w:usb2="00082016" w:usb3="00000000" w:csb0="00040001" w:csb1="00000000"/>
  </w:font>
  <w:font w:name="??">
    <w:altName w:val="仿宋_GB2312"/>
    <w:panose1 w:val="00000000000000000000"/>
    <w:charset w:val="00"/>
    <w:family w:val="roman"/>
    <w:pitch w:val="default"/>
    <w:sig w:usb0="00000000" w:usb1="00000000" w:usb2="00000000" w:usb3="00000000" w:csb0="00000000" w:csb1="00000000"/>
  </w:font>
  <w:font w:name="Wingdings 2">
    <w:panose1 w:val="05020102010507070707"/>
    <w:charset w:val="02"/>
    <w:family w:val="roman"/>
    <w:pitch w:val="default"/>
    <w:sig w:usb0="00000000" w:usb1="00000000" w:usb2="00000000" w:usb3="00000000" w:csb0="80000000" w:csb1="00000000"/>
  </w:font>
  <w:font w:name="楷体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auto"/>
    <w:pitch w:val="default"/>
    <w:sig w:usb0="A00002BF" w:usb1="38CF7CFA" w:usb2="00082016" w:usb3="00000000" w:csb0="00040001" w:csb1="00000000"/>
  </w:font>
  <w:font w:name="方正小标宋简体">
    <w:panose1 w:val="02000000000000000000"/>
    <w:charset w:val="86"/>
    <w:family w:val="auto"/>
    <w:pitch w:val="default"/>
    <w:sig w:usb0="A00002BF" w:usb1="184F6CFA" w:usb2="00000012" w:usb3="00000000" w:csb0="00040001" w:csb1="00000000"/>
  </w:font>
  <w:font w:name="微软雅黑">
    <w:altName w:val="方正黑体_GBK"/>
    <w:panose1 w:val="020B0503020204020204"/>
    <w:charset w:val="86"/>
    <w:family w:val="auto"/>
    <w:pitch w:val="default"/>
    <w:sig w:usb0="00000000" w:usb1="0000000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0"/>
                            <w:ind w:right="451" w:rightChars="141"/>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">
              <v:fill on="f" focussize="0,0"/>
              <v:stroke on="f" weight="0.5pt"/>
              <v:imagedata o:title=""/>
              <o:lock v:ext="edit" aspectratio="f"/>
              <v:textbox inset="0mm,0mm,0mm,0mm" style="mso-fit-shape-to-text:t;">
                <w:txbxContent>
                  <w:p>
                    <w:pPr>
                      <w:pStyle w:val="10"/>
                      <w:ind w:right="451" w:rightChars="141"/>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w:t>
                    </w:r>
                    <w:r>
                      <w:rPr>
                        <w:rFonts w:ascii="宋体" w:hAnsi="宋体"/>
                        <w:sz w:val="28"/>
                        <w:szCs w:val="28"/>
                      </w:rPr>
                      <w:t xml:space="preserve"> 6 -</w:t>
                    </w:r>
                    <w:r>
                      <w:rPr>
                        <w:rFonts w:ascii="宋体" w:hAnsi="宋体"/>
                        <w:sz w:val="28"/>
                        <w:szCs w:val="28"/>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ED9570"/>
    <w:multiLevelType w:val="singleLevel"/>
    <w:tmpl w:val="BFED9570"/>
    <w:lvl w:ilvl="0" w:tentative="0">
      <w:start w:val="2"/>
      <w:numFmt w:val="chineseCounting"/>
      <w:suff w:val="nothing"/>
      <w:lvlText w:val="（%1）"/>
      <w:lvlJc w:val="left"/>
      <w:rPr>
        <w:rFonts w:hint="eastAsia"/>
      </w:rPr>
    </w:lvl>
  </w:abstractNum>
  <w:abstractNum w:abstractNumId="1">
    <w:nsid w:val="FFBE7B9C"/>
    <w:multiLevelType w:val="singleLevel"/>
    <w:tmpl w:val="FFBE7B9C"/>
    <w:lvl w:ilvl="0" w:tentative="0">
      <w:start w:val="2"/>
      <w:numFmt w:val="chineseCounting"/>
      <w:suff w:val="nothing"/>
      <w:lvlText w:val="（%1）"/>
      <w:lvlJc w:val="left"/>
      <w:rPr>
        <w:rFonts w:hint="eastAsia"/>
      </w:rPr>
    </w:lvl>
  </w:abstractNum>
  <w:abstractNum w:abstractNumId="2">
    <w:nsid w:val="24514348"/>
    <w:multiLevelType w:val="singleLevel"/>
    <w:tmpl w:val="24514348"/>
    <w:lvl w:ilvl="0" w:tentative="0">
      <w:start w:val="2"/>
      <w:numFmt w:val="chineseCounting"/>
      <w:suff w:val="nothing"/>
      <w:lvlText w:val="（%1）"/>
      <w:lvlJc w:val="left"/>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60"/>
  <w:drawingGridVerticalSpacing w:val="435"/>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0174"/>
    <w:rsid w:val="00006E4D"/>
    <w:rsid w:val="00021652"/>
    <w:rsid w:val="00030311"/>
    <w:rsid w:val="00030782"/>
    <w:rsid w:val="00030B66"/>
    <w:rsid w:val="0006102A"/>
    <w:rsid w:val="00065B0F"/>
    <w:rsid w:val="00065E7E"/>
    <w:rsid w:val="000820BB"/>
    <w:rsid w:val="0008241B"/>
    <w:rsid w:val="00092280"/>
    <w:rsid w:val="00097FAE"/>
    <w:rsid w:val="000A3233"/>
    <w:rsid w:val="000A7CE3"/>
    <w:rsid w:val="000B04D6"/>
    <w:rsid w:val="000B15CE"/>
    <w:rsid w:val="000C40C6"/>
    <w:rsid w:val="000C79C1"/>
    <w:rsid w:val="000D208A"/>
    <w:rsid w:val="000E037E"/>
    <w:rsid w:val="000F659A"/>
    <w:rsid w:val="000F77B0"/>
    <w:rsid w:val="0010235D"/>
    <w:rsid w:val="00103A47"/>
    <w:rsid w:val="00106D4D"/>
    <w:rsid w:val="001119A2"/>
    <w:rsid w:val="001221D6"/>
    <w:rsid w:val="0012510A"/>
    <w:rsid w:val="00125F67"/>
    <w:rsid w:val="001261AE"/>
    <w:rsid w:val="001348A4"/>
    <w:rsid w:val="0014117C"/>
    <w:rsid w:val="00146FE8"/>
    <w:rsid w:val="0014767B"/>
    <w:rsid w:val="00147AED"/>
    <w:rsid w:val="00177AAF"/>
    <w:rsid w:val="00183850"/>
    <w:rsid w:val="00184D9F"/>
    <w:rsid w:val="001A4749"/>
    <w:rsid w:val="001A4842"/>
    <w:rsid w:val="001A5833"/>
    <w:rsid w:val="001C2158"/>
    <w:rsid w:val="001C51F2"/>
    <w:rsid w:val="001C73AB"/>
    <w:rsid w:val="001D2EA4"/>
    <w:rsid w:val="001F47CE"/>
    <w:rsid w:val="001F5776"/>
    <w:rsid w:val="0020620D"/>
    <w:rsid w:val="002069BC"/>
    <w:rsid w:val="002069EB"/>
    <w:rsid w:val="002201B0"/>
    <w:rsid w:val="00220900"/>
    <w:rsid w:val="0022307E"/>
    <w:rsid w:val="00224D05"/>
    <w:rsid w:val="002323A3"/>
    <w:rsid w:val="00236EF7"/>
    <w:rsid w:val="0024058A"/>
    <w:rsid w:val="002410C0"/>
    <w:rsid w:val="00252894"/>
    <w:rsid w:val="00253FA6"/>
    <w:rsid w:val="00254728"/>
    <w:rsid w:val="002550E7"/>
    <w:rsid w:val="002558D4"/>
    <w:rsid w:val="002560E2"/>
    <w:rsid w:val="00264CFA"/>
    <w:rsid w:val="00270DD7"/>
    <w:rsid w:val="00276F4A"/>
    <w:rsid w:val="00280BFB"/>
    <w:rsid w:val="00280C88"/>
    <w:rsid w:val="002973A4"/>
    <w:rsid w:val="002A0195"/>
    <w:rsid w:val="002B5B34"/>
    <w:rsid w:val="002B6906"/>
    <w:rsid w:val="002B7215"/>
    <w:rsid w:val="002C0AFD"/>
    <w:rsid w:val="002C59D0"/>
    <w:rsid w:val="002D1A18"/>
    <w:rsid w:val="002D6C79"/>
    <w:rsid w:val="002E1104"/>
    <w:rsid w:val="002E3FDD"/>
    <w:rsid w:val="00300EF4"/>
    <w:rsid w:val="00301353"/>
    <w:rsid w:val="00305FF6"/>
    <w:rsid w:val="00307568"/>
    <w:rsid w:val="00311506"/>
    <w:rsid w:val="00316ADB"/>
    <w:rsid w:val="00317623"/>
    <w:rsid w:val="00335F67"/>
    <w:rsid w:val="003361E9"/>
    <w:rsid w:val="00350A65"/>
    <w:rsid w:val="00361C85"/>
    <w:rsid w:val="00371352"/>
    <w:rsid w:val="00376753"/>
    <w:rsid w:val="0038541D"/>
    <w:rsid w:val="00387818"/>
    <w:rsid w:val="00391A13"/>
    <w:rsid w:val="00391FD0"/>
    <w:rsid w:val="003A44FC"/>
    <w:rsid w:val="003B3299"/>
    <w:rsid w:val="003D10A2"/>
    <w:rsid w:val="003D33B8"/>
    <w:rsid w:val="003D624D"/>
    <w:rsid w:val="003D719A"/>
    <w:rsid w:val="003F5EB7"/>
    <w:rsid w:val="003F7FE2"/>
    <w:rsid w:val="004004E7"/>
    <w:rsid w:val="00416E1A"/>
    <w:rsid w:val="00426A3F"/>
    <w:rsid w:val="004277D4"/>
    <w:rsid w:val="00461638"/>
    <w:rsid w:val="004706FA"/>
    <w:rsid w:val="00474D8D"/>
    <w:rsid w:val="00475CCD"/>
    <w:rsid w:val="00477266"/>
    <w:rsid w:val="004811BC"/>
    <w:rsid w:val="004838F2"/>
    <w:rsid w:val="00486492"/>
    <w:rsid w:val="00492CF6"/>
    <w:rsid w:val="004A4C9D"/>
    <w:rsid w:val="004C2078"/>
    <w:rsid w:val="004C228F"/>
    <w:rsid w:val="004E752F"/>
    <w:rsid w:val="004F1E37"/>
    <w:rsid w:val="00515198"/>
    <w:rsid w:val="00521C44"/>
    <w:rsid w:val="00527206"/>
    <w:rsid w:val="005274E1"/>
    <w:rsid w:val="00531DDF"/>
    <w:rsid w:val="00535FA6"/>
    <w:rsid w:val="00542AB7"/>
    <w:rsid w:val="0055358D"/>
    <w:rsid w:val="005540C8"/>
    <w:rsid w:val="00555809"/>
    <w:rsid w:val="00562165"/>
    <w:rsid w:val="005756AF"/>
    <w:rsid w:val="00575A4A"/>
    <w:rsid w:val="00591B6F"/>
    <w:rsid w:val="005A1DAF"/>
    <w:rsid w:val="005C17C8"/>
    <w:rsid w:val="005C2098"/>
    <w:rsid w:val="005C2E6C"/>
    <w:rsid w:val="005D0CCF"/>
    <w:rsid w:val="005D1C01"/>
    <w:rsid w:val="005E297D"/>
    <w:rsid w:val="005E3F12"/>
    <w:rsid w:val="005F627E"/>
    <w:rsid w:val="0061652E"/>
    <w:rsid w:val="006205E9"/>
    <w:rsid w:val="00622D0B"/>
    <w:rsid w:val="006270DA"/>
    <w:rsid w:val="00630B75"/>
    <w:rsid w:val="00634DFF"/>
    <w:rsid w:val="00635337"/>
    <w:rsid w:val="0064265B"/>
    <w:rsid w:val="0064519C"/>
    <w:rsid w:val="0065082E"/>
    <w:rsid w:val="006512D0"/>
    <w:rsid w:val="006560A3"/>
    <w:rsid w:val="00656301"/>
    <w:rsid w:val="006600C9"/>
    <w:rsid w:val="006701CC"/>
    <w:rsid w:val="00671F58"/>
    <w:rsid w:val="006762A4"/>
    <w:rsid w:val="006900E7"/>
    <w:rsid w:val="006A00A8"/>
    <w:rsid w:val="006A482D"/>
    <w:rsid w:val="006B11E0"/>
    <w:rsid w:val="006B386A"/>
    <w:rsid w:val="006B7CB4"/>
    <w:rsid w:val="006C24D3"/>
    <w:rsid w:val="006C7917"/>
    <w:rsid w:val="006D1F80"/>
    <w:rsid w:val="006E51AE"/>
    <w:rsid w:val="0070081F"/>
    <w:rsid w:val="007018F5"/>
    <w:rsid w:val="00710897"/>
    <w:rsid w:val="00712F45"/>
    <w:rsid w:val="00734305"/>
    <w:rsid w:val="007370E1"/>
    <w:rsid w:val="007732A1"/>
    <w:rsid w:val="00774C4A"/>
    <w:rsid w:val="00782BBB"/>
    <w:rsid w:val="007A0690"/>
    <w:rsid w:val="007A078F"/>
    <w:rsid w:val="007A0985"/>
    <w:rsid w:val="007B34D4"/>
    <w:rsid w:val="007C0633"/>
    <w:rsid w:val="007D086C"/>
    <w:rsid w:val="007F1BE1"/>
    <w:rsid w:val="007F707F"/>
    <w:rsid w:val="007F794C"/>
    <w:rsid w:val="007F7AC9"/>
    <w:rsid w:val="00803B42"/>
    <w:rsid w:val="008073EF"/>
    <w:rsid w:val="0081095C"/>
    <w:rsid w:val="00810C41"/>
    <w:rsid w:val="008212FF"/>
    <w:rsid w:val="0082593B"/>
    <w:rsid w:val="00827537"/>
    <w:rsid w:val="008468EA"/>
    <w:rsid w:val="00867140"/>
    <w:rsid w:val="00881134"/>
    <w:rsid w:val="008904F0"/>
    <w:rsid w:val="008B2F27"/>
    <w:rsid w:val="008B4A72"/>
    <w:rsid w:val="008B585E"/>
    <w:rsid w:val="008E6C0C"/>
    <w:rsid w:val="008F1E63"/>
    <w:rsid w:val="008F3052"/>
    <w:rsid w:val="00901E19"/>
    <w:rsid w:val="009214F7"/>
    <w:rsid w:val="00921CD7"/>
    <w:rsid w:val="00940EB6"/>
    <w:rsid w:val="00944771"/>
    <w:rsid w:val="009601FC"/>
    <w:rsid w:val="00965426"/>
    <w:rsid w:val="0096654A"/>
    <w:rsid w:val="009711E4"/>
    <w:rsid w:val="00971572"/>
    <w:rsid w:val="00981E55"/>
    <w:rsid w:val="00986CEF"/>
    <w:rsid w:val="00987212"/>
    <w:rsid w:val="009A0E5F"/>
    <w:rsid w:val="009F1AF3"/>
    <w:rsid w:val="009F233E"/>
    <w:rsid w:val="00A024AB"/>
    <w:rsid w:val="00A050A5"/>
    <w:rsid w:val="00A05B8B"/>
    <w:rsid w:val="00A1372F"/>
    <w:rsid w:val="00A170EC"/>
    <w:rsid w:val="00A217B3"/>
    <w:rsid w:val="00A23D04"/>
    <w:rsid w:val="00A277D9"/>
    <w:rsid w:val="00A30CEB"/>
    <w:rsid w:val="00A31318"/>
    <w:rsid w:val="00A5432A"/>
    <w:rsid w:val="00A55F8A"/>
    <w:rsid w:val="00A9670E"/>
    <w:rsid w:val="00AA1423"/>
    <w:rsid w:val="00AB7996"/>
    <w:rsid w:val="00AC43C3"/>
    <w:rsid w:val="00AE2EAD"/>
    <w:rsid w:val="00AF77BE"/>
    <w:rsid w:val="00B11CEE"/>
    <w:rsid w:val="00B23428"/>
    <w:rsid w:val="00B264BF"/>
    <w:rsid w:val="00B42E74"/>
    <w:rsid w:val="00B46874"/>
    <w:rsid w:val="00B50E8F"/>
    <w:rsid w:val="00B51151"/>
    <w:rsid w:val="00B523E4"/>
    <w:rsid w:val="00B52B4F"/>
    <w:rsid w:val="00B6108C"/>
    <w:rsid w:val="00B649AD"/>
    <w:rsid w:val="00B64B9C"/>
    <w:rsid w:val="00B67A3E"/>
    <w:rsid w:val="00B735CC"/>
    <w:rsid w:val="00B82C95"/>
    <w:rsid w:val="00B83F87"/>
    <w:rsid w:val="00B84DFD"/>
    <w:rsid w:val="00BB4E38"/>
    <w:rsid w:val="00BC3879"/>
    <w:rsid w:val="00BD0E0D"/>
    <w:rsid w:val="00BD41BC"/>
    <w:rsid w:val="00BD55AD"/>
    <w:rsid w:val="00BE0305"/>
    <w:rsid w:val="00BF15F0"/>
    <w:rsid w:val="00BF7DF9"/>
    <w:rsid w:val="00C03559"/>
    <w:rsid w:val="00C05395"/>
    <w:rsid w:val="00C22AD7"/>
    <w:rsid w:val="00C272C1"/>
    <w:rsid w:val="00C32A68"/>
    <w:rsid w:val="00C34282"/>
    <w:rsid w:val="00C35350"/>
    <w:rsid w:val="00C3564B"/>
    <w:rsid w:val="00C53721"/>
    <w:rsid w:val="00C64D2E"/>
    <w:rsid w:val="00C70F97"/>
    <w:rsid w:val="00C7497C"/>
    <w:rsid w:val="00C757A2"/>
    <w:rsid w:val="00C75966"/>
    <w:rsid w:val="00C76577"/>
    <w:rsid w:val="00C80225"/>
    <w:rsid w:val="00C81349"/>
    <w:rsid w:val="00C93139"/>
    <w:rsid w:val="00CA08A0"/>
    <w:rsid w:val="00CA32D2"/>
    <w:rsid w:val="00CA4E07"/>
    <w:rsid w:val="00CA737D"/>
    <w:rsid w:val="00CB1EF5"/>
    <w:rsid w:val="00CC05D4"/>
    <w:rsid w:val="00CC7166"/>
    <w:rsid w:val="00CF5275"/>
    <w:rsid w:val="00CF6136"/>
    <w:rsid w:val="00D0023D"/>
    <w:rsid w:val="00D006C6"/>
    <w:rsid w:val="00D14A65"/>
    <w:rsid w:val="00D162B9"/>
    <w:rsid w:val="00D251E2"/>
    <w:rsid w:val="00D254F4"/>
    <w:rsid w:val="00D263A7"/>
    <w:rsid w:val="00D26B5D"/>
    <w:rsid w:val="00D33159"/>
    <w:rsid w:val="00D33A19"/>
    <w:rsid w:val="00D355B5"/>
    <w:rsid w:val="00D43DC3"/>
    <w:rsid w:val="00D51791"/>
    <w:rsid w:val="00D5281E"/>
    <w:rsid w:val="00D6531B"/>
    <w:rsid w:val="00D6612D"/>
    <w:rsid w:val="00D71AD9"/>
    <w:rsid w:val="00D73C02"/>
    <w:rsid w:val="00D872ED"/>
    <w:rsid w:val="00D913C6"/>
    <w:rsid w:val="00DA0236"/>
    <w:rsid w:val="00DA5D51"/>
    <w:rsid w:val="00DA5E29"/>
    <w:rsid w:val="00DA61CA"/>
    <w:rsid w:val="00DB66BB"/>
    <w:rsid w:val="00DB73AF"/>
    <w:rsid w:val="00DC2865"/>
    <w:rsid w:val="00DD0894"/>
    <w:rsid w:val="00DE1888"/>
    <w:rsid w:val="00DF1250"/>
    <w:rsid w:val="00DF6EF7"/>
    <w:rsid w:val="00E05454"/>
    <w:rsid w:val="00E074C3"/>
    <w:rsid w:val="00E23329"/>
    <w:rsid w:val="00E24D6D"/>
    <w:rsid w:val="00E341B2"/>
    <w:rsid w:val="00E42633"/>
    <w:rsid w:val="00E5699E"/>
    <w:rsid w:val="00E570E1"/>
    <w:rsid w:val="00E72773"/>
    <w:rsid w:val="00E76739"/>
    <w:rsid w:val="00E81946"/>
    <w:rsid w:val="00E82BB7"/>
    <w:rsid w:val="00E86D13"/>
    <w:rsid w:val="00E936C2"/>
    <w:rsid w:val="00E95346"/>
    <w:rsid w:val="00EA0CEF"/>
    <w:rsid w:val="00EA2E2A"/>
    <w:rsid w:val="00EB79D2"/>
    <w:rsid w:val="00EC0174"/>
    <w:rsid w:val="00ED3EEB"/>
    <w:rsid w:val="00ED5749"/>
    <w:rsid w:val="00ED5FA3"/>
    <w:rsid w:val="00ED68C4"/>
    <w:rsid w:val="00ED6A4E"/>
    <w:rsid w:val="00ED72EA"/>
    <w:rsid w:val="00EE3A4F"/>
    <w:rsid w:val="00EF10C3"/>
    <w:rsid w:val="00EF3BD2"/>
    <w:rsid w:val="00F16BCE"/>
    <w:rsid w:val="00F45DA1"/>
    <w:rsid w:val="00F5267B"/>
    <w:rsid w:val="00F53E8B"/>
    <w:rsid w:val="00F663FD"/>
    <w:rsid w:val="00F743B0"/>
    <w:rsid w:val="00F82409"/>
    <w:rsid w:val="00F8264F"/>
    <w:rsid w:val="00F833E9"/>
    <w:rsid w:val="00F84580"/>
    <w:rsid w:val="00F873DA"/>
    <w:rsid w:val="00F95982"/>
    <w:rsid w:val="00FA006C"/>
    <w:rsid w:val="00FA190E"/>
    <w:rsid w:val="00FA288B"/>
    <w:rsid w:val="00FA2997"/>
    <w:rsid w:val="00FA2C71"/>
    <w:rsid w:val="00FB3345"/>
    <w:rsid w:val="00FB4EB4"/>
    <w:rsid w:val="00FD0228"/>
    <w:rsid w:val="00FD3BB7"/>
    <w:rsid w:val="00FE0D93"/>
    <w:rsid w:val="00FF2572"/>
    <w:rsid w:val="00FF32AD"/>
    <w:rsid w:val="01127951"/>
    <w:rsid w:val="04CA0172"/>
    <w:rsid w:val="0DC31556"/>
    <w:rsid w:val="1A3D6143"/>
    <w:rsid w:val="1C013801"/>
    <w:rsid w:val="1C7F9B9E"/>
    <w:rsid w:val="1DFD8D3B"/>
    <w:rsid w:val="1FB79DC9"/>
    <w:rsid w:val="1FBFC3F2"/>
    <w:rsid w:val="1FFFE033"/>
    <w:rsid w:val="27F352A6"/>
    <w:rsid w:val="2D527252"/>
    <w:rsid w:val="2DDC1740"/>
    <w:rsid w:val="2EAE55F2"/>
    <w:rsid w:val="2EDF4302"/>
    <w:rsid w:val="2EFE1A04"/>
    <w:rsid w:val="2FFF3854"/>
    <w:rsid w:val="33DA3EBD"/>
    <w:rsid w:val="35BBF80F"/>
    <w:rsid w:val="3B0B3937"/>
    <w:rsid w:val="3B736F08"/>
    <w:rsid w:val="3B7BA6C9"/>
    <w:rsid w:val="3BE3D531"/>
    <w:rsid w:val="3D431A40"/>
    <w:rsid w:val="3E476EBB"/>
    <w:rsid w:val="3EFF42CA"/>
    <w:rsid w:val="3F6FCA38"/>
    <w:rsid w:val="3F9F3E33"/>
    <w:rsid w:val="3FD5AF3D"/>
    <w:rsid w:val="3FFED8BE"/>
    <w:rsid w:val="3FFF43BB"/>
    <w:rsid w:val="3FFF8C20"/>
    <w:rsid w:val="3FFFFC14"/>
    <w:rsid w:val="433DCF8E"/>
    <w:rsid w:val="45FF973D"/>
    <w:rsid w:val="47550EBA"/>
    <w:rsid w:val="4B0C3FB3"/>
    <w:rsid w:val="4BF7E09D"/>
    <w:rsid w:val="53BB74FC"/>
    <w:rsid w:val="55B73C38"/>
    <w:rsid w:val="55FDDF92"/>
    <w:rsid w:val="55FFBC03"/>
    <w:rsid w:val="56CDA72E"/>
    <w:rsid w:val="576F5916"/>
    <w:rsid w:val="577FDAE2"/>
    <w:rsid w:val="57FBE2C7"/>
    <w:rsid w:val="5B335734"/>
    <w:rsid w:val="5B7F322F"/>
    <w:rsid w:val="5BCAB023"/>
    <w:rsid w:val="5BEACB58"/>
    <w:rsid w:val="5CFBB71D"/>
    <w:rsid w:val="5D076DAF"/>
    <w:rsid w:val="5D8649C7"/>
    <w:rsid w:val="5DDA9B94"/>
    <w:rsid w:val="5EAB810D"/>
    <w:rsid w:val="5EFA9846"/>
    <w:rsid w:val="5EFF9DA6"/>
    <w:rsid w:val="5F7751B9"/>
    <w:rsid w:val="5F9F7232"/>
    <w:rsid w:val="5F9F9588"/>
    <w:rsid w:val="5FBD32D2"/>
    <w:rsid w:val="5FBF77E8"/>
    <w:rsid w:val="5FD450B0"/>
    <w:rsid w:val="5FEF60CD"/>
    <w:rsid w:val="5FFB203D"/>
    <w:rsid w:val="5FFB8CF9"/>
    <w:rsid w:val="63DBAF21"/>
    <w:rsid w:val="6636451A"/>
    <w:rsid w:val="67DE80AA"/>
    <w:rsid w:val="697E3B47"/>
    <w:rsid w:val="69BF132E"/>
    <w:rsid w:val="6B7F84D8"/>
    <w:rsid w:val="6BFEE5F3"/>
    <w:rsid w:val="6CAFF34E"/>
    <w:rsid w:val="6CFFCF4F"/>
    <w:rsid w:val="6DAD7476"/>
    <w:rsid w:val="6DFFF8B6"/>
    <w:rsid w:val="6E9FE641"/>
    <w:rsid w:val="6EEDE807"/>
    <w:rsid w:val="6EEE4BE4"/>
    <w:rsid w:val="6EF65E9C"/>
    <w:rsid w:val="6F3D33C4"/>
    <w:rsid w:val="6F3D9197"/>
    <w:rsid w:val="6F6F75B6"/>
    <w:rsid w:val="6FAB3EC4"/>
    <w:rsid w:val="6FB6AF41"/>
    <w:rsid w:val="6FD52DA7"/>
    <w:rsid w:val="6FD894C8"/>
    <w:rsid w:val="6FE36A9E"/>
    <w:rsid w:val="6FEFB2D1"/>
    <w:rsid w:val="6FFF97E6"/>
    <w:rsid w:val="71397E03"/>
    <w:rsid w:val="71FB5B08"/>
    <w:rsid w:val="73FB87D9"/>
    <w:rsid w:val="743F1718"/>
    <w:rsid w:val="75EF0FBA"/>
    <w:rsid w:val="7607C293"/>
    <w:rsid w:val="76793C4E"/>
    <w:rsid w:val="767B0EE7"/>
    <w:rsid w:val="76DF783A"/>
    <w:rsid w:val="76DFA4E8"/>
    <w:rsid w:val="771F844E"/>
    <w:rsid w:val="778720BD"/>
    <w:rsid w:val="77A7D615"/>
    <w:rsid w:val="77FF366A"/>
    <w:rsid w:val="77FF8C96"/>
    <w:rsid w:val="77FFA8F9"/>
    <w:rsid w:val="7976604B"/>
    <w:rsid w:val="79C74968"/>
    <w:rsid w:val="79F3BC78"/>
    <w:rsid w:val="7A5B6CAA"/>
    <w:rsid w:val="7A9314AC"/>
    <w:rsid w:val="7B4F6850"/>
    <w:rsid w:val="7B8F398E"/>
    <w:rsid w:val="7BABD5C4"/>
    <w:rsid w:val="7BB12055"/>
    <w:rsid w:val="7BBFADBA"/>
    <w:rsid w:val="7BF7F9C6"/>
    <w:rsid w:val="7BFF492D"/>
    <w:rsid w:val="7C631402"/>
    <w:rsid w:val="7C978C63"/>
    <w:rsid w:val="7CA35AD0"/>
    <w:rsid w:val="7CDF8BC3"/>
    <w:rsid w:val="7CEB72A5"/>
    <w:rsid w:val="7D18750B"/>
    <w:rsid w:val="7D6A6D18"/>
    <w:rsid w:val="7DDFDC39"/>
    <w:rsid w:val="7DFDEECD"/>
    <w:rsid w:val="7E140770"/>
    <w:rsid w:val="7E5D92FB"/>
    <w:rsid w:val="7E635AE7"/>
    <w:rsid w:val="7EF51D64"/>
    <w:rsid w:val="7EFFF488"/>
    <w:rsid w:val="7F574612"/>
    <w:rsid w:val="7F7F4920"/>
    <w:rsid w:val="7F9D05A9"/>
    <w:rsid w:val="7FB7C299"/>
    <w:rsid w:val="7FBFFB92"/>
    <w:rsid w:val="7FD76ACB"/>
    <w:rsid w:val="7FD89DA2"/>
    <w:rsid w:val="7FDBD805"/>
    <w:rsid w:val="7FDEC14D"/>
    <w:rsid w:val="7FDF8B76"/>
    <w:rsid w:val="7FDFE693"/>
    <w:rsid w:val="7FEFB5DD"/>
    <w:rsid w:val="7FEFBBD9"/>
    <w:rsid w:val="7FFD6A57"/>
    <w:rsid w:val="7FFDA7EC"/>
    <w:rsid w:val="7FFDEA1E"/>
    <w:rsid w:val="7FFEC1F6"/>
    <w:rsid w:val="7FFF0917"/>
    <w:rsid w:val="7FFF2F52"/>
    <w:rsid w:val="8F7B4EC8"/>
    <w:rsid w:val="8FBD4480"/>
    <w:rsid w:val="8FF7AE96"/>
    <w:rsid w:val="955F5184"/>
    <w:rsid w:val="9F6311D7"/>
    <w:rsid w:val="9FBCEF35"/>
    <w:rsid w:val="9FF54399"/>
    <w:rsid w:val="A46D76C1"/>
    <w:rsid w:val="A7FF43C2"/>
    <w:rsid w:val="ABF66286"/>
    <w:rsid w:val="AD9E3F04"/>
    <w:rsid w:val="ADA70464"/>
    <w:rsid w:val="AFE97CD3"/>
    <w:rsid w:val="B1BF5C63"/>
    <w:rsid w:val="B1FF3A18"/>
    <w:rsid w:val="B3CDF284"/>
    <w:rsid w:val="B3E8107B"/>
    <w:rsid w:val="B579A608"/>
    <w:rsid w:val="B5F66F24"/>
    <w:rsid w:val="B7F5200A"/>
    <w:rsid w:val="B9FE51A2"/>
    <w:rsid w:val="BABDA1AA"/>
    <w:rsid w:val="BB1B4BF1"/>
    <w:rsid w:val="BB63D9E4"/>
    <w:rsid w:val="BBE5FE68"/>
    <w:rsid w:val="BBFEB9C1"/>
    <w:rsid w:val="BDF7406A"/>
    <w:rsid w:val="BE6FD8DB"/>
    <w:rsid w:val="BEEF57C2"/>
    <w:rsid w:val="BF6CD6FF"/>
    <w:rsid w:val="BF6D5596"/>
    <w:rsid w:val="BFBEBB2C"/>
    <w:rsid w:val="BFC68935"/>
    <w:rsid w:val="BFDD0F1D"/>
    <w:rsid w:val="BFDDD096"/>
    <w:rsid w:val="C5B3F496"/>
    <w:rsid w:val="C96F3E49"/>
    <w:rsid w:val="CBBF14F3"/>
    <w:rsid w:val="CBE5DCF2"/>
    <w:rsid w:val="CCFCC735"/>
    <w:rsid w:val="CEEB8A74"/>
    <w:rsid w:val="D37FB642"/>
    <w:rsid w:val="D58627F4"/>
    <w:rsid w:val="D7F99798"/>
    <w:rsid w:val="D7FF400C"/>
    <w:rsid w:val="D9DB2628"/>
    <w:rsid w:val="DBED1CD4"/>
    <w:rsid w:val="DBFBB328"/>
    <w:rsid w:val="DDD7453A"/>
    <w:rsid w:val="DE3E1FD7"/>
    <w:rsid w:val="DEBFCF8E"/>
    <w:rsid w:val="DFBE1B79"/>
    <w:rsid w:val="DFCF1FEC"/>
    <w:rsid w:val="DFE75A3D"/>
    <w:rsid w:val="DFED2117"/>
    <w:rsid w:val="DFEF594B"/>
    <w:rsid w:val="DFF3F960"/>
    <w:rsid w:val="DFFE0D61"/>
    <w:rsid w:val="E35C4B3C"/>
    <w:rsid w:val="E3A781CA"/>
    <w:rsid w:val="E5DFAB50"/>
    <w:rsid w:val="E6FC647F"/>
    <w:rsid w:val="EAE6D6D4"/>
    <w:rsid w:val="EBFBC8F1"/>
    <w:rsid w:val="EBFDF757"/>
    <w:rsid w:val="ED758B5D"/>
    <w:rsid w:val="ED76A08D"/>
    <w:rsid w:val="EDBDD81F"/>
    <w:rsid w:val="EDFDB542"/>
    <w:rsid w:val="EF0FCF96"/>
    <w:rsid w:val="EF7F3FF6"/>
    <w:rsid w:val="EF95E20F"/>
    <w:rsid w:val="EFAF7DFF"/>
    <w:rsid w:val="EFAFB283"/>
    <w:rsid w:val="EFBDA38B"/>
    <w:rsid w:val="EFEE9A76"/>
    <w:rsid w:val="F1BF6FBC"/>
    <w:rsid w:val="F1F9A9B5"/>
    <w:rsid w:val="F3779FC2"/>
    <w:rsid w:val="F3D5C239"/>
    <w:rsid w:val="F3F37DF4"/>
    <w:rsid w:val="F3F96DE6"/>
    <w:rsid w:val="F3FBC54A"/>
    <w:rsid w:val="F47BB68A"/>
    <w:rsid w:val="F47F523E"/>
    <w:rsid w:val="F69FD6B0"/>
    <w:rsid w:val="F6BEF9AB"/>
    <w:rsid w:val="F7E7F921"/>
    <w:rsid w:val="F7F7AC6A"/>
    <w:rsid w:val="F7FD93B9"/>
    <w:rsid w:val="F8D9A400"/>
    <w:rsid w:val="F9E67E0D"/>
    <w:rsid w:val="FABF64A5"/>
    <w:rsid w:val="FABF7411"/>
    <w:rsid w:val="FBA53981"/>
    <w:rsid w:val="FBE4457E"/>
    <w:rsid w:val="FBFC558A"/>
    <w:rsid w:val="FBFF71AC"/>
    <w:rsid w:val="FBFFEA2B"/>
    <w:rsid w:val="FCCB27AA"/>
    <w:rsid w:val="FCFF8F4B"/>
    <w:rsid w:val="FD9595AD"/>
    <w:rsid w:val="FDDF4F05"/>
    <w:rsid w:val="FDF9DD9A"/>
    <w:rsid w:val="FDFD5427"/>
    <w:rsid w:val="FDFF2821"/>
    <w:rsid w:val="FDFFA696"/>
    <w:rsid w:val="FE7FB02B"/>
    <w:rsid w:val="FEBD0232"/>
    <w:rsid w:val="FED5A77F"/>
    <w:rsid w:val="FEDFD193"/>
    <w:rsid w:val="FEE7097E"/>
    <w:rsid w:val="FEEF8230"/>
    <w:rsid w:val="FEF1F1BE"/>
    <w:rsid w:val="FEF99316"/>
    <w:rsid w:val="FEFB20CB"/>
    <w:rsid w:val="FEFD95B3"/>
    <w:rsid w:val="FEFE4E93"/>
    <w:rsid w:val="FEFFA483"/>
    <w:rsid w:val="FF29B32D"/>
    <w:rsid w:val="FF2E6944"/>
    <w:rsid w:val="FF5F9D52"/>
    <w:rsid w:val="FF7A0B6A"/>
    <w:rsid w:val="FF7B6DC2"/>
    <w:rsid w:val="FF7FFF75"/>
    <w:rsid w:val="FF921F59"/>
    <w:rsid w:val="FFAF540A"/>
    <w:rsid w:val="FFB75E44"/>
    <w:rsid w:val="FFBB1E09"/>
    <w:rsid w:val="FFBB6A0C"/>
    <w:rsid w:val="FFBD894B"/>
    <w:rsid w:val="FFBF33B3"/>
    <w:rsid w:val="FFD09362"/>
    <w:rsid w:val="FFD1DA08"/>
    <w:rsid w:val="FFD54B8A"/>
    <w:rsid w:val="FFD7DEDD"/>
    <w:rsid w:val="FFDE369F"/>
    <w:rsid w:val="FFEF98C9"/>
    <w:rsid w:val="FFEFCE62"/>
    <w:rsid w:val="FFF973B0"/>
    <w:rsid w:val="FFFB4F05"/>
    <w:rsid w:val="FFFEC8F5"/>
    <w:rsid w:val="FFFEFED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qFormat="1"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3"/>
    <w:basedOn w:val="1"/>
    <w:qFormat/>
    <w:uiPriority w:val="0"/>
    <w:pPr>
      <w:spacing w:line="240" w:lineRule="exact"/>
      <w:ind w:right="40"/>
      <w:jc w:val="center"/>
    </w:pPr>
    <w:rPr>
      <w:rFonts w:ascii="仿宋_GB2312" w:eastAsia="仿宋_GB2312" w:cs="Times New Roman"/>
      <w:color w:val="000000"/>
      <w:szCs w:val="20"/>
    </w:rPr>
  </w:style>
  <w:style w:type="paragraph" w:styleId="4">
    <w:name w:val="Normal Indent"/>
    <w:basedOn w:val="1"/>
    <w:next w:val="1"/>
    <w:qFormat/>
    <w:uiPriority w:val="0"/>
    <w:pPr>
      <w:spacing w:beforeLines="50" w:line="360" w:lineRule="auto"/>
      <w:ind w:firstLine="480" w:firstLineChars="200"/>
    </w:pPr>
    <w:rPr>
      <w:rFonts w:eastAsia="仿宋"/>
      <w:sz w:val="24"/>
      <w:szCs w:val="23"/>
      <w:lang w:eastAsia="ar-SA"/>
    </w:rPr>
  </w:style>
  <w:style w:type="paragraph" w:styleId="5">
    <w:name w:val="Document Map"/>
    <w:basedOn w:val="1"/>
    <w:link w:val="21"/>
    <w:qFormat/>
    <w:uiPriority w:val="0"/>
    <w:rPr>
      <w:rFonts w:ascii="宋体" w:eastAsia="宋体"/>
      <w:sz w:val="18"/>
      <w:szCs w:val="18"/>
    </w:rPr>
  </w:style>
  <w:style w:type="paragraph" w:styleId="6">
    <w:name w:val="Body Text"/>
    <w:basedOn w:val="1"/>
    <w:next w:val="1"/>
    <w:qFormat/>
    <w:uiPriority w:val="0"/>
    <w:pPr>
      <w:spacing w:after="120"/>
    </w:pPr>
  </w:style>
  <w:style w:type="paragraph" w:styleId="7">
    <w:name w:val="Body Text Indent"/>
    <w:basedOn w:val="1"/>
    <w:next w:val="8"/>
    <w:qFormat/>
    <w:uiPriority w:val="0"/>
    <w:pPr>
      <w:spacing w:after="120"/>
      <w:ind w:left="200" w:leftChars="200"/>
    </w:pPr>
    <w:rPr>
      <w:rFonts w:ascii="仿宋_GB2312"/>
      <w:szCs w:val="32"/>
    </w:rPr>
  </w:style>
  <w:style w:type="paragraph" w:styleId="8">
    <w:name w:val="Body Text First Indent 2"/>
    <w:basedOn w:val="7"/>
    <w:next w:val="1"/>
    <w:unhideWhenUsed/>
    <w:qFormat/>
    <w:uiPriority w:val="99"/>
    <w:pPr>
      <w:ind w:firstLine="420" w:firstLineChars="200"/>
    </w:pPr>
  </w:style>
  <w:style w:type="paragraph" w:styleId="9">
    <w:name w:val="Balloon Text"/>
    <w:basedOn w:val="1"/>
    <w:semiHidden/>
    <w:qFormat/>
    <w:uiPriority w:val="0"/>
    <w:rPr>
      <w:sz w:val="18"/>
      <w:szCs w:val="18"/>
    </w:rPr>
  </w:style>
  <w:style w:type="paragraph" w:styleId="10">
    <w:name w:val="footer"/>
    <w:basedOn w:val="1"/>
    <w:link w:val="23"/>
    <w:qFormat/>
    <w:uiPriority w:val="99"/>
    <w:pPr>
      <w:tabs>
        <w:tab w:val="center" w:pos="4153"/>
        <w:tab w:val="right" w:pos="8306"/>
      </w:tabs>
      <w:snapToGrid w:val="0"/>
      <w:jc w:val="left"/>
    </w:pPr>
    <w:rPr>
      <w:rFonts w:eastAsia="宋体"/>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rFonts w:eastAsia="宋体"/>
      <w:sz w:val="18"/>
      <w:szCs w:val="18"/>
    </w:rPr>
  </w:style>
  <w:style w:type="paragraph" w:styleId="12">
    <w:name w:val="toc 1"/>
    <w:basedOn w:val="1"/>
    <w:next w:val="1"/>
    <w:qFormat/>
    <w:uiPriority w:val="0"/>
  </w:style>
  <w:style w:type="paragraph" w:styleId="13">
    <w:name w:val="table of figures"/>
    <w:basedOn w:val="1"/>
    <w:next w:val="1"/>
    <w:unhideWhenUsed/>
    <w:qFormat/>
    <w:uiPriority w:val="0"/>
    <w:pPr>
      <w:ind w:left="200" w:leftChars="200" w:hanging="200" w:hangingChars="2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page number"/>
    <w:basedOn w:val="16"/>
    <w:qFormat/>
    <w:uiPriority w:val="0"/>
  </w:style>
  <w:style w:type="paragraph" w:customStyle="1" w:styleId="18">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19">
    <w:name w:val="四号正文"/>
    <w:basedOn w:val="1"/>
    <w:link w:val="20"/>
    <w:qFormat/>
    <w:uiPriority w:val="0"/>
    <w:pPr>
      <w:spacing w:line="360" w:lineRule="auto"/>
    </w:pPr>
    <w:rPr>
      <w:rFonts w:ascii="??" w:hAnsi="??" w:eastAsia="宋体" w:cs="宋体"/>
      <w:color w:val="000000"/>
      <w:kern w:val="0"/>
      <w:sz w:val="28"/>
      <w:szCs w:val="21"/>
    </w:rPr>
  </w:style>
  <w:style w:type="character" w:customStyle="1" w:styleId="20">
    <w:name w:val="四号正文 Char"/>
    <w:basedOn w:val="16"/>
    <w:link w:val="19"/>
    <w:qFormat/>
    <w:uiPriority w:val="0"/>
    <w:rPr>
      <w:rFonts w:ascii="??" w:hAnsi="??" w:eastAsia="宋体" w:cs="宋体"/>
      <w:color w:val="000000"/>
      <w:sz w:val="28"/>
      <w:szCs w:val="21"/>
      <w:lang w:val="en-US" w:eastAsia="zh-CN" w:bidi="ar-SA"/>
    </w:rPr>
  </w:style>
  <w:style w:type="character" w:customStyle="1" w:styleId="21">
    <w:name w:val="文档结构图 Char"/>
    <w:basedOn w:val="16"/>
    <w:link w:val="5"/>
    <w:qFormat/>
    <w:uiPriority w:val="0"/>
    <w:rPr>
      <w:rFonts w:ascii="宋体"/>
      <w:kern w:val="2"/>
      <w:sz w:val="18"/>
      <w:szCs w:val="18"/>
    </w:rPr>
  </w:style>
  <w:style w:type="paragraph" w:customStyle="1" w:styleId="22">
    <w:name w:val="a"/>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3">
    <w:name w:val="页脚 Char"/>
    <w:basedOn w:val="16"/>
    <w:link w:val="10"/>
    <w:qFormat/>
    <w:uiPriority w:val="99"/>
    <w:rPr>
      <w:kern w:val="2"/>
      <w:sz w:val="18"/>
      <w:szCs w:val="18"/>
    </w:rPr>
  </w:style>
  <w:style w:type="character" w:customStyle="1" w:styleId="24">
    <w:name w:val="font31"/>
    <w:basedOn w:val="16"/>
    <w:qFormat/>
    <w:uiPriority w:val="0"/>
    <w:rPr>
      <w:rFonts w:hint="eastAsia" w:ascii="宋体" w:hAnsi="宋体" w:eastAsia="宋体" w:cs="宋体"/>
      <w:color w:val="000000"/>
      <w:sz w:val="24"/>
      <w:szCs w:val="24"/>
      <w:u w:val="none"/>
    </w:rPr>
  </w:style>
  <w:style w:type="character" w:customStyle="1" w:styleId="25">
    <w:name w:val="font51"/>
    <w:basedOn w:val="16"/>
    <w:qFormat/>
    <w:uiPriority w:val="0"/>
    <w:rPr>
      <w:rFonts w:hint="default" w:ascii="Wingdings 2" w:hAnsi="Wingdings 2" w:eastAsia="Wingdings 2" w:cs="Wingdings 2"/>
      <w:color w:val="000000"/>
      <w:sz w:val="18"/>
      <w:szCs w:val="18"/>
      <w:u w:val="none"/>
    </w:rPr>
  </w:style>
  <w:style w:type="character" w:customStyle="1" w:styleId="26">
    <w:name w:val="font01"/>
    <w:basedOn w:val="16"/>
    <w:qFormat/>
    <w:uiPriority w:val="0"/>
    <w:rPr>
      <w:rFonts w:ascii="宋体" w:hAnsi="宋体" w:eastAsia="宋体" w:cs="宋体"/>
      <w:color w:val="000000"/>
      <w:sz w:val="18"/>
      <w:szCs w:val="18"/>
      <w:u w:val="none"/>
    </w:rPr>
  </w:style>
  <w:style w:type="character" w:customStyle="1" w:styleId="27">
    <w:name w:val="font41"/>
    <w:basedOn w:val="16"/>
    <w:qFormat/>
    <w:uiPriority w:val="0"/>
    <w:rPr>
      <w:rFonts w:ascii="宋体" w:hAnsi="宋体" w:eastAsia="宋体" w:cs="宋体"/>
      <w:color w:val="000000"/>
      <w:sz w:val="18"/>
      <w:szCs w:val="18"/>
      <w:u w:val="none"/>
    </w:rPr>
  </w:style>
  <w:style w:type="character" w:customStyle="1" w:styleId="28">
    <w:name w:val="font11"/>
    <w:qFormat/>
    <w:uiPriority w:val="0"/>
    <w:rPr>
      <w:rFonts w:hint="eastAsia" w:ascii="宋体" w:hAnsi="宋体" w:eastAsia="宋体" w:cs="宋体"/>
      <w:b/>
      <w:bCs/>
      <w:color w:val="000000"/>
      <w:sz w:val="21"/>
      <w:szCs w:val="21"/>
      <w:u w:val="none"/>
    </w:rPr>
  </w:style>
  <w:style w:type="character" w:customStyle="1" w:styleId="29">
    <w:name w:val="font2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PSZX</Company>
  <Pages>84</Pages>
  <Words>8341</Words>
  <Characters>9111</Characters>
  <Lines>20</Lines>
  <Paragraphs>5</Paragraphs>
  <TotalTime>22</TotalTime>
  <ScaleCrop>false</ScaleCrop>
  <LinksUpToDate>false</LinksUpToDate>
  <CharactersWithSpaces>9133</CharactersWithSpaces>
  <Application>WPS Office_11.8.2.1120_F1E327BC-269C-435d-A152-05C5408002CA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2019-06-04T03:06:00Z</dcterms:created>
  <dc:creator>陈萍</dc:creator>
  <cp:lastModifiedBy>user</cp:lastModifiedBy>
  <cp:lastPrinted>2026-01-01T02:00:00Z</cp:lastPrinted>
  <dcterms:modified xsi:type="dcterms:W3CDTF">2026-09-24T10:35:38Z</dcterms:modified>
  <dc:title>区域性就业培训基地建设项目</dc:title>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2052-11.8.2.1120</vt:lpwstr>
  </property>
  <property fmtid="{D5CDD505-2E9C-101B-9397-08002B2CF9AE}" pid="3" name="ICV">
    <vt:lpwstr>0E5629DE498640728FFFAD42EB1B41A2_13</vt:lpwstr>
  </property>
  <property fmtid="{D5CDD505-2E9C-101B-9397-08002B2CF9AE}" pid="4" name="KSOTemplateDocerSaveRecord">
    <vt:lpwstr>eyJoZGlkIjoiMzczNzBjODFiOTM2MjE0NTE3Y2ZlYzk1NzJjNDQ3M2MiLCJ1c2VySWQiOiIxMTY1MTIxMDYyIn0=</vt:lpwstr>
  </property>
</Properties>
</file>