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2A8B4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</w:rPr>
        <w:t>黑水县</w:t>
      </w:r>
      <w:r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  <w:lang w:val="en-US" w:eastAsia="zh-CN"/>
        </w:rPr>
        <w:t>沙石多镇人民政府</w:t>
      </w:r>
    </w:p>
    <w:p w14:paraId="50D0172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</w:rPr>
      </w:pPr>
      <w:r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</w:rPr>
        <w:t>关于“三公”经费</w:t>
      </w:r>
      <w:r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  <w:lang w:eastAsia="zh-CN"/>
        </w:rPr>
        <w:t>202</w:t>
      </w:r>
      <w:r>
        <w:rPr>
          <w:rFonts w:hint="eastAsia" w:eastAsia="方正小标宋_GBK" w:cs="方正小标宋_GBK"/>
          <w:color w:val="auto"/>
          <w:kern w:val="0"/>
          <w:sz w:val="44"/>
          <w:szCs w:val="44"/>
          <w:lang w:val="en-US" w:eastAsia="zh-CN"/>
        </w:rPr>
        <w:t>5</w:t>
      </w:r>
      <w:r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</w:rPr>
        <w:t>年决算情况说明</w:t>
      </w:r>
    </w:p>
    <w:p w14:paraId="7DE551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ascii="Times New Roman" w:hAnsi="Times New Roman" w:eastAsia="仿宋_GB2312" w:cs="宋体"/>
          <w:color w:val="auto"/>
          <w:kern w:val="0"/>
          <w:sz w:val="32"/>
          <w:szCs w:val="32"/>
        </w:rPr>
      </w:pPr>
    </w:p>
    <w:p w14:paraId="6837B6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97" w:firstLineChars="218"/>
        <w:jc w:val="both"/>
        <w:textAlignment w:val="auto"/>
        <w:rPr>
          <w:rFonts w:ascii="Times New Roman" w:hAnsi="Times New Roman" w:eastAsia="仿宋_GB2312" w:cs="宋体"/>
          <w:color w:val="auto"/>
          <w:kern w:val="0"/>
          <w:sz w:val="32"/>
          <w:szCs w:val="32"/>
        </w:rPr>
      </w:pP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我单位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202</w:t>
      </w:r>
      <w:r>
        <w:rPr>
          <w:rFonts w:hint="eastAsia" w:eastAsia="仿宋_GB2312" w:cs="宋体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年“三公”经费决算情况如下：</w:t>
      </w:r>
    </w:p>
    <w:p w14:paraId="37DD732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6" w:firstLineChars="227"/>
        <w:jc w:val="both"/>
        <w:textAlignment w:val="auto"/>
        <w:rPr>
          <w:rFonts w:ascii="Times New Roman" w:hAnsi="Times New Roman" w:eastAsia="黑体" w:cs="宋体"/>
          <w:color w:val="auto"/>
          <w:kern w:val="0"/>
          <w:sz w:val="32"/>
          <w:szCs w:val="32"/>
        </w:rPr>
      </w:pPr>
      <w:r>
        <w:rPr>
          <w:rFonts w:hint="eastAsia" w:ascii="Times New Roman" w:hAnsi="Times New Roman" w:eastAsia="黑体" w:cs="宋体"/>
          <w:color w:val="auto"/>
          <w:kern w:val="0"/>
          <w:sz w:val="32"/>
          <w:szCs w:val="32"/>
        </w:rPr>
        <w:t>一、因公出国（境）经费</w:t>
      </w:r>
    </w:p>
    <w:p w14:paraId="1AA000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6" w:firstLineChars="227"/>
        <w:jc w:val="both"/>
        <w:textAlignment w:val="auto"/>
        <w:rPr>
          <w:rFonts w:ascii="Times New Roman" w:hAnsi="Times New Roman" w:eastAsia="仿宋_GB2312" w:cs="宋体"/>
          <w:color w:val="auto"/>
          <w:kern w:val="0"/>
          <w:sz w:val="32"/>
          <w:szCs w:val="32"/>
        </w:rPr>
      </w:pP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202</w:t>
      </w:r>
      <w:r>
        <w:rPr>
          <w:rFonts w:hint="eastAsia" w:eastAsia="仿宋_GB2312" w:cs="宋体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年决算支出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万元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，与年初预算数一致，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与202</w:t>
      </w:r>
      <w:r>
        <w:rPr>
          <w:rFonts w:hint="eastAsia" w:eastAsia="仿宋_GB2312" w:cs="宋体"/>
          <w:color w:val="auto"/>
          <w:kern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年决算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持平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。</w:t>
      </w:r>
    </w:p>
    <w:p w14:paraId="2B6CC2A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94" w:firstLineChars="217"/>
        <w:jc w:val="both"/>
        <w:textAlignment w:val="auto"/>
        <w:rPr>
          <w:rFonts w:ascii="Times New Roman" w:hAnsi="Times New Roman" w:eastAsia="黑体" w:cs="宋体"/>
          <w:color w:val="auto"/>
          <w:kern w:val="0"/>
          <w:sz w:val="32"/>
          <w:szCs w:val="32"/>
        </w:rPr>
      </w:pPr>
      <w:r>
        <w:rPr>
          <w:rFonts w:hint="eastAsia" w:ascii="Times New Roman" w:hAnsi="Times New Roman" w:eastAsia="黑体" w:cs="宋体"/>
          <w:color w:val="auto"/>
          <w:kern w:val="0"/>
          <w:sz w:val="32"/>
          <w:szCs w:val="32"/>
        </w:rPr>
        <w:t>二、公务接待费</w:t>
      </w:r>
    </w:p>
    <w:p w14:paraId="5B2C40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202</w:t>
      </w:r>
      <w:r>
        <w:rPr>
          <w:rFonts w:hint="eastAsia" w:eastAsia="仿宋_GB2312" w:cs="宋体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年决算支出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万元，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与年初预算数一致，与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202</w:t>
      </w:r>
      <w:r>
        <w:rPr>
          <w:rFonts w:hint="eastAsia" w:eastAsia="仿宋_GB2312" w:cs="宋体"/>
          <w:color w:val="auto"/>
          <w:kern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年决算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持平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。其中：国内公务接待费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万元，共计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批次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人；国（境）外公务接待费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</w:rPr>
        <w:t>元。</w:t>
      </w:r>
    </w:p>
    <w:p w14:paraId="65AC07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ascii="Times New Roman" w:hAnsi="Times New Roman" w:eastAsia="黑体" w:cs="宋体"/>
          <w:color w:val="auto"/>
          <w:kern w:val="0"/>
          <w:sz w:val="32"/>
          <w:szCs w:val="32"/>
        </w:rPr>
      </w:pPr>
      <w:r>
        <w:rPr>
          <w:rFonts w:hint="eastAsia" w:ascii="Times New Roman" w:hAnsi="Times New Roman" w:eastAsia="黑体" w:cs="宋体"/>
          <w:color w:val="auto"/>
          <w:kern w:val="0"/>
          <w:sz w:val="32"/>
          <w:szCs w:val="32"/>
        </w:rPr>
        <w:t>三、公务用车购置及运行维护费</w:t>
      </w:r>
    </w:p>
    <w:p w14:paraId="5DC028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ascii="Times New Roman" w:hAnsi="Times New Roman" w:eastAsia="仿宋_GB2312" w:cs="宋体"/>
          <w:color w:val="auto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  <w:highlight w:val="none"/>
        </w:rPr>
        <w:t>202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eastAsia="仿宋_GB2312"/>
          <w:color w:val="000000"/>
          <w:sz w:val="32"/>
          <w:szCs w:val="32"/>
          <w:highlight w:val="none"/>
        </w:rPr>
        <w:t>年“三公”经费财政拨款支出决算为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10.98</w:t>
      </w:r>
      <w:r>
        <w:rPr>
          <w:rFonts w:hint="eastAsia" w:ascii="Times New Roman" w:hAnsi="Times New Roman" w:eastAsia="仿宋_GB2312"/>
          <w:color w:val="000000"/>
          <w:sz w:val="32"/>
          <w:szCs w:val="32"/>
          <w:highlight w:val="none"/>
        </w:rPr>
        <w:t>万元，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highlight w:val="none"/>
          <w:lang w:eastAsia="zh-CN"/>
        </w:rPr>
        <w:t>年初预算数</w:t>
      </w:r>
      <w:r>
        <w:rPr>
          <w:rFonts w:hint="eastAsia" w:eastAsia="仿宋_GB2312" w:cs="Times New Roman"/>
          <w:color w:val="000000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highlight w:val="none"/>
          <w:lang w:val="en-US" w:eastAsia="zh-CN"/>
        </w:rPr>
        <w:t>万元，减少</w:t>
      </w:r>
      <w:r>
        <w:rPr>
          <w:rFonts w:hint="eastAsia" w:eastAsia="仿宋_GB2312" w:cs="Times New Roman"/>
          <w:color w:val="000000"/>
          <w:sz w:val="32"/>
          <w:szCs w:val="32"/>
          <w:highlight w:val="none"/>
          <w:lang w:val="en-US" w:eastAsia="zh-CN"/>
        </w:rPr>
        <w:t>0.02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highlight w:val="none"/>
          <w:lang w:val="en-US" w:eastAsia="zh-CN"/>
        </w:rPr>
        <w:t>万元，原因是：厉行节俭；与调整预算数一致</w:t>
      </w:r>
      <w:r>
        <w:rPr>
          <w:rFonts w:hint="eastAsia" w:ascii="Times New Roman" w:hAnsi="Times New Roman" w:eastAsia="仿宋_GB2312" w:cs="宋体"/>
          <w:color w:val="333333"/>
          <w:kern w:val="0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完成预算100%</w:t>
      </w:r>
      <w:r>
        <w:rPr>
          <w:rFonts w:hint="eastAsia" w:ascii="Times New Roman" w:hAnsi="Times New Roman" w:eastAsia="仿宋_GB2312"/>
          <w:color w:val="000000"/>
          <w:sz w:val="32"/>
          <w:szCs w:val="32"/>
          <w:lang w:eastAsia="zh-CN"/>
        </w:rPr>
        <w:t>；</w:t>
      </w:r>
      <w:r>
        <w:rPr>
          <w:rFonts w:hint="eastAsia" w:ascii="Times New Roman" w:hAnsi="Times New Roman" w:eastAsia="仿宋_GB2312" w:cs="宋体"/>
          <w:color w:val="333333"/>
          <w:kern w:val="0"/>
          <w:sz w:val="32"/>
          <w:szCs w:val="32"/>
        </w:rPr>
        <w:t>较上年度决算</w:t>
      </w:r>
      <w:r>
        <w:rPr>
          <w:rFonts w:hint="eastAsia" w:eastAsia="仿宋_GB2312"/>
          <w:color w:val="000000"/>
          <w:sz w:val="32"/>
          <w:szCs w:val="32"/>
          <w:lang w:eastAsia="zh-CN"/>
        </w:rPr>
        <w:t>增加</w:t>
      </w:r>
      <w:r>
        <w:rPr>
          <w:rFonts w:hint="eastAsia" w:eastAsia="仿宋_GB2312"/>
          <w:color w:val="000000"/>
          <w:sz w:val="32"/>
          <w:szCs w:val="32"/>
          <w:lang w:val="en-US" w:eastAsia="zh-CN"/>
        </w:rPr>
        <w:t>1.19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万元，</w:t>
      </w:r>
      <w:r>
        <w:rPr>
          <w:rFonts w:hint="eastAsia" w:eastAsia="仿宋_GB2312"/>
          <w:color w:val="000000"/>
          <w:sz w:val="32"/>
          <w:szCs w:val="32"/>
          <w:lang w:eastAsia="zh-CN"/>
        </w:rPr>
        <w:t>增长</w:t>
      </w:r>
      <w:r>
        <w:rPr>
          <w:rFonts w:hint="eastAsia" w:eastAsia="仿宋_GB2312"/>
          <w:color w:val="000000"/>
          <w:sz w:val="32"/>
          <w:szCs w:val="32"/>
          <w:lang w:val="en-US" w:eastAsia="zh-CN"/>
        </w:rPr>
        <w:t>12.16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%。主要原因是：</w:t>
      </w:r>
      <w:r>
        <w:rPr>
          <w:rFonts w:hint="eastAsia" w:eastAsia="仿宋_GB2312" w:cs="宋体"/>
          <w:color w:val="333333"/>
          <w:kern w:val="0"/>
          <w:sz w:val="32"/>
          <w:szCs w:val="32"/>
          <w:lang w:val="en-US" w:eastAsia="zh-CN"/>
        </w:rPr>
        <w:t>公车老旧，维修费用增加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eastAsia="zh-CN"/>
        </w:rPr>
        <w:t>。</w:t>
      </w:r>
    </w:p>
    <w:p w14:paraId="3F2A30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单位共有公务用车</w:t>
      </w:r>
      <w:r>
        <w:rPr>
          <w:rFonts w:hint="eastAsia" w:eastAsia="仿宋_GB2312" w:cs="宋体"/>
          <w:color w:val="auto"/>
          <w:kern w:val="0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辆，其中：越野车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辆，轿车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辆，其他用车</w:t>
      </w:r>
      <w:r>
        <w:rPr>
          <w:rFonts w:hint="eastAsia" w:eastAsia="仿宋_GB2312" w:cs="宋体"/>
          <w:color w:val="auto"/>
          <w:kern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辆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。</w:t>
      </w:r>
    </w:p>
    <w:p w14:paraId="0A54B3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202</w:t>
      </w:r>
      <w:r>
        <w:rPr>
          <w:rFonts w:hint="eastAsia" w:eastAsia="仿宋_GB2312" w:cs="宋体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年安排公务用车运行维护费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10.98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万元。</w:t>
      </w:r>
    </w:p>
    <w:p w14:paraId="54194A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202</w:t>
      </w:r>
      <w:r>
        <w:rPr>
          <w:rFonts w:hint="eastAsia" w:eastAsia="仿宋_GB2312" w:cs="宋体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年安排公务用车购置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辆，购置费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val="en-US" w:eastAsia="zh-CN"/>
        </w:rPr>
        <w:t>0</w:t>
      </w:r>
      <w:r>
        <w:rPr>
          <w:rFonts w:hint="eastAsia" w:ascii="Times New Roman" w:hAnsi="Times New Roman" w:eastAsia="仿宋_GB2312" w:cs="宋体"/>
          <w:color w:val="auto"/>
          <w:kern w:val="0"/>
          <w:sz w:val="32"/>
          <w:szCs w:val="32"/>
          <w:lang w:eastAsia="zh-CN"/>
        </w:rPr>
        <w:t>万元。</w:t>
      </w:r>
    </w:p>
    <w:p w14:paraId="6AA167A8">
      <w:pPr>
        <w:widowControl/>
        <w:spacing w:line="240" w:lineRule="atLeast"/>
        <w:jc w:val="both"/>
        <w:rPr>
          <w:rFonts w:ascii="Times New Roman" w:hAnsi="Times New Roman" w:eastAsia="仿宋_GB2312" w:cs="宋体"/>
          <w:color w:val="auto"/>
          <w:kern w:val="0"/>
          <w:sz w:val="32"/>
          <w:szCs w:val="32"/>
        </w:rPr>
      </w:pPr>
    </w:p>
    <w:p w14:paraId="47607FC6">
      <w:pPr>
        <w:widowControl/>
        <w:spacing w:line="480" w:lineRule="atLeast"/>
        <w:jc w:val="both"/>
        <w:rPr>
          <w:rFonts w:hint="eastAsia" w:ascii="Times New Roman" w:hAnsi="Times New Roman" w:eastAsia="方正小标宋简体" w:cs="宋体"/>
          <w:color w:val="auto"/>
          <w:kern w:val="0"/>
          <w:sz w:val="36"/>
          <w:szCs w:val="36"/>
        </w:rPr>
      </w:pPr>
    </w:p>
    <w:p w14:paraId="042414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center"/>
        <w:textAlignment w:val="auto"/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  <w:lang w:eastAsia="zh-CN"/>
        </w:rPr>
      </w:pPr>
      <w:r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</w:rPr>
        <w:t>黑水县</w:t>
      </w:r>
      <w:r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  <w:lang w:val="en-US" w:eastAsia="zh-CN"/>
        </w:rPr>
        <w:t>沙石多镇人民政府</w:t>
      </w:r>
    </w:p>
    <w:p w14:paraId="0B8984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center"/>
        <w:textAlignment w:val="auto"/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</w:rPr>
      </w:pPr>
      <w:r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</w:rPr>
        <w:t>财政拨款“三公”经费</w:t>
      </w:r>
      <w:r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  <w:lang w:eastAsia="zh-CN"/>
        </w:rPr>
        <w:t>202</w:t>
      </w:r>
      <w:r>
        <w:rPr>
          <w:rFonts w:hint="eastAsia" w:eastAsia="方正小标宋_GBK" w:cs="方正小标宋_GBK"/>
          <w:color w:val="auto"/>
          <w:kern w:val="0"/>
          <w:sz w:val="44"/>
          <w:szCs w:val="44"/>
          <w:lang w:val="en-US" w:eastAsia="zh-CN"/>
        </w:rPr>
        <w:t>5</w:t>
      </w:r>
      <w:r>
        <w:rPr>
          <w:rFonts w:hint="eastAsia" w:ascii="Times New Roman" w:hAnsi="Times New Roman" w:eastAsia="方正小标宋_GBK" w:cs="方正小标宋_GBK"/>
          <w:color w:val="auto"/>
          <w:kern w:val="0"/>
          <w:sz w:val="44"/>
          <w:szCs w:val="44"/>
        </w:rPr>
        <w:t>年决算情况表</w:t>
      </w:r>
    </w:p>
    <w:p w14:paraId="1F5E723E">
      <w:pPr>
        <w:widowControl/>
        <w:spacing w:line="240" w:lineRule="atLeast"/>
        <w:ind w:firstLine="60"/>
        <w:jc w:val="center"/>
        <w:rPr>
          <w:rFonts w:ascii="Times New Roman" w:hAnsi="Times New Roman" w:eastAsia="仿宋_GB2312" w:cs="宋体"/>
          <w:color w:val="auto"/>
          <w:kern w:val="0"/>
          <w:sz w:val="28"/>
          <w:szCs w:val="28"/>
        </w:rPr>
      </w:pPr>
      <w:r>
        <w:rPr>
          <w:rFonts w:hint="eastAsia" w:ascii="Times New Roman" w:hAnsi="Times New Roman" w:eastAsia="仿宋_GB2312" w:cs="宋体"/>
          <w:color w:val="auto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9"/>
        <w:tblW w:w="8424" w:type="dxa"/>
        <w:jc w:val="center"/>
        <w:tblCellSpacing w:w="7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76"/>
        <w:gridCol w:w="3836"/>
      </w:tblGrid>
      <w:tr w14:paraId="0ABDCFC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  <w:jc w:val="center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55B9AAE0">
            <w:pPr>
              <w:widowControl/>
              <w:spacing w:line="240" w:lineRule="atLeast"/>
              <w:jc w:val="left"/>
              <w:rPr>
                <w:rFonts w:ascii="Times New Roman" w:hAnsi="Times New Roman" w:eastAsia="仿宋_GB2312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</w:rPr>
              <w:t>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0BA3B065">
            <w:pPr>
              <w:widowControl/>
              <w:spacing w:line="240" w:lineRule="atLeast"/>
              <w:jc w:val="center"/>
              <w:rPr>
                <w:rFonts w:ascii="Times New Roman" w:hAnsi="Times New Roman" w:eastAsia="仿宋_GB2312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</w:rPr>
              <w:t>年决算（万元）</w:t>
            </w:r>
          </w:p>
        </w:tc>
      </w:tr>
      <w:tr w14:paraId="3ACBEE6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  <w:jc w:val="center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6C2E3081">
            <w:pPr>
              <w:widowControl/>
              <w:spacing w:line="240" w:lineRule="atLeast"/>
              <w:jc w:val="left"/>
              <w:rPr>
                <w:rFonts w:ascii="Times New Roman" w:hAnsi="Times New Roman" w:eastAsia="仿宋_GB2312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568E59B8">
            <w:pPr>
              <w:widowControl/>
              <w:spacing w:line="240" w:lineRule="atLeast"/>
              <w:jc w:val="center"/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544295C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  <w:jc w:val="center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79366D12">
            <w:pPr>
              <w:widowControl/>
              <w:spacing w:line="240" w:lineRule="atLeast"/>
              <w:jc w:val="left"/>
              <w:rPr>
                <w:rFonts w:ascii="Times New Roman" w:hAnsi="Times New Roman" w:eastAsia="仿宋_GB2312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7D3C014B">
            <w:pPr>
              <w:widowControl/>
              <w:spacing w:line="240" w:lineRule="atLeast"/>
              <w:jc w:val="center"/>
              <w:rPr>
                <w:rFonts w:ascii="Times New Roman" w:hAnsi="Times New Roman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384AB47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  <w:jc w:val="center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414E36ED">
            <w:pPr>
              <w:widowControl/>
              <w:spacing w:line="240" w:lineRule="atLeast"/>
              <w:jc w:val="left"/>
              <w:rPr>
                <w:rFonts w:ascii="Times New Roman" w:hAnsi="Times New Roman" w:eastAsia="仿宋_GB2312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145F5D38">
            <w:pPr>
              <w:widowControl/>
              <w:spacing w:line="240" w:lineRule="atLeast"/>
              <w:jc w:val="center"/>
              <w:rPr>
                <w:rFonts w:hint="default" w:ascii="Times New Roman" w:hAnsi="Times New Roman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  <w:highlight w:val="none"/>
                <w:lang w:val="en-US" w:eastAsia="zh-CN"/>
              </w:rPr>
              <w:t>10.98</w:t>
            </w:r>
          </w:p>
        </w:tc>
      </w:tr>
      <w:tr w14:paraId="0277245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  <w:jc w:val="center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19C48AD9">
            <w:pPr>
              <w:widowControl/>
              <w:spacing w:line="240" w:lineRule="atLeast"/>
              <w:jc w:val="left"/>
              <w:rPr>
                <w:rFonts w:ascii="Times New Roman" w:hAnsi="Times New Roman" w:eastAsia="仿宋_GB2312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</w:rPr>
              <w:t>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119EE09B">
            <w:pPr>
              <w:widowControl/>
              <w:spacing w:line="240" w:lineRule="atLeast"/>
              <w:jc w:val="center"/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3A333B3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  <w:jc w:val="center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35B802DA">
            <w:pPr>
              <w:widowControl/>
              <w:spacing w:line="240" w:lineRule="atLeast"/>
              <w:jc w:val="left"/>
              <w:rPr>
                <w:rFonts w:ascii="Times New Roman" w:hAnsi="Times New Roman" w:eastAsia="仿宋_GB2312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宋体"/>
                <w:color w:val="auto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004E84B3">
            <w:pPr>
              <w:widowControl/>
              <w:spacing w:line="240" w:lineRule="atLeast"/>
              <w:jc w:val="center"/>
              <w:rPr>
                <w:rFonts w:hint="default" w:ascii="Times New Roman" w:hAnsi="Times New Roman" w:eastAsia="仿宋_GB2312" w:cs="宋体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color w:val="000000"/>
                <w:sz w:val="32"/>
                <w:szCs w:val="32"/>
                <w:highlight w:val="none"/>
                <w:lang w:val="en-US" w:eastAsia="zh-CN"/>
              </w:rPr>
              <w:t>10.98</w:t>
            </w:r>
          </w:p>
        </w:tc>
      </w:tr>
    </w:tbl>
    <w:p w14:paraId="630BEC65">
      <w:pPr>
        <w:rPr>
          <w:rFonts w:ascii="Times New Roman" w:hAnsi="Times New Roman"/>
          <w:color w:val="auto"/>
        </w:rPr>
      </w:pPr>
    </w:p>
    <w:p w14:paraId="6E9AD6CB">
      <w:pPr>
        <w:rPr>
          <w:rFonts w:ascii="Times New Roman" w:hAnsi="Times New Roman"/>
          <w:color w:val="auto"/>
        </w:rPr>
      </w:pPr>
    </w:p>
    <w:p w14:paraId="65F6D01A">
      <w:pPr>
        <w:rPr>
          <w:rFonts w:ascii="Times New Roman" w:hAnsi="Times New Roman"/>
          <w:color w:val="auto"/>
        </w:rPr>
      </w:pPr>
    </w:p>
    <w:p w14:paraId="011A158E">
      <w:pPr>
        <w:rPr>
          <w:rFonts w:ascii="Times New Roman" w:hAnsi="Times New Roman"/>
          <w:color w:val="auto"/>
        </w:rPr>
      </w:pPr>
    </w:p>
    <w:p w14:paraId="4ECF0AE2">
      <w:pPr>
        <w:rPr>
          <w:rFonts w:ascii="Times New Roman" w:hAnsi="Times New Roman"/>
          <w:color w:val="auto"/>
        </w:rPr>
      </w:pPr>
    </w:p>
    <w:p w14:paraId="68958447">
      <w:pPr>
        <w:rPr>
          <w:rFonts w:ascii="Times New Roman" w:hAnsi="Times New Roman"/>
          <w:color w:val="auto"/>
        </w:rPr>
      </w:pPr>
    </w:p>
    <w:p w14:paraId="4C46A48B">
      <w:pPr>
        <w:rPr>
          <w:rFonts w:ascii="Times New Roman" w:hAnsi="Times New Roman"/>
          <w:color w:val="auto"/>
        </w:rPr>
      </w:pPr>
    </w:p>
    <w:p w14:paraId="43207F3C">
      <w:pPr>
        <w:rPr>
          <w:rFonts w:ascii="Times New Roman" w:hAnsi="Times New Roman"/>
          <w:color w:val="auto"/>
        </w:rPr>
      </w:pPr>
    </w:p>
    <w:p w14:paraId="7F51B8AA">
      <w:pPr>
        <w:rPr>
          <w:rFonts w:ascii="Times New Roman" w:hAnsi="Times New Roman"/>
          <w:color w:val="auto"/>
        </w:rPr>
      </w:pPr>
    </w:p>
    <w:p w14:paraId="19C52185">
      <w:pPr>
        <w:rPr>
          <w:rFonts w:ascii="Times New Roman" w:hAnsi="Times New Roman"/>
          <w:color w:val="auto"/>
        </w:rPr>
      </w:pPr>
    </w:p>
    <w:p w14:paraId="15A6DFAD">
      <w:pPr>
        <w:spacing w:line="600" w:lineRule="exact"/>
        <w:jc w:val="left"/>
        <w:outlineLvl w:val="0"/>
        <w:rPr>
          <w:rStyle w:val="11"/>
          <w:rFonts w:ascii="Times New Roman" w:hAnsi="Times New Roman" w:eastAsia="仿宋_GB2312"/>
          <w:color w:val="auto"/>
          <w:sz w:val="32"/>
          <w:szCs w:val="32"/>
        </w:rPr>
      </w:pPr>
    </w:p>
    <w:p w14:paraId="49886ED3">
      <w:pPr>
        <w:spacing w:line="600" w:lineRule="exact"/>
        <w:jc w:val="left"/>
        <w:outlineLvl w:val="0"/>
        <w:rPr>
          <w:rStyle w:val="11"/>
          <w:rFonts w:ascii="Times New Roman" w:hAnsi="Times New Roman" w:eastAsia="仿宋_GB2312"/>
          <w:color w:val="auto"/>
          <w:sz w:val="32"/>
          <w:szCs w:val="32"/>
        </w:rPr>
      </w:pPr>
    </w:p>
    <w:p w14:paraId="71C5F7C3">
      <w:pPr>
        <w:spacing w:line="600" w:lineRule="exact"/>
        <w:jc w:val="left"/>
        <w:outlineLvl w:val="0"/>
        <w:rPr>
          <w:rStyle w:val="11"/>
          <w:rFonts w:ascii="Times New Roman" w:hAnsi="Times New Roman" w:eastAsia="仿宋_GB2312"/>
          <w:color w:val="auto"/>
          <w:sz w:val="32"/>
          <w:szCs w:val="32"/>
        </w:rPr>
      </w:pPr>
    </w:p>
    <w:p w14:paraId="1B8A6B6C">
      <w:pPr>
        <w:rPr>
          <w:rFonts w:ascii="Times New Roman" w:hAnsi="Times New Roman"/>
          <w:color w:val="auto"/>
        </w:rPr>
      </w:pPr>
    </w:p>
    <w:sectPr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decorative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9DF997D-8E67-442A-BB33-4D50A8F8D073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uxi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72396B94-7D04-41D9-8344-8A4294FD8C8B}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A8AD631A-5717-4497-9BDE-3F20596FB60D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4E51E8CB-4E26-4570-8989-544D0AA2E6CE}"/>
  </w:font>
  <w:font w:name="WPSEMBED1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IwZTExZjc1M2ZjODdlMDFlNTBjODQ5NGEyNjhmNDYifQ=="/>
  </w:docVars>
  <w:rsids>
    <w:rsidRoot w:val="00000000"/>
    <w:rsid w:val="03192A63"/>
    <w:rsid w:val="13F64E4E"/>
    <w:rsid w:val="150D1364"/>
    <w:rsid w:val="167E20F6"/>
    <w:rsid w:val="17AB72E5"/>
    <w:rsid w:val="18866F15"/>
    <w:rsid w:val="1A4345DA"/>
    <w:rsid w:val="24311EAA"/>
    <w:rsid w:val="315F4E7E"/>
    <w:rsid w:val="336A7566"/>
    <w:rsid w:val="593C6401"/>
    <w:rsid w:val="63D538F9"/>
    <w:rsid w:val="6D8F2ABE"/>
    <w:rsid w:val="754D08E4"/>
    <w:rsid w:val="75790588"/>
    <w:rsid w:val="761242A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Luxi Sans" w:hAnsi="Luxi Sans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6"/>
    <w:qFormat/>
    <w:uiPriority w:val="0"/>
    <w:pPr>
      <w:spacing w:before="30" w:beforeLines="30"/>
    </w:pPr>
    <w:rPr>
      <w:rFonts w:ascii="仿宋_GB2312" w:eastAsia="仿宋_GB2312"/>
      <w:kern w:val="0"/>
      <w:sz w:val="30"/>
    </w:rPr>
  </w:style>
  <w:style w:type="paragraph" w:styleId="6">
    <w:name w:val="Body Text First Indent"/>
    <w:basedOn w:val="5"/>
    <w:qFormat/>
    <w:uiPriority w:val="0"/>
    <w:pPr>
      <w:ind w:firstLine="100" w:firstLineChars="100"/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Arial"/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Arial"/>
      <w:sz w:val="18"/>
      <w:szCs w:val="18"/>
    </w:rPr>
  </w:style>
  <w:style w:type="character" w:customStyle="1" w:styleId="11">
    <w:name w:val="heading 1 Char"/>
    <w:basedOn w:val="10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Sky123.Org</Company>
  <Pages>2</Pages>
  <Words>416</Words>
  <Characters>480</Characters>
  <Lines>50</Lines>
  <Paragraphs>27</Paragraphs>
  <TotalTime>0</TotalTime>
  <ScaleCrop>false</ScaleCrop>
  <LinksUpToDate>false</LinksUpToDate>
  <CharactersWithSpaces>537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c</cp:lastModifiedBy>
  <cp:lastPrinted>2024-09-27T02:38:00Z</cp:lastPrinted>
  <dcterms:modified xsi:type="dcterms:W3CDTF">2026-08-26T09:41:00Z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2429C5FAF7B947C5A3FB84D7DFFA4600_13</vt:lpwstr>
  </property>
  <property fmtid="{D5CDD505-2E9C-101B-9397-08002B2CF9AE}" pid="4" name="KSOTemplateDocerSaveRecord">
    <vt:lpwstr>eyJoZGlkIjoiZWNkYWIxNmZiNGUyMTMwNjYzZTBmZTUxYWMyOGVjYzUiLCJ1c2VySWQiOiI4MDI1OTA3MjEifQ==</vt:lpwstr>
  </property>
</Properties>
</file>