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outlineLvl w:val="0"/>
        <w:rPr>
          <w:rFonts w:hint="eastAsia" w:ascii="Times New Roman" w:hAnsi="Times New Roman" w:eastAsia="方正小标宋_GBK" w:cs="方正小标宋_GBK"/>
          <w:b w:val="0"/>
          <w:bCs/>
          <w:sz w:val="44"/>
          <w:szCs w:val="44"/>
          <w:lang w:val="en-US" w:eastAsia="zh-CN"/>
        </w:rPr>
      </w:pPr>
      <w:bookmarkStart w:id="0" w:name="_Toc15396616"/>
      <w:r>
        <w:rPr>
          <w:rFonts w:hint="eastAsia" w:ascii="Times New Roman" w:hAnsi="Times New Roman" w:eastAsia="方正小标宋_GBK" w:cs="方正小标宋_GBK"/>
          <w:b w:val="0"/>
          <w:bCs/>
          <w:sz w:val="44"/>
          <w:szCs w:val="44"/>
          <w:lang w:val="en-US" w:eastAsia="zh-CN"/>
        </w:rPr>
        <w:t>黑水县沙石多镇人民政府（行政及参公）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outlineLvl w:val="0"/>
        <w:rPr>
          <w:rFonts w:hint="eastAsia" w:ascii="Times New Roman" w:hAnsi="Times New Roman" w:eastAsia="方正小标宋_GBK" w:cs="方正小标宋_GBK"/>
          <w:b w:val="0"/>
          <w:bCs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b w:val="0"/>
          <w:bCs/>
          <w:sz w:val="44"/>
          <w:szCs w:val="44"/>
          <w:lang w:eastAsia="zh-CN"/>
        </w:rPr>
        <w:t>202</w:t>
      </w:r>
      <w:r>
        <w:rPr>
          <w:rFonts w:hint="eastAsia" w:eastAsia="方正小标宋_GBK" w:cs="方正小标宋_GBK"/>
          <w:b w:val="0"/>
          <w:bCs/>
          <w:sz w:val="44"/>
          <w:szCs w:val="44"/>
          <w:lang w:val="en-US" w:eastAsia="zh-CN"/>
        </w:rPr>
        <w:t>5</w:t>
      </w:r>
      <w:r>
        <w:rPr>
          <w:rFonts w:hint="eastAsia" w:ascii="Times New Roman" w:hAnsi="Times New Roman" w:eastAsia="方正小标宋_GBK" w:cs="方正小标宋_GBK"/>
          <w:b w:val="0"/>
          <w:bCs/>
          <w:sz w:val="44"/>
          <w:szCs w:val="44"/>
        </w:rPr>
        <w:t>年部门整体支出绩效评价报告</w:t>
      </w:r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2" w:firstLineChars="200"/>
        <w:jc w:val="both"/>
        <w:textAlignment w:val="auto"/>
        <w:rPr>
          <w:rFonts w:hint="eastAsia" w:ascii="Times New Roman" w:hAnsi="Times New Roman" w:eastAsia="仿宋_GB2312" w:cs="仿宋_GB2312"/>
          <w:b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  <w:t>一、部门（单位）概况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ind w:firstLine="642" w:firstLineChars="200"/>
        <w:jc w:val="both"/>
        <w:textAlignment w:val="auto"/>
        <w:outlineLvl w:val="0"/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</w:pP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  <w:t>（一）机构组成</w:t>
      </w:r>
    </w:p>
    <w:p>
      <w:pPr>
        <w:keepNext w:val="0"/>
        <w:keepLines w:val="0"/>
        <w:pageBreakBefore w:val="0"/>
        <w:tabs>
          <w:tab w:val="left" w:pos="7020"/>
          <w:tab w:val="left" w:pos="7740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黑水县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eastAsia="zh-CN"/>
        </w:rPr>
        <w:t>沙石多镇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人民政府，取得黑水县机构编制委员会办公室颁发的统一社会信用代码：11513228008943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val="en-US" w:eastAsia="zh-CN"/>
        </w:rPr>
        <w:t>10XG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，机构地址：四川省阿坝州黑水县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eastAsia="zh-CN"/>
        </w:rPr>
        <w:t>沙石多镇杨柳秋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村，法定代表人：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eastAsia="zh-CN"/>
        </w:rPr>
        <w:t>石孝磊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，机构性质：机关。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eastAsia="zh-CN"/>
        </w:rPr>
        <w:t>沙石多镇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属于乡财县管</w:t>
      </w:r>
      <w:r>
        <w:rPr>
          <w:rFonts w:hint="default" w:eastAsia="仿宋_GB2312" w:cs="仿宋_GB2312"/>
          <w:bCs/>
          <w:sz w:val="32"/>
          <w:szCs w:val="32"/>
        </w:rPr>
        <w:t>辖</w:t>
      </w:r>
      <w:bookmarkStart w:id="1" w:name="_GoBack"/>
      <w:bookmarkEnd w:id="1"/>
      <w:r>
        <w:rPr>
          <w:rFonts w:hint="eastAsia" w:ascii="Times New Roman" w:hAnsi="Times New Roman" w:eastAsia="仿宋_GB2312" w:cs="仿宋_GB2312"/>
          <w:bCs/>
          <w:sz w:val="32"/>
          <w:szCs w:val="32"/>
        </w:rPr>
        <w:t>的乡镇，全镇共辖</w:t>
      </w:r>
      <w:r>
        <w:rPr>
          <w:rFonts w:hint="eastAsia" w:ascii="Times New Roman" w:hAnsi="Times New Roman" w:eastAsia="仿宋_GB2312" w:cs="仿宋_GB2312"/>
          <w:bCs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个行政村。本单位内设行政机构6个：</w:t>
      </w:r>
    </w:p>
    <w:p>
      <w:pPr>
        <w:keepNext w:val="0"/>
        <w:keepLines w:val="0"/>
        <w:pageBreakBefore w:val="0"/>
        <w:tabs>
          <w:tab w:val="left" w:pos="7020"/>
          <w:tab w:val="left" w:pos="7740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1.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党政综合办公室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，负责镇党委、人大主席团、政府、政协的日常事务性工作，机关各方面综合协调等工作。</w:t>
      </w:r>
    </w:p>
    <w:p>
      <w:pPr>
        <w:keepNext w:val="0"/>
        <w:keepLines w:val="0"/>
        <w:pageBreakBefore w:val="0"/>
        <w:tabs>
          <w:tab w:val="left" w:pos="7020"/>
          <w:tab w:val="left" w:pos="7740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2.党建工作办公室，负责基层党组织建设、流动党支部建设、党风廉政建设、反腐败、意识形态建设等工作。</w:t>
      </w:r>
    </w:p>
    <w:p>
      <w:pPr>
        <w:keepNext w:val="0"/>
        <w:keepLines w:val="0"/>
        <w:pageBreakBefore w:val="0"/>
        <w:tabs>
          <w:tab w:val="left" w:pos="7020"/>
          <w:tab w:val="left" w:pos="7740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3.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应急管理和综合行政执法办公室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，负责公共事务综合管理，协调安全生产、自然灾害等工作。</w:t>
      </w:r>
    </w:p>
    <w:p>
      <w:pPr>
        <w:keepNext w:val="0"/>
        <w:keepLines w:val="0"/>
        <w:pageBreakBefore w:val="0"/>
        <w:tabs>
          <w:tab w:val="left" w:pos="7020"/>
          <w:tab w:val="left" w:pos="7740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4.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社会事务和社会治理办公室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，负责社会治安综合治理工作，组织开展人武、政法、统战、信访、稳定、民宗、群众、防邪和网格化管理等相关工作。</w:t>
      </w:r>
    </w:p>
    <w:p>
      <w:pPr>
        <w:keepNext w:val="0"/>
        <w:keepLines w:val="0"/>
        <w:pageBreakBefore w:val="0"/>
        <w:tabs>
          <w:tab w:val="left" w:pos="7020"/>
          <w:tab w:val="left" w:pos="7740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5.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经济发展和乡村振兴办公室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，负责参与拟定镇经济发展规划并组织实施，对辖区重大基础设施建设，重大公共服务资源布局，重大决策提出意见及建议，优化营商环境建设等工作。</w:t>
      </w:r>
    </w:p>
    <w:p>
      <w:pPr>
        <w:keepNext w:val="0"/>
        <w:keepLines w:val="0"/>
        <w:pageBreakBefore w:val="0"/>
        <w:tabs>
          <w:tab w:val="left" w:pos="7020"/>
          <w:tab w:val="left" w:pos="7740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6.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生态环境和村镇管理办公室</w:t>
      </w:r>
      <w:r>
        <w:rPr>
          <w:rFonts w:hint="eastAsia" w:ascii="Times New Roman" w:hAnsi="Times New Roman" w:eastAsia="仿宋_GB2312" w:cs="仿宋_GB2312"/>
          <w:bCs/>
          <w:sz w:val="32"/>
          <w:szCs w:val="32"/>
        </w:rPr>
        <w:t>，负责辖区内自然资源保护、生态环境保护等工作。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ind w:firstLine="642" w:firstLineChars="200"/>
        <w:jc w:val="both"/>
        <w:textAlignment w:val="auto"/>
        <w:outlineLvl w:val="0"/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</w:pP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  <w:t>（二）机构职能</w:t>
      </w:r>
    </w:p>
    <w:p>
      <w:pPr>
        <w:keepNext w:val="0"/>
        <w:keepLines w:val="0"/>
        <w:pageBreakBefore w:val="0"/>
        <w:tabs>
          <w:tab w:val="left" w:pos="7020"/>
          <w:tab w:val="left" w:pos="7740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Cs/>
          <w:sz w:val="32"/>
          <w:szCs w:val="32"/>
          <w:lang w:val="zh-CN" w:eastAsia="zh-CN"/>
        </w:rPr>
        <w:t>黑水县沙石多镇人民政府是基层国家行政机关，行使本行政区域的政府行政职能，根据有关文件规定，主要职责是：宣传和贯彻执行上级各部门及本镇的各项政策、法规、决议等；讨论决定全镇经济建设和社会发展中的重大问题；加强党委自身建设和以党支部为核心的村级组织建设；按照干部管理权限，负责对本级镇村干部的教育、管理、培训、选拔和监督工作，并实现村级财务统一由镇代管；认真做好全镇社会治安综合治理及计划生育，环境、国土等管理工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ind w:firstLine="642" w:firstLineChars="200"/>
        <w:jc w:val="both"/>
        <w:textAlignment w:val="auto"/>
        <w:outlineLvl w:val="0"/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</w:pP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  <w:t>（三）人员概况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黑水县</w:t>
      </w:r>
      <w:r>
        <w:rPr>
          <w:rFonts w:hint="eastAsia" w:ascii="Times New Roman" w:hAnsi="Times New Roman" w:cs="仿宋_GB2312"/>
          <w:sz w:val="32"/>
          <w:szCs w:val="32"/>
          <w:lang w:val="en-US" w:eastAsia="zh-CN"/>
        </w:rPr>
        <w:t>沙石多镇</w:t>
      </w:r>
      <w:r>
        <w:rPr>
          <w:rFonts w:hint="eastAsia" w:ascii="Times New Roman" w:hAnsi="Times New Roman" w:eastAsia="仿宋_GB2312" w:cs="仿宋_GB2312"/>
          <w:sz w:val="32"/>
          <w:szCs w:val="32"/>
        </w:rPr>
        <w:t>人民政府无下属二级核算单位。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cs="仿宋_GB2312"/>
          <w:sz w:val="32"/>
          <w:szCs w:val="32"/>
          <w:highlight w:val="none"/>
          <w:lang w:eastAsia="zh-CN"/>
        </w:rPr>
        <w:t>沙石多镇</w:t>
      </w:r>
      <w:r>
        <w:rPr>
          <w:rFonts w:hint="eastAsia" w:ascii="Times New Roman" w:hAnsi="Times New Roman" w:cs="仿宋_GB2312"/>
          <w:sz w:val="32"/>
          <w:szCs w:val="32"/>
          <w:highlight w:val="none"/>
          <w:lang w:val="en-US" w:eastAsia="zh-CN"/>
        </w:rPr>
        <w:t>行政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总编制</w:t>
      </w:r>
      <w:r>
        <w:rPr>
          <w:rFonts w:hint="eastAsia" w:ascii="Times New Roman" w:hAnsi="Times New Roman" w:cs="仿宋_GB2312"/>
          <w:sz w:val="32"/>
          <w:szCs w:val="32"/>
          <w:highlight w:val="none"/>
          <w:lang w:val="en-US" w:eastAsia="zh-CN"/>
        </w:rPr>
        <w:t>21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名，在职人员</w:t>
      </w:r>
      <w:r>
        <w:rPr>
          <w:rFonts w:hint="eastAsia" w:ascii="Times New Roman" w:hAnsi="Times New Roman" w:cs="仿宋_GB2312"/>
          <w:sz w:val="32"/>
          <w:szCs w:val="32"/>
          <w:highlight w:val="none"/>
          <w:lang w:val="en-US" w:eastAsia="zh-CN"/>
        </w:rPr>
        <w:t>21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人</w:t>
      </w:r>
      <w:r>
        <w:rPr>
          <w:rFonts w:hint="eastAsia" w:ascii="Times New Roman" w:hAnsi="Times New Roman" w:cs="仿宋_GB2312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  <w:t>二、部门财政资金收支情况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ind w:firstLine="642" w:firstLineChars="200"/>
        <w:jc w:val="both"/>
        <w:textAlignment w:val="auto"/>
        <w:outlineLvl w:val="0"/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</w:pP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  <w:t>（一）部门财政资金收入情况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年</w:t>
      </w:r>
      <w:r>
        <w:rPr>
          <w:rFonts w:hint="eastAsia" w:ascii="Times New Roman" w:hAnsi="Times New Roman" w:eastAsia="仿宋_GB2312" w:cs="仿宋_GB2312"/>
          <w:sz w:val="32"/>
          <w:szCs w:val="32"/>
        </w:rPr>
        <w:t>度部门财政资金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行政</w:t>
      </w:r>
      <w:r>
        <w:rPr>
          <w:rFonts w:hint="eastAsia" w:ascii="Times New Roman" w:hAnsi="Times New Roman" w:eastAsia="仿宋_GB2312" w:cs="仿宋_GB2312"/>
          <w:sz w:val="32"/>
          <w:szCs w:val="32"/>
        </w:rPr>
        <w:t>总收入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 w:bidi="ar-SA"/>
        </w:rPr>
        <w:t>1856.87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ind w:firstLine="642" w:firstLineChars="200"/>
        <w:jc w:val="both"/>
        <w:textAlignment w:val="auto"/>
        <w:outlineLvl w:val="0"/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</w:pP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  <w:t>（</w:t>
      </w: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  <w:lang w:val="en-US" w:eastAsia="zh-CN"/>
        </w:rPr>
        <w:t>二</w:t>
      </w: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  <w:t>）部门财政资金支出情况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度部门财政资金总支出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1735.26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万元。其中：工资福利支出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509.47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万元，占总支出</w:t>
      </w:r>
      <w:r>
        <w:rPr>
          <w:rFonts w:hint="eastAsia" w:eastAsia="仿宋_GB2312" w:cs="仿宋_GB2312"/>
          <w:sz w:val="32"/>
          <w:szCs w:val="32"/>
          <w:highlight w:val="none"/>
          <w:lang w:val="en-US" w:eastAsia="zh-CN"/>
        </w:rPr>
        <w:t>29.36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%，商品服务支出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161.85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万元，占总支出</w:t>
      </w:r>
      <w:r>
        <w:rPr>
          <w:rFonts w:hint="eastAsia" w:eastAsia="仿宋_GB2312" w:cs="仿宋_GB2312"/>
          <w:sz w:val="32"/>
          <w:szCs w:val="32"/>
          <w:highlight w:val="none"/>
          <w:lang w:val="en-US" w:eastAsia="zh-CN"/>
        </w:rPr>
        <w:t>9.33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%，对个人家庭补助支出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140.41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万元，占总支出</w:t>
      </w:r>
      <w:r>
        <w:rPr>
          <w:rFonts w:hint="eastAsia" w:eastAsia="仿宋_GB2312" w:cs="仿宋_GB2312"/>
          <w:sz w:val="32"/>
          <w:szCs w:val="32"/>
          <w:highlight w:val="none"/>
          <w:lang w:val="en-US" w:eastAsia="zh-CN"/>
        </w:rPr>
        <w:t>8.09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资本性支出923.53万元，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占总支出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53.</w:t>
      </w:r>
      <w:r>
        <w:rPr>
          <w:rFonts w:hint="eastAsia" w:eastAsia="仿宋_GB2312" w:cs="仿宋_GB2312"/>
          <w:sz w:val="32"/>
          <w:szCs w:val="32"/>
          <w:highlight w:val="none"/>
          <w:lang w:val="en-US" w:eastAsia="zh-CN"/>
        </w:rPr>
        <w:t>22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  <w:t>三、部门整体预算绩效管理情况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ind w:firstLine="642" w:firstLineChars="200"/>
        <w:jc w:val="both"/>
        <w:textAlignment w:val="auto"/>
        <w:outlineLvl w:val="0"/>
        <w:rPr>
          <w:rFonts w:hint="eastAsia" w:ascii="Times New Roman" w:hAnsi="Times New Roman" w:eastAsia="楷体_GB2312" w:cs="楷体_GB2312"/>
          <w:b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  <w:lang w:val="zh-CN"/>
        </w:rPr>
        <w:t>（一）部门预算管理</w:t>
      </w:r>
    </w:p>
    <w:p>
      <w:pPr>
        <w:spacing w:line="600" w:lineRule="exact"/>
        <w:ind w:firstLine="640" w:firstLineChars="200"/>
        <w:jc w:val="left"/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 w:bidi="ar-SA"/>
        </w:rPr>
        <w:t>202</w:t>
      </w:r>
      <w:r>
        <w:rPr>
          <w:rFonts w:hint="eastAsia" w:eastAsia="仿宋_GB2312" w:cs="Times New Roman"/>
          <w:kern w:val="0"/>
          <w:sz w:val="32"/>
          <w:szCs w:val="32"/>
          <w:shd w:val="clear" w:color="auto" w:fill="FFFFFF"/>
          <w:lang w:val="en-US" w:eastAsia="zh-CN" w:bidi="ar-SA"/>
        </w:rPr>
        <w:t>5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 w:bidi="ar-SA"/>
        </w:rPr>
        <w:t>年度收入、支出总计1856.87万元，与202</w:t>
      </w:r>
      <w:r>
        <w:rPr>
          <w:rFonts w:hint="eastAsia" w:eastAsia="仿宋_GB2312" w:cs="Times New Roman"/>
          <w:kern w:val="0"/>
          <w:sz w:val="32"/>
          <w:szCs w:val="32"/>
          <w:shd w:val="clear" w:color="auto" w:fill="FFFFFF"/>
          <w:lang w:val="en-US" w:eastAsia="zh-CN" w:bidi="ar-SA"/>
        </w:rPr>
        <w:t>4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 w:bidi="ar-SA"/>
        </w:rPr>
        <w:t>年相比，</w:t>
      </w:r>
      <w:r>
        <w:rPr>
          <w:rFonts w:hint="eastAsia" w:eastAsia="仿宋_GB2312" w:cs="Times New Roman"/>
          <w:kern w:val="0"/>
          <w:sz w:val="32"/>
          <w:szCs w:val="32"/>
          <w:shd w:val="clear" w:color="auto" w:fill="FFFFFF"/>
          <w:lang w:val="en-US" w:eastAsia="zh-CN" w:bidi="ar-SA"/>
        </w:rPr>
        <w:t>增加127.14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 w:bidi="ar-SA"/>
        </w:rPr>
        <w:t>万元，</w:t>
      </w:r>
      <w:r>
        <w:rPr>
          <w:rFonts w:hint="eastAsia" w:eastAsia="仿宋_GB2312" w:cs="Times New Roman"/>
          <w:kern w:val="0"/>
          <w:sz w:val="32"/>
          <w:szCs w:val="32"/>
          <w:shd w:val="clear" w:color="auto" w:fill="FFFFFF"/>
          <w:lang w:val="en-US" w:eastAsia="zh-CN" w:bidi="ar-SA"/>
        </w:rPr>
        <w:t>增长7.35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 w:bidi="ar-SA"/>
        </w:rPr>
        <w:t>%。主要变动原因：</w:t>
      </w:r>
      <w:r>
        <w:rPr>
          <w:rFonts w:hint="eastAsia" w:eastAsia="仿宋_GB2312" w:cs="Times New Roman"/>
          <w:kern w:val="0"/>
          <w:sz w:val="32"/>
          <w:szCs w:val="32"/>
          <w:shd w:val="clear" w:color="auto" w:fill="FFFFFF"/>
          <w:lang w:val="en-US" w:eastAsia="zh-CN" w:bidi="ar-SA"/>
        </w:rPr>
        <w:t>人员工资保险计提增加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 w:bidi="ar-SA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2" w:firstLineChars="200"/>
        <w:jc w:val="both"/>
        <w:textAlignment w:val="auto"/>
        <w:rPr>
          <w:rFonts w:hint="eastAsia" w:ascii="Times New Roman" w:hAnsi="Times New Roman" w:eastAsia="楷体_GB2312" w:cs="楷体_GB2312"/>
          <w:b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  <w:lang w:val="zh-CN"/>
        </w:rPr>
        <w:t>（二）专项预算管理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年</w:t>
      </w:r>
      <w:r>
        <w:rPr>
          <w:rFonts w:hint="eastAsia" w:ascii="Times New Roman" w:hAnsi="Times New Roman" w:eastAsia="仿宋_GB2312" w:cs="仿宋_GB2312"/>
          <w:sz w:val="32"/>
          <w:szCs w:val="32"/>
        </w:rPr>
        <w:t>总支出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1735.26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万元（基本支出</w:t>
      </w:r>
      <w:r>
        <w:rPr>
          <w:rFonts w:hint="eastAsia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571.66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万元，项目支出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1163.</w:t>
      </w:r>
      <w:r>
        <w:rPr>
          <w:rFonts w:hint="eastAsia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万元）。其中：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工资福利支出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509.47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万元，占总支出</w:t>
      </w:r>
      <w:r>
        <w:rPr>
          <w:rFonts w:hint="eastAsia" w:eastAsia="仿宋_GB2312" w:cs="仿宋_GB2312"/>
          <w:sz w:val="32"/>
          <w:szCs w:val="32"/>
          <w:highlight w:val="none"/>
          <w:lang w:val="en-US" w:eastAsia="zh-CN"/>
        </w:rPr>
        <w:t>29.36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%，商品服务支出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161.85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万元，占总支出</w:t>
      </w:r>
      <w:r>
        <w:rPr>
          <w:rFonts w:hint="eastAsia" w:eastAsia="仿宋_GB2312" w:cs="仿宋_GB2312"/>
          <w:sz w:val="32"/>
          <w:szCs w:val="32"/>
          <w:highlight w:val="none"/>
          <w:lang w:val="en-US" w:eastAsia="zh-CN"/>
        </w:rPr>
        <w:t>9.33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%，对个人家庭补助支出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140.41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万元，占总支出</w:t>
      </w:r>
      <w:r>
        <w:rPr>
          <w:rFonts w:hint="eastAsia" w:eastAsia="仿宋_GB2312" w:cs="仿宋_GB2312"/>
          <w:sz w:val="32"/>
          <w:szCs w:val="32"/>
          <w:highlight w:val="none"/>
          <w:lang w:val="en-US" w:eastAsia="zh-CN"/>
        </w:rPr>
        <w:t>8.09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资本性支出923.53万元，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占总支出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53.</w:t>
      </w:r>
      <w:r>
        <w:rPr>
          <w:rFonts w:hint="eastAsia" w:eastAsia="仿宋_GB2312" w:cs="仿宋_GB2312"/>
          <w:sz w:val="32"/>
          <w:szCs w:val="32"/>
          <w:highlight w:val="none"/>
          <w:lang w:val="en-US" w:eastAsia="zh-CN"/>
        </w:rPr>
        <w:t>22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ind w:firstLine="642" w:firstLineChars="200"/>
        <w:jc w:val="both"/>
        <w:textAlignment w:val="auto"/>
        <w:outlineLvl w:val="0"/>
        <w:rPr>
          <w:rFonts w:hint="eastAsia" w:ascii="Times New Roman" w:hAnsi="Times New Roman" w:eastAsia="楷体_GB2312" w:cs="楷体_GB2312"/>
          <w:b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  <w:lang w:val="zh-CN"/>
        </w:rPr>
        <w:t>（三）结果应用情况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我单位依据财政编审要求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在年度终了后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结合本单位当年全部预算收入、财政拨款收入及支出等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对全口径的资金收入、支出和预算管理、资产管理等工作进行的全面总结。通过编制部门决算报表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对本单位全年的资金管理、单位履行机构职能和受托责任等进行系统的思考检查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分析预算执行中的得失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以推动单位加强内部管理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制定适应本单位的内控制度以促进发展。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黑体" w:cs="黑体"/>
          <w:b w:val="0"/>
          <w:bCs w:val="0"/>
          <w:sz w:val="32"/>
          <w:szCs w:val="32"/>
          <w:lang w:val="zh-CN"/>
        </w:rPr>
      </w:pP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  <w:lang w:val="zh-CN"/>
        </w:rPr>
        <w:t>四、评价结论及建议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ind w:firstLine="642" w:firstLineChars="200"/>
        <w:jc w:val="both"/>
        <w:textAlignment w:val="auto"/>
        <w:outlineLvl w:val="0"/>
        <w:rPr>
          <w:rFonts w:hint="eastAsia" w:ascii="Times New Roman" w:hAnsi="Times New Roman" w:eastAsia="楷体_GB2312" w:cs="楷体_GB2312"/>
          <w:b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  <w:lang w:val="zh-CN"/>
        </w:rPr>
        <w:t>（一）评价结论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年</w:t>
      </w:r>
      <w:r>
        <w:rPr>
          <w:rFonts w:hint="eastAsia" w:ascii="Times New Roman" w:hAnsi="Times New Roman" w:eastAsia="仿宋_GB2312" w:cs="仿宋_GB2312"/>
          <w:sz w:val="32"/>
          <w:szCs w:val="32"/>
        </w:rPr>
        <w:t>总支出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1735.26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万元（基本支出</w:t>
      </w:r>
      <w:r>
        <w:rPr>
          <w:rFonts w:hint="eastAsia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571.66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万元，项目支出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1163.</w:t>
      </w:r>
      <w:r>
        <w:rPr>
          <w:rFonts w:hint="eastAsia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万元）。其中：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工资福利支出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509.47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万元，占总支出</w:t>
      </w:r>
      <w:r>
        <w:rPr>
          <w:rFonts w:hint="eastAsia" w:eastAsia="仿宋_GB2312" w:cs="仿宋_GB2312"/>
          <w:sz w:val="32"/>
          <w:szCs w:val="32"/>
          <w:highlight w:val="none"/>
          <w:lang w:val="en-US" w:eastAsia="zh-CN"/>
        </w:rPr>
        <w:t>29.36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%，商品服务支出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161.85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万元，占总支出</w:t>
      </w:r>
      <w:r>
        <w:rPr>
          <w:rFonts w:hint="eastAsia" w:eastAsia="仿宋_GB2312" w:cs="仿宋_GB2312"/>
          <w:sz w:val="32"/>
          <w:szCs w:val="32"/>
          <w:highlight w:val="none"/>
          <w:lang w:val="en-US" w:eastAsia="zh-CN"/>
        </w:rPr>
        <w:t>9.33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%，对个人家庭补助支出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140.41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万元，占总支出</w:t>
      </w:r>
      <w:r>
        <w:rPr>
          <w:rFonts w:hint="eastAsia" w:eastAsia="仿宋_GB2312" w:cs="仿宋_GB2312"/>
          <w:sz w:val="32"/>
          <w:szCs w:val="32"/>
          <w:highlight w:val="none"/>
          <w:lang w:val="en-US" w:eastAsia="zh-CN"/>
        </w:rPr>
        <w:t>8.09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资本性支出923.53万元，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占总支出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val="en-US" w:eastAsia="zh-CN"/>
        </w:rPr>
        <w:t>53.</w:t>
      </w:r>
      <w:r>
        <w:rPr>
          <w:rFonts w:hint="eastAsia" w:eastAsia="仿宋_GB2312" w:cs="仿宋_GB2312"/>
          <w:sz w:val="32"/>
          <w:szCs w:val="32"/>
          <w:highlight w:val="none"/>
          <w:lang w:val="en-US" w:eastAsia="zh-CN"/>
        </w:rPr>
        <w:t>22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%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本年度财政拨款为我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镇</w:t>
      </w:r>
      <w:r>
        <w:rPr>
          <w:rFonts w:hint="eastAsia" w:ascii="Times New Roman" w:hAnsi="Times New Roman" w:eastAsia="仿宋_GB2312" w:cs="仿宋_GB2312"/>
          <w:sz w:val="32"/>
          <w:szCs w:val="32"/>
        </w:rPr>
        <w:t>工作的开展提供了有力的保障，使我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镇</w:t>
      </w:r>
      <w:r>
        <w:rPr>
          <w:rFonts w:hint="eastAsia" w:ascii="Times New Roman" w:hAnsi="Times New Roman" w:eastAsia="仿宋_GB2312" w:cs="仿宋_GB2312"/>
          <w:sz w:val="32"/>
          <w:szCs w:val="32"/>
        </w:rPr>
        <w:t>顺利完成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年</w:t>
      </w:r>
      <w:r>
        <w:rPr>
          <w:rFonts w:hint="eastAsia" w:ascii="Times New Roman" w:hAnsi="Times New Roman" w:eastAsia="仿宋_GB2312" w:cs="仿宋_GB2312"/>
          <w:sz w:val="32"/>
          <w:szCs w:val="32"/>
        </w:rPr>
        <w:t>度基层运行工作。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ind w:firstLine="642" w:firstLineChars="200"/>
        <w:jc w:val="both"/>
        <w:textAlignment w:val="auto"/>
        <w:outlineLvl w:val="0"/>
        <w:rPr>
          <w:rFonts w:hint="eastAsia" w:ascii="Times New Roman" w:hAnsi="Times New Roman" w:eastAsia="楷体_GB2312" w:cs="楷体_GB2312"/>
          <w:b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  <w:t>（二）</w:t>
      </w: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  <w:lang w:val="zh-CN"/>
        </w:rPr>
        <w:t>存在问题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无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ind w:firstLine="642" w:firstLineChars="200"/>
        <w:jc w:val="both"/>
        <w:textAlignment w:val="auto"/>
        <w:outlineLvl w:val="0"/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</w:pPr>
      <w:r>
        <w:rPr>
          <w:rFonts w:hint="eastAsia" w:ascii="Times New Roman" w:hAnsi="Times New Roman" w:eastAsia="楷体_GB2312" w:cs="楷体_GB2312"/>
          <w:b/>
          <w:kern w:val="0"/>
          <w:sz w:val="32"/>
          <w:szCs w:val="32"/>
        </w:rPr>
        <w:t>（三）改进建议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无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ascii="Times New Roman" w:hAnsi="Times New Roma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decorative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kYWIxNmZiNGUyMTMwNjYzZTBmZTUxYWMyOGVjYzUifQ=="/>
  </w:docVars>
  <w:rsids>
    <w:rsidRoot w:val="00491B22"/>
    <w:rsid w:val="00291808"/>
    <w:rsid w:val="00491B22"/>
    <w:rsid w:val="0052390C"/>
    <w:rsid w:val="04012B21"/>
    <w:rsid w:val="1167461D"/>
    <w:rsid w:val="26196920"/>
    <w:rsid w:val="27D45E11"/>
    <w:rsid w:val="34EB1F43"/>
    <w:rsid w:val="35A321DF"/>
    <w:rsid w:val="36435EC2"/>
    <w:rsid w:val="3B5B6B6E"/>
    <w:rsid w:val="4702058D"/>
    <w:rsid w:val="4B8B39F2"/>
    <w:rsid w:val="4B936091"/>
    <w:rsid w:val="4FFC2FB7"/>
    <w:rsid w:val="5A9C57D7"/>
    <w:rsid w:val="60D032A5"/>
    <w:rsid w:val="6D2B7163"/>
    <w:rsid w:val="74BE482C"/>
    <w:rsid w:val="BBEBA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beforeLines="30"/>
    </w:pPr>
    <w:rPr>
      <w:rFonts w:ascii="仿宋_GB2312" w:eastAsia="仿宋_GB2312"/>
      <w:kern w:val="0"/>
      <w:sz w:val="30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4</Pages>
  <Words>1403</Words>
  <Characters>1628</Characters>
  <Lines>2</Lines>
  <Paragraphs>1</Paragraphs>
  <TotalTime>0</TotalTime>
  <ScaleCrop>false</ScaleCrop>
  <LinksUpToDate>false</LinksUpToDate>
  <CharactersWithSpaces>1628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2019-08-19T09:06:00Z</dcterms:created>
  <dc:creator>Sky123.Org</dc:creator>
  <cp:lastModifiedBy>user</cp:lastModifiedBy>
  <dcterms:modified xsi:type="dcterms:W3CDTF">2026-10-26T11:15:17Z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  <property fmtid="{D5CDD505-2E9C-101B-9397-08002B2CF9AE}" pid="3" name="ICV">
    <vt:lpwstr>5DA998DD3724469A972D87E3CBBBFD47_13</vt:lpwstr>
  </property>
  <property fmtid="{D5CDD505-2E9C-101B-9397-08002B2CF9AE}" pid="4" name="KSOTemplateDocerSaveRecord">
    <vt:lpwstr>eyJoZGlkIjoiZWNkYWIxNmZiNGUyMTMwNjYzZTBmZTUxYWMyOGVjYzUiLCJ1c2VySWQiOiI4MDI1OTA3MjEifQ==</vt:lpwstr>
  </property>
</Properties>
</file>