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contextualSpacing/>
        <w:jc w:val="center"/>
        <w:textAlignment w:val="auto"/>
        <w:outlineLvl w:val="9"/>
        <w:rPr>
          <w:rFonts w:hint="eastAsia" w:eastAsia="宋体" w:cs="Times New Roman"/>
          <w:b/>
          <w:sz w:val="44"/>
          <w:szCs w:val="44"/>
          <w:highlight w:val="none"/>
          <w:shd w:val="clear" w:color="auto" w:fill="FFFFFF"/>
          <w:lang w:val="en-US" w:eastAsia="zh-CN"/>
        </w:rPr>
      </w:pPr>
      <w:bookmarkStart w:id="0" w:name="_GoBack"/>
      <w:bookmarkEnd w:id="0"/>
      <w:r>
        <w:rPr>
          <w:rFonts w:hint="eastAsia" w:eastAsia="宋体" w:cs="Times New Roman"/>
          <w:b/>
          <w:sz w:val="44"/>
          <w:szCs w:val="44"/>
          <w:highlight w:val="none"/>
          <w:shd w:val="clear" w:color="auto" w:fill="FFFFFF"/>
          <w:lang w:val="en-US" w:eastAsia="zh-CN"/>
        </w:rPr>
        <w:t>维古乡便民服务中心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contextualSpacing/>
        <w:jc w:val="center"/>
        <w:textAlignment w:val="auto"/>
        <w:outlineLvl w:val="9"/>
        <w:rPr>
          <w:rFonts w:hint="default" w:ascii="Times New Roman" w:hAnsi="Times New Roman" w:eastAsia="黑体" w:cs="Times New Roman"/>
          <w:color w:val="000000"/>
          <w:kern w:val="0"/>
          <w:sz w:val="24"/>
          <w:szCs w:val="32"/>
          <w:highlight w:val="none"/>
          <w:shd w:val="clear" w:color="auto" w:fill="FFFFFF"/>
        </w:rPr>
      </w:pPr>
      <w:r>
        <w:rPr>
          <w:rFonts w:hint="eastAsia" w:eastAsia="宋体" w:cs="Times New Roman"/>
          <w:b/>
          <w:sz w:val="44"/>
          <w:szCs w:val="44"/>
          <w:highlight w:val="none"/>
          <w:shd w:val="clear" w:color="auto" w:fill="FFFFFF"/>
          <w:lang w:val="en-US" w:eastAsia="zh-CN"/>
        </w:rPr>
        <w:t>2025年度部门整体支出绩效评价报告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eastAsia="黑体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default" w:ascii="Times New Roman" w:hAnsi="Times New Roman" w:cs="Times New Roman"/>
          <w:szCs w:val="32"/>
        </w:rPr>
      </w:pPr>
      <w:r>
        <w:rPr>
          <w:rFonts w:hint="eastAsia" w:eastAsia="黑体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一、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部门（单位）基本情况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2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（一）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机构组成。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维古乡由党委、人大、政府三大领导机构构成。下设党政</w:t>
      </w:r>
      <w:r>
        <w:rPr>
          <w:rFonts w:hint="default" w:ascii="仿宋_GB2312" w:hAnsi="仿宋_GB2312" w:cs="仿宋_GB2312"/>
          <w:color w:val="auto"/>
          <w:sz w:val="32"/>
          <w:szCs w:val="32"/>
          <w:highlight w:val="none"/>
          <w:lang w:eastAsia="zh-CN"/>
        </w:rPr>
        <w:t>办公室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、党建</w:t>
      </w:r>
      <w:r>
        <w:rPr>
          <w:rFonts w:hint="default" w:ascii="仿宋_GB2312" w:hAnsi="仿宋_GB2312" w:cs="仿宋_GB2312"/>
          <w:color w:val="auto"/>
          <w:sz w:val="32"/>
          <w:szCs w:val="32"/>
          <w:highlight w:val="none"/>
          <w:lang w:eastAsia="zh-CN"/>
        </w:rPr>
        <w:t>办公室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、纪检监察</w:t>
      </w:r>
      <w:r>
        <w:rPr>
          <w:rFonts w:hint="default" w:ascii="仿宋_GB2312" w:hAnsi="仿宋_GB2312" w:cs="仿宋_GB2312"/>
          <w:color w:val="auto"/>
          <w:sz w:val="32"/>
          <w:szCs w:val="32"/>
          <w:highlight w:val="none"/>
          <w:lang w:eastAsia="zh-CN"/>
        </w:rPr>
        <w:t>办公室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、财务</w:t>
      </w:r>
      <w:r>
        <w:rPr>
          <w:rFonts w:hint="default" w:ascii="仿宋_GB2312" w:hAnsi="仿宋_GB2312" w:cs="仿宋_GB2312"/>
          <w:color w:val="auto"/>
          <w:sz w:val="32"/>
          <w:szCs w:val="32"/>
          <w:highlight w:val="none"/>
          <w:lang w:eastAsia="zh-CN"/>
        </w:rPr>
        <w:t>办公室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及农业农村发展中心。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设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事业单位1个，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黑水县维古乡人民政府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事业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，为公益一类事业单位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（二）机构职能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zh-CN" w:eastAsia="zh-CN"/>
        </w:rPr>
        <w:t>黑水县维古乡人民政府是基层国家行政机关，行使本行政区域的政府行政职能，根据有关文件规定，主要职责是：宣传和贯彻执行上级各部门及本镇的各项政策、法规、决议等；讨论决定全镇经济建设和社会发展中的重大问题；加强党委自身建设和以党支部为核心的村级组织建设；按照干部管理权限，负责对本级镇村干部的教育、管理、培训、选拔和监督工作，并实现村级财务统一由镇代管；认真做好全镇社会治安综合治理及计划生育，环境、国土等管理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default" w:ascii="Times New Roman" w:hAnsi="Times New Roman" w:cs="Times New Roman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三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）人员概况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本单位编制共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人：其中行政编制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人，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事业编制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11人，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工勤编制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人；</w:t>
      </w:r>
      <w:r>
        <w:rPr>
          <w:rFonts w:hint="eastAsia" w:ascii="仿宋_GB2312" w:hAnsi="仿宋_GB2312" w:cs="仿宋_GB2312"/>
          <w:sz w:val="32"/>
          <w:szCs w:val="32"/>
          <w:highlight w:val="none"/>
          <w:lang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年末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在职实有人数为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人：其中行政人员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人，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事业人员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人，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工勤人员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退休人员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人，抚养人员</w:t>
      </w:r>
      <w:r>
        <w:rPr>
          <w:rFonts w:hint="eastAsia" w:ascii="仿宋_GB2312" w:hAnsi="仿宋_GB2312" w:cs="仿宋_GB2312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  <w:t>二、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  <w:lang w:eastAsia="zh-CN"/>
        </w:rPr>
        <w:t>部门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  <w:t>资金收支情况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2" w:firstLineChars="200"/>
        <w:contextualSpacing/>
        <w:jc w:val="lef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（一）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收入情况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宋体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预算收入为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250.64万元，其中：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一般公共预算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收入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250.64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，国有资本经营预算财政拨款收入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0万元，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年初结转结余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0万元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共计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250.64万元。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其中基本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收入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250.64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主要用于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维古乡在编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人员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经费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和日常公用经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等支出，切实保证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乡镇工作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的正常运转。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2" w:firstLineChars="200"/>
        <w:contextualSpacing/>
        <w:jc w:val="lef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支出情况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cs="仿宋_GB2312"/>
          <w:sz w:val="32"/>
          <w:szCs w:val="32"/>
          <w:highlight w:val="none"/>
          <w:lang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年实际支出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250.64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万元。 按资金来源分析：其中财政拨款支出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250.64万元；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支出性质分析：一般公共服务支出12.82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万元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社会保障和就业支出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28.33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万元，卫生健康支出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9.64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万元，住房保障支出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16.97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万元，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农业水支出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182.87万元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2" w:firstLineChars="200"/>
        <w:contextualSpacing/>
        <w:jc w:val="left"/>
        <w:textAlignment w:val="auto"/>
        <w:outlineLvl w:val="9"/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三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）</w:t>
      </w:r>
      <w:r>
        <w:rPr>
          <w:rFonts w:hint="default" w:ascii="Times New Roman" w:hAnsi="Times New Roman" w:eastAsia="楷体_GB2312" w:cs="Times New Roman"/>
          <w:b/>
          <w:szCs w:val="32"/>
        </w:rPr>
        <w:t>结余分配和结转结余情况</w:t>
      </w:r>
      <w:r>
        <w:rPr>
          <w:rFonts w:hint="eastAsia" w:ascii="Times New Roman" w:hAnsi="Times New Roman" w:eastAsia="楷体_GB2312" w:cs="Times New Roman"/>
          <w:b/>
          <w:szCs w:val="32"/>
          <w:lang w:eastAsia="zh-CN"/>
        </w:rPr>
        <w:t>。</w:t>
      </w:r>
      <w:r>
        <w:rPr>
          <w:rFonts w:hint="eastAsia" w:cs="Times New Roman"/>
          <w:szCs w:val="32"/>
          <w:lang w:val="en-US" w:eastAsia="zh-CN"/>
        </w:rPr>
        <w:t>2025年</w:t>
      </w:r>
      <w:r>
        <w:rPr>
          <w:rFonts w:hint="eastAsia" w:ascii="Times New Roman" w:hAnsi="Times New Roman" w:cs="Times New Roman"/>
          <w:szCs w:val="32"/>
          <w:lang w:val="en-US" w:eastAsia="zh-CN"/>
        </w:rPr>
        <w:t>决算报表</w:t>
      </w:r>
      <w:r>
        <w:rPr>
          <w:rFonts w:hint="eastAsia" w:cs="Times New Roman"/>
          <w:szCs w:val="32"/>
          <w:lang w:val="en-US" w:eastAsia="zh-CN"/>
        </w:rPr>
        <w:t>无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结转结余</w:t>
      </w:r>
      <w:r>
        <w:rPr>
          <w:rFonts w:hint="eastAsia" w:cs="Times New Roman"/>
          <w:b w:val="0"/>
          <w:bCs w:val="0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情况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default" w:ascii="Times New Roman" w:hAnsi="Times New Roman" w:eastAsia="黑体" w:cs="Times New Roman"/>
          <w:color w:val="000000" w:themeColor="text1"/>
          <w:kern w:val="0"/>
          <w:szCs w:val="32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  <w:t>三、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u w:val="none"/>
          <w:shd w:val="clear" w:color="auto" w:fill="FFFFFF"/>
        </w:rPr>
        <w:t>部门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u w:val="none"/>
          <w:shd w:val="clear" w:color="auto" w:fill="FFFFFF"/>
          <w:lang w:eastAsia="zh-CN"/>
        </w:rPr>
        <w:t>预算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u w:val="none"/>
          <w:shd w:val="clear" w:color="auto" w:fill="FFFFFF"/>
        </w:rPr>
        <w:t>绩效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u w:val="none"/>
          <w:shd w:val="clear" w:color="auto" w:fill="FFFFFF"/>
          <w:lang w:eastAsia="zh-CN"/>
        </w:rPr>
        <w:t>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2" w:firstLineChars="200"/>
        <w:contextualSpacing/>
        <w:jc w:val="left"/>
        <w:textAlignment w:val="auto"/>
        <w:outlineLvl w:val="9"/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（一）</w:t>
      </w:r>
      <w:r>
        <w:rPr>
          <w:rFonts w:hint="eastAsia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部门预算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总体绩效分析。</w:t>
      </w:r>
      <w:r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根据部门预算绩效评价指标体系“总体绩效”涉及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二、三级</w:t>
      </w:r>
      <w:r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指标进行</w:t>
      </w:r>
      <w:r>
        <w:rPr>
          <w:rFonts w:hint="eastAsia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逐项</w:t>
      </w:r>
      <w:r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绩效分析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并评分</w:t>
      </w:r>
      <w:r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，依次包括履职效能、预算管理、财务管理、资产管理、采购管理等情况。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 w:val="0"/>
        <w:snapToGrid w:val="0"/>
        <w:spacing w:line="576" w:lineRule="exact"/>
        <w:ind w:left="0" w:firstLine="640" w:firstLineChars="200"/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1.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履职效能。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 w:val="0"/>
        <w:snapToGrid w:val="0"/>
        <w:spacing w:line="576" w:lineRule="exact"/>
        <w:ind w:left="0" w:firstLine="640" w:firstLineChars="200"/>
        <w:rPr>
          <w:rFonts w:hint="eastAsia" w:ascii="仿宋_GB2312" w:cs="仿宋_GB2312"/>
          <w:szCs w:val="32"/>
        </w:rPr>
      </w:pPr>
      <w:r>
        <w:rPr>
          <w:rFonts w:hint="eastAsia" w:ascii="仿宋_GB2312" w:cs="仿宋_GB2312"/>
          <w:sz w:val="32"/>
          <w:szCs w:val="32"/>
          <w:lang w:eastAsia="zh-CN" w:bidi="ar-SA"/>
        </w:rPr>
        <w:t>2025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年主要</w:t>
      </w:r>
      <w:r>
        <w:rPr>
          <w:rFonts w:hint="eastAsia" w:ascii="仿宋_GB2312" w:cs="仿宋_GB2312"/>
          <w:sz w:val="32"/>
          <w:szCs w:val="32"/>
          <w:lang w:val="en-US" w:eastAsia="zh-CN" w:bidi="ar-SA"/>
        </w:rPr>
        <w:t>完成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工作:</w:t>
      </w:r>
      <w:r>
        <w:rPr>
          <w:rFonts w:hint="eastAsia" w:ascii="仿宋_GB2312" w:eastAsia="仿宋_GB2312" w:cs="仿宋_GB2312"/>
          <w:b/>
          <w:bCs w:val="0"/>
          <w:sz w:val="32"/>
          <w:szCs w:val="32"/>
          <w:lang w:bidi="ar-SA"/>
        </w:rPr>
        <w:t>一是</w:t>
      </w:r>
      <w:r>
        <w:rPr>
          <w:rFonts w:hint="eastAsia" w:ascii="仿宋_GB2312" w:eastAsia="仿宋_GB2312" w:cs="仿宋_GB2312"/>
          <w:bCs/>
          <w:sz w:val="32"/>
          <w:szCs w:val="32"/>
          <w:lang w:bidi="ar-SA"/>
        </w:rPr>
        <w:t>抓好</w:t>
      </w:r>
      <w:r>
        <w:rPr>
          <w:rFonts w:hint="default" w:ascii="仿宋_GB2312" w:cs="仿宋_GB2312"/>
          <w:bCs/>
          <w:sz w:val="32"/>
          <w:szCs w:val="32"/>
          <w:lang w:bidi="ar-SA"/>
        </w:rPr>
        <w:t>巩固拓展脱贫攻坚成果同乡村振兴有效衔接</w:t>
      </w:r>
      <w:r>
        <w:rPr>
          <w:rFonts w:hint="eastAsia" w:ascii="仿宋_GB2312" w:eastAsia="仿宋_GB2312" w:cs="仿宋_GB2312"/>
          <w:bCs/>
          <w:sz w:val="32"/>
          <w:szCs w:val="32"/>
          <w:lang w:bidi="ar-SA"/>
        </w:rPr>
        <w:t>工作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。</w:t>
      </w:r>
      <w:r>
        <w:rPr>
          <w:rFonts w:hint="eastAsia" w:ascii="仿宋_GB2312" w:eastAsia="仿宋_GB2312" w:cs="仿宋_GB2312"/>
          <w:b/>
          <w:bCs/>
          <w:sz w:val="32"/>
          <w:szCs w:val="32"/>
          <w:lang w:bidi="ar-SA"/>
        </w:rPr>
        <w:t>二是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抓好基层组织建设，夯实执政根基。</w:t>
      </w:r>
      <w:r>
        <w:rPr>
          <w:rFonts w:hint="eastAsia" w:ascii="仿宋_GB2312" w:eastAsia="仿宋_GB2312" w:cs="仿宋_GB2312"/>
          <w:b/>
          <w:bCs/>
          <w:sz w:val="32"/>
          <w:szCs w:val="32"/>
          <w:lang w:bidi="ar-SA"/>
        </w:rPr>
        <w:t>三是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推进社会事业发展，切实保障民生。</w:t>
      </w:r>
      <w:r>
        <w:rPr>
          <w:rFonts w:hint="eastAsia" w:ascii="仿宋_GB2312" w:eastAsia="仿宋_GB2312" w:cs="仿宋_GB2312"/>
          <w:b/>
          <w:bCs/>
          <w:sz w:val="32"/>
          <w:szCs w:val="32"/>
          <w:lang w:bidi="ar-SA"/>
        </w:rPr>
        <w:t>四是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推进产业结构调整，助力群众增收。</w:t>
      </w:r>
      <w:r>
        <w:rPr>
          <w:rFonts w:hint="eastAsia" w:ascii="仿宋_GB2312" w:eastAsia="仿宋_GB2312" w:cs="仿宋_GB2312"/>
          <w:b/>
          <w:bCs/>
          <w:sz w:val="32"/>
          <w:szCs w:val="32"/>
          <w:lang w:bidi="ar-SA"/>
        </w:rPr>
        <w:t>五是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增强社会保障功能，落实民生政策。</w:t>
      </w:r>
      <w:r>
        <w:rPr>
          <w:rFonts w:hint="eastAsia" w:ascii="仿宋_GB2312" w:eastAsia="仿宋_GB2312" w:cs="仿宋_GB2312"/>
          <w:b/>
          <w:bCs/>
          <w:sz w:val="32"/>
          <w:szCs w:val="32"/>
          <w:lang w:bidi="ar-SA"/>
        </w:rPr>
        <w:t>六是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继续加强城镇环境综合整治工作，动员广大干部群众积极参与环境整治活动，不断提高村民文明卫生素质，提升对外形象。</w:t>
      </w:r>
      <w:r>
        <w:rPr>
          <w:rFonts w:hint="eastAsia" w:ascii="仿宋_GB2312" w:eastAsia="仿宋_GB2312" w:cs="仿宋_GB2312"/>
          <w:b/>
          <w:bCs/>
          <w:sz w:val="32"/>
          <w:szCs w:val="32"/>
          <w:lang w:bidi="ar-SA"/>
        </w:rPr>
        <w:t>七是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做好社会维稳工作，努力把群众信访诉求解决在初始阶段和基层，妥善处理社会矛盾纠纷和群</w:t>
      </w:r>
      <w:r>
        <w:rPr>
          <w:rFonts w:hint="eastAsia" w:ascii="仿宋_GB2312" w:eastAsia="仿宋_GB2312" w:cs="仿宋_GB2312"/>
          <w:sz w:val="32"/>
          <w:szCs w:val="32"/>
          <w:lang w:val="en-US" w:eastAsia="zh-CN" w:bidi="ar-SA"/>
        </w:rPr>
        <w:t>体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性事件。</w:t>
      </w:r>
      <w:r>
        <w:rPr>
          <w:rFonts w:hint="eastAsia" w:ascii="仿宋_GB2312" w:eastAsia="仿宋_GB2312" w:cs="仿宋_GB2312"/>
          <w:b/>
          <w:bCs/>
          <w:sz w:val="32"/>
          <w:szCs w:val="32"/>
          <w:lang w:bidi="ar-SA"/>
        </w:rPr>
        <w:t>八是</w:t>
      </w:r>
      <w:r>
        <w:rPr>
          <w:rFonts w:hint="eastAsia" w:ascii="仿宋_GB2312" w:eastAsia="仿宋_GB2312" w:cs="仿宋_GB2312"/>
          <w:sz w:val="32"/>
          <w:szCs w:val="32"/>
          <w:lang w:bidi="ar-SA"/>
        </w:rPr>
        <w:t>狠抓安全生产工作，全面落实安全生产责任制，杜绝重大安全事故的发生</w:t>
      </w:r>
      <w:r>
        <w:rPr>
          <w:rFonts w:ascii="仿宋_GB2312" w:eastAsia="仿宋_GB2312" w:cs="仿宋_GB2312"/>
          <w:sz w:val="32"/>
          <w:szCs w:val="32"/>
          <w:lang w:bidi="ar-SA"/>
        </w:rPr>
        <w:t>,履职效能</w:t>
      </w:r>
      <w:r>
        <w:rPr>
          <w:rFonts w:hint="eastAsia" w:ascii="仿宋_GB2312" w:eastAsia="仿宋_GB2312" w:cs="仿宋_GB2312"/>
          <w:sz w:val="32"/>
          <w:szCs w:val="32"/>
        </w:rPr>
        <w:t>该项指标得分</w:t>
      </w:r>
      <w:r>
        <w:rPr>
          <w:rFonts w:ascii="仿宋_GB2312" w:eastAsia="仿宋_GB2312" w:cs="仿宋_GB2312"/>
          <w:sz w:val="32"/>
          <w:szCs w:val="32"/>
        </w:rPr>
        <w:t>15</w:t>
      </w:r>
      <w:r>
        <w:rPr>
          <w:rFonts w:hint="eastAsia" w:ascii="仿宋_GB2312" w:eastAsia="仿宋_GB2312" w:cs="仿宋_GB2312"/>
          <w:sz w:val="32"/>
          <w:szCs w:val="32"/>
        </w:rPr>
        <w:t>分。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预算管理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预算编制质量</w:t>
      </w:r>
      <w:r>
        <w:rPr>
          <w:rFonts w:hint="default" w:ascii="仿宋" w:hAnsi="仿宋" w:eastAsia="仿宋"/>
          <w:sz w:val="32"/>
          <w:szCs w:val="32"/>
          <w:highlight w:val="none"/>
          <w:lang w:val="zh-CN" w:eastAsia="zh-CN"/>
        </w:rPr>
        <w:t>：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2025年乡以财为本、依法履职，主动靠前加强部门预算编制工作，以文件为基础、以定额为标准、根据工作量合理编制部门预算，较好的完成了预算编制工作。年初未做预算采购计划，有偏离度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该，扣除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1分，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项自评得分为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7分。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单位收入统筹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：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该年度我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单位无自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有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收入。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该项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0分。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支出执行进度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：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1-6月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一般公共预算支出金额为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106.75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万元，资金支付进度达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42.59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%；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1-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10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月一般公共预算支出金额为143.71万元，资金支付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进度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达100%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。未出现支出预警情况，较好地完成了预算支出执行力度。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该项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6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both"/>
        <w:textAlignment w:val="auto"/>
        <w:rPr>
          <w:rFonts w:hint="default" w:ascii="仿宋" w:hAnsi="仿宋" w:eastAsia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预算年终结余</w:t>
      </w:r>
      <w:r>
        <w:rPr>
          <w:rFonts w:hint="default" w:ascii="仿宋" w:hAnsi="仿宋" w:eastAsia="仿宋"/>
          <w:sz w:val="32"/>
          <w:szCs w:val="32"/>
          <w:highlight w:val="none"/>
          <w:lang w:eastAsia="zh-CN"/>
        </w:rPr>
        <w:t>：年终无预算结余资金。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该项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2分。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严控一般性支出：</w:t>
      </w:r>
      <w:r>
        <w:rPr>
          <w:rFonts w:hint="eastAsia" w:ascii="仿宋" w:hAnsi="仿宋" w:eastAsia="仿宋"/>
          <w:sz w:val="32"/>
          <w:szCs w:val="32"/>
          <w:highlight w:val="none"/>
        </w:rPr>
        <w:t>在执行管理中，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乡</w:t>
      </w:r>
      <w:r>
        <w:rPr>
          <w:rFonts w:hint="eastAsia" w:ascii="仿宋" w:hAnsi="仿宋" w:eastAsia="仿宋"/>
          <w:sz w:val="32"/>
          <w:szCs w:val="32"/>
          <w:highlight w:val="none"/>
        </w:rPr>
        <w:t>机关严格控制各项开支，尤其重视对“三公”经费的支出管理，尽量压缩公务接待次数，加强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公车运行</w:t>
      </w:r>
      <w:r>
        <w:rPr>
          <w:rFonts w:hint="eastAsia" w:ascii="仿宋" w:hAnsi="仿宋" w:eastAsia="仿宋"/>
          <w:sz w:val="32"/>
          <w:szCs w:val="32"/>
          <w:highlight w:val="none"/>
        </w:rPr>
        <w:t>管理。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该项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5分。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“三公”经费支出情况：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2025年</w:t>
      </w:r>
      <w:r>
        <w:rPr>
          <w:rFonts w:hint="eastAsia" w:ascii="仿宋" w:hAnsi="仿宋" w:eastAsia="仿宋"/>
          <w:sz w:val="32"/>
          <w:szCs w:val="32"/>
          <w:highlight w:val="none"/>
        </w:rPr>
        <w:t>“三公”经费支出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0万元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  <w:highlight w:val="none"/>
        </w:rPr>
        <w:t>其中公务用车运行维护费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" w:hAnsi="仿宋" w:eastAsia="仿宋"/>
          <w:sz w:val="32"/>
          <w:szCs w:val="32"/>
          <w:highlight w:val="none"/>
        </w:rPr>
        <w:t>万元，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</w:rPr>
        <w:t>相比上年度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  <w:lang w:val="en-US" w:eastAsia="zh-CN"/>
        </w:rPr>
        <w:t>0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</w:rPr>
        <w:t>万元，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  <w:lang w:eastAsia="zh-CN"/>
        </w:rPr>
        <w:t>减少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  <w:lang w:val="en-US" w:eastAsia="zh-CN"/>
        </w:rPr>
        <w:t>0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</w:rPr>
        <w:t>万元</w:t>
      </w:r>
      <w:r>
        <w:rPr>
          <w:rFonts w:hint="eastAsia" w:ascii="仿宋" w:hAnsi="仿宋" w:eastAsia="仿宋" w:cs="仿宋"/>
          <w:kern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  <w:highlight w:val="none"/>
        </w:rPr>
        <w:t>较上年同期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减少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" w:hAnsi="仿宋" w:eastAsia="仿宋"/>
          <w:sz w:val="32"/>
          <w:szCs w:val="32"/>
          <w:highlight w:val="none"/>
        </w:rPr>
        <w:t>%；公务接待费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" w:hAnsi="仿宋" w:eastAsia="仿宋"/>
          <w:sz w:val="32"/>
          <w:szCs w:val="32"/>
          <w:highlight w:val="none"/>
        </w:rPr>
        <w:t>万元，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2025</w:t>
      </w:r>
      <w:r>
        <w:rPr>
          <w:rFonts w:hint="eastAsia" w:ascii="仿宋" w:hAnsi="仿宋" w:eastAsia="仿宋"/>
          <w:sz w:val="32"/>
          <w:szCs w:val="32"/>
          <w:highlight w:val="none"/>
        </w:rPr>
        <w:t>年无因公出国出境费用。“三公”经费支出较上年同期有所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减少</w:t>
      </w:r>
      <w:r>
        <w:rPr>
          <w:rFonts w:hint="eastAsia" w:ascii="仿宋" w:hAnsi="仿宋" w:eastAsia="仿宋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会议费支出情况：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2025</w:t>
      </w:r>
      <w:r>
        <w:rPr>
          <w:rFonts w:hint="eastAsia" w:ascii="仿宋" w:hAnsi="仿宋" w:eastAsia="仿宋"/>
          <w:sz w:val="32"/>
          <w:szCs w:val="32"/>
          <w:highlight w:val="none"/>
        </w:rPr>
        <w:t>年会议费支出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" w:hAnsi="仿宋" w:eastAsia="仿宋"/>
          <w:sz w:val="32"/>
          <w:szCs w:val="32"/>
          <w:highlight w:val="none"/>
        </w:rPr>
        <w:t>万元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  <w:u w:val="none"/>
          <w:lang w:eastAsia="zh-CN"/>
        </w:rPr>
        <w:t>培训费支出情况：</w:t>
      </w:r>
      <w:r>
        <w:rPr>
          <w:rFonts w:hint="eastAsia" w:ascii="仿宋" w:hAnsi="仿宋" w:eastAsia="仿宋"/>
          <w:sz w:val="32"/>
          <w:szCs w:val="32"/>
          <w:highlight w:val="none"/>
          <w:u w:val="none"/>
          <w:lang w:val="en-US" w:eastAsia="zh-CN"/>
        </w:rPr>
        <w:t>2025年培训费共计支出0万元。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</w:rPr>
        <w:t>其他较大的支出情况</w:t>
      </w:r>
      <w:r>
        <w:rPr>
          <w:rFonts w:hint="default" w:ascii="仿宋" w:hAnsi="仿宋" w:eastAsia="仿宋"/>
          <w:sz w:val="32"/>
          <w:szCs w:val="32"/>
          <w:highlight w:val="none"/>
        </w:rPr>
        <w:t>：</w:t>
      </w:r>
      <w:r>
        <w:rPr>
          <w:rFonts w:hint="eastAsia" w:ascii="仿宋" w:hAnsi="仿宋" w:eastAsia="仿宋"/>
          <w:sz w:val="32"/>
          <w:szCs w:val="32"/>
          <w:highlight w:val="none"/>
        </w:rPr>
        <w:t>　</w:t>
      </w:r>
    </w:p>
    <w:p>
      <w:pPr>
        <w:keepNext w:val="0"/>
        <w:keepLines w:val="0"/>
        <w:widowControl w:val="0"/>
        <w:suppressLineNumbers w:val="0"/>
        <w:autoSpaceDE w:val="0"/>
        <w:autoSpaceDN/>
        <w:snapToGrid w:val="0"/>
        <w:spacing w:line="560" w:lineRule="exact"/>
        <w:ind w:left="0" w:firstLine="640" w:firstLineChars="200"/>
        <w:rPr>
          <w:rFonts w:hint="eastAsia" w:ascii="仿宋" w:hAnsi="仿宋" w:eastAsia="仿宋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办公经</w:t>
      </w:r>
      <w:r>
        <w:rPr>
          <w:rFonts w:hint="eastAsia" w:ascii="仿宋" w:hAnsi="仿宋" w:eastAsia="仿宋" w:cs="仿宋"/>
          <w:kern w:val="0"/>
          <w:sz w:val="32"/>
          <w:szCs w:val="32"/>
        </w:rPr>
        <w:t>费支出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kern w:val="0"/>
          <w:sz w:val="32"/>
          <w:szCs w:val="32"/>
        </w:rPr>
        <w:t>万元，</w:t>
      </w:r>
      <w:r>
        <w:rPr>
          <w:rFonts w:hint="eastAsia" w:ascii="仿宋" w:hAnsi="仿宋" w:eastAsia="仿宋"/>
          <w:sz w:val="32"/>
          <w:szCs w:val="32"/>
          <w:highlight w:val="none"/>
          <w:u w:val="none"/>
          <w:lang w:eastAsia="zh-CN"/>
        </w:rPr>
        <w:t>相比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上年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eastAsia="zh-CN"/>
        </w:rPr>
        <w:t>度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val="en-US" w:eastAsia="zh-CN"/>
        </w:rPr>
        <w:t>0万元，减少0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万元，</w:t>
      </w:r>
      <w:r>
        <w:rPr>
          <w:rFonts w:hint="eastAsia" w:ascii="仿宋" w:hAnsi="仿宋" w:eastAsia="仿宋"/>
          <w:sz w:val="32"/>
          <w:szCs w:val="32"/>
          <w:highlight w:val="none"/>
        </w:rPr>
        <w:t>较上年同期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val="en-US" w:eastAsia="zh-CN"/>
        </w:rPr>
        <w:t>减少0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%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差旅费支出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kern w:val="0"/>
          <w:sz w:val="32"/>
          <w:szCs w:val="32"/>
        </w:rPr>
        <w:t>万元，</w:t>
      </w:r>
      <w:r>
        <w:rPr>
          <w:rFonts w:hint="eastAsia" w:ascii="仿宋" w:hAnsi="仿宋" w:eastAsia="仿宋"/>
          <w:sz w:val="32"/>
          <w:szCs w:val="32"/>
          <w:highlight w:val="none"/>
          <w:u w:val="none"/>
          <w:lang w:eastAsia="zh-CN"/>
        </w:rPr>
        <w:t>相比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上年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eastAsia="zh-CN"/>
        </w:rPr>
        <w:t>度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val="en-US" w:eastAsia="zh-CN"/>
        </w:rPr>
        <w:t>万元，减少0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万元，</w:t>
      </w:r>
      <w:r>
        <w:rPr>
          <w:rFonts w:hint="eastAsia" w:ascii="仿宋" w:hAnsi="仿宋" w:eastAsia="仿宋"/>
          <w:sz w:val="32"/>
          <w:szCs w:val="32"/>
          <w:highlight w:val="none"/>
        </w:rPr>
        <w:t>较上年同期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  <w:lang w:val="en-US" w:eastAsia="zh-CN"/>
        </w:rPr>
        <w:t>减少0%</w:t>
      </w:r>
      <w:r>
        <w:rPr>
          <w:rFonts w:hint="eastAsia" w:ascii="仿宋" w:hAnsi="仿宋" w:eastAsia="仿宋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</w:pP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3.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财务管理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 xml:space="preserve">   财务管理制度：</w:t>
      </w:r>
      <w:r>
        <w:rPr>
          <w:rFonts w:hint="eastAsia" w:ascii="仿宋" w:hAnsi="仿宋" w:eastAsia="仿宋"/>
          <w:sz w:val="32"/>
          <w:szCs w:val="32"/>
          <w:highlight w:val="none"/>
        </w:rPr>
        <w:t>严格按照《</w:t>
      </w:r>
      <w:r>
        <w:rPr>
          <w:rFonts w:hint="default" w:ascii="仿宋" w:hAnsi="仿宋" w:eastAsia="仿宋"/>
          <w:sz w:val="32"/>
          <w:szCs w:val="32"/>
          <w:highlight w:val="none"/>
        </w:rPr>
        <w:t>中华人民共和国</w:t>
      </w:r>
      <w:r>
        <w:rPr>
          <w:rFonts w:hint="eastAsia" w:ascii="仿宋" w:hAnsi="仿宋" w:eastAsia="仿宋"/>
          <w:sz w:val="32"/>
          <w:szCs w:val="32"/>
          <w:highlight w:val="none"/>
        </w:rPr>
        <w:t>会计法》，建立</w:t>
      </w:r>
      <w:r>
        <w:rPr>
          <w:rFonts w:hint="default" w:ascii="仿宋" w:hAnsi="仿宋" w:eastAsia="仿宋"/>
          <w:sz w:val="32"/>
          <w:szCs w:val="32"/>
          <w:highlight w:val="none"/>
        </w:rPr>
        <w:t>内部</w:t>
      </w:r>
      <w:r>
        <w:rPr>
          <w:rFonts w:hint="eastAsia" w:ascii="仿宋" w:hAnsi="仿宋" w:eastAsia="仿宋"/>
          <w:sz w:val="32"/>
          <w:szCs w:val="32"/>
          <w:highlight w:val="none"/>
        </w:rPr>
        <w:t>财务管理制度、会计出纳岗位职责、内部控制等制度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。该项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4分。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both"/>
        <w:textAlignment w:val="auto"/>
        <w:rPr>
          <w:rFonts w:hint="default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 xml:space="preserve">    财务岗位设置：</w:t>
      </w:r>
      <w:r>
        <w:rPr>
          <w:rFonts w:hint="eastAsia" w:ascii="仿宋" w:hAnsi="仿宋" w:eastAsia="仿宋"/>
          <w:sz w:val="32"/>
          <w:szCs w:val="32"/>
          <w:highlight w:val="none"/>
        </w:rPr>
        <w:t>合理设置财务工作岗位，明确职责权限，并严格实行</w:t>
      </w:r>
      <w:r>
        <w:rPr>
          <w:rFonts w:hint="default" w:ascii="仿宋" w:hAnsi="仿宋" w:eastAsia="仿宋"/>
          <w:sz w:val="32"/>
          <w:szCs w:val="32"/>
          <w:highlight w:val="none"/>
        </w:rPr>
        <w:t>会计、出纳</w:t>
      </w:r>
      <w:r>
        <w:rPr>
          <w:rFonts w:hint="eastAsia" w:ascii="仿宋" w:hAnsi="仿宋" w:eastAsia="仿宋"/>
          <w:sz w:val="32"/>
          <w:szCs w:val="32"/>
          <w:highlight w:val="none"/>
        </w:rPr>
        <w:t>不相容岗位分离</w:t>
      </w:r>
      <w:r>
        <w:rPr>
          <w:rFonts w:hint="default" w:ascii="仿宋" w:hAnsi="仿宋" w:eastAsia="仿宋"/>
          <w:sz w:val="32"/>
          <w:szCs w:val="32"/>
          <w:highlight w:val="none"/>
        </w:rPr>
        <w:t>。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该项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2分。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both"/>
        <w:textAlignment w:val="auto"/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default" w:ascii="仿宋" w:hAnsi="仿宋" w:eastAsia="仿宋"/>
          <w:sz w:val="32"/>
          <w:szCs w:val="32"/>
          <w:highlight w:val="none"/>
        </w:rPr>
        <w:t>资金使用规范</w:t>
      </w:r>
      <w:r>
        <w:rPr>
          <w:rFonts w:hint="eastAsia" w:ascii="仿宋" w:hAnsi="仿宋" w:eastAsia="仿宋"/>
          <w:sz w:val="32"/>
          <w:szCs w:val="32"/>
          <w:highlight w:val="none"/>
          <w:lang w:eastAsia="zh-CN"/>
        </w:rPr>
        <w:t>：</w:t>
      </w:r>
      <w:r>
        <w:rPr>
          <w:rFonts w:hint="default" w:ascii="仿宋" w:hAnsi="仿宋" w:eastAsia="仿宋"/>
          <w:sz w:val="32"/>
          <w:szCs w:val="32"/>
          <w:highlight w:val="none"/>
        </w:rPr>
        <w:t>根据部门资金用途，按照财务管理制度，统一管理，专款专用，追踪问效的原则进行考核，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严格执行预算，规范资金审批和支付程序，提高资金的使用效率。该项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4分。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left="0" w:firstLine="640" w:firstLineChars="200"/>
        <w:contextualSpacing/>
        <w:jc w:val="both"/>
        <w:textAlignment w:val="auto"/>
        <w:outlineLvl w:val="9"/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4.</w:t>
      </w: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资产管理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</w:rPr>
      </w:pP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 xml:space="preserve"> 人均资产变化率：2025年新增固定资产账面价值0.3万元，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该项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3分。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both"/>
        <w:textAlignment w:val="auto"/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资产利用率：我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到期仍具有使用价值的资产进行功能挖潜、修旧利废、合理调剂满足单位不同委室业务工作需求，做到物尽其用，尽可能减少资产配置，减少财政经费支出，有效盘活并高效使用闲置资产，加强单位内部资源统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该项</w:t>
      </w:r>
      <w:r>
        <w:rPr>
          <w:rFonts w:hint="eastAsia" w:ascii="仿宋" w:hAnsi="仿宋" w:eastAsia="仿宋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/>
          <w:sz w:val="32"/>
          <w:szCs w:val="32"/>
          <w:highlight w:val="none"/>
          <w:lang w:val="en-US" w:eastAsia="zh-CN"/>
        </w:rPr>
        <w:t>3分。</w:t>
      </w:r>
    </w:p>
    <w:p>
      <w:pPr>
        <w:pStyle w:val="7"/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  <w:t>资产盘活率：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我乡无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  <w:t>闲置一年以上的资产盘活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情况。该项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  <w:t>自评得分为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0分。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采购管理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  <w:t>支持中小企业发展：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我</w:t>
      </w:r>
      <w:r>
        <w:rPr>
          <w:rFonts w:hint="eastAsia" w:ascii="仿宋_GB2312" w:hAnsi="仿宋_GB2312" w:cs="仿宋_GB2312"/>
          <w:b w:val="0"/>
          <w:kern w:val="2"/>
          <w:sz w:val="32"/>
          <w:szCs w:val="32"/>
          <w:lang w:val="en-US" w:eastAsia="zh-CN" w:bidi="ar-SA"/>
        </w:rPr>
        <w:t>乡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  <w:t>严格执行政府采购促进中小企业发展相关管理</w:t>
      </w:r>
      <w:r>
        <w:rPr>
          <w:rFonts w:hint="eastAsia" w:ascii="仿宋_GB2312" w:hAnsi="仿宋_GB2312" w:cs="仿宋_GB2312"/>
          <w:b w:val="0"/>
          <w:kern w:val="2"/>
          <w:sz w:val="32"/>
          <w:szCs w:val="32"/>
          <w:lang w:val="zh-CN" w:eastAsia="zh-CN" w:bidi="ar-SA"/>
        </w:rPr>
        <w:t>乡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  <w:t>法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，对适宜由中小企业提供的采购项目和采购包，预留采购份额专门面向中小企业采购，并在采购预算中单独列示。该项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  <w:t>自评得分为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3分。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采购执行率：严格按照流程执行采购预算支付。该项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zh-CN" w:eastAsia="zh-CN" w:bidi="ar-SA"/>
        </w:rPr>
        <w:t>自评得分为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>3分。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firstLine="642" w:firstLineChars="200"/>
        <w:contextualSpacing/>
        <w:jc w:val="left"/>
        <w:textAlignment w:val="auto"/>
        <w:outlineLvl w:val="9"/>
        <w:rPr>
          <w:rFonts w:hint="default"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（二）部门预算项目绩效分析。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firstLine="640" w:firstLineChars="200"/>
        <w:contextualSpacing/>
        <w:jc w:val="left"/>
        <w:textAlignment w:val="auto"/>
        <w:outlineLvl w:val="9"/>
        <w:rPr>
          <w:rFonts w:hint="eastAsia" w:cs="Times New Roman"/>
          <w:color w:val="auto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常年项目绩效分析。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该类项目总数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0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个，涉及预算总金额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0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万元，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1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—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1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月预算执行总体进度为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100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 xml:space="preserve"> 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  <w:t>%，其中：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预算结余率大于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10%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的项目共计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0</w:t>
      </w:r>
      <w:r>
        <w:rPr>
          <w:rFonts w:hint="default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个。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adjustRightInd w:val="0"/>
        <w:snapToGrid w:val="0"/>
        <w:spacing w:line="576" w:lineRule="exact"/>
        <w:ind w:left="0" w:firstLine="640" w:firstLineChars="200"/>
        <w:contextualSpacing/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楷体_GB2312" w:eastAsia="楷体_GB2312" w:cs="楷体_GB2312"/>
          <w:color w:val="auto"/>
          <w:kern w:val="0"/>
          <w:szCs w:val="32"/>
          <w:highlight w:val="none"/>
          <w:shd w:val="clear" w:color="auto" w:fill="FFFFFF"/>
          <w:lang w:val="zh-CN"/>
        </w:rPr>
        <w:t>项目决策。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zh-CN" w:eastAsia="zh-CN"/>
        </w:rPr>
        <w:t>决策程序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en-US" w:eastAsia="zh-CN"/>
        </w:rPr>
        <w:t>: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zh-CN" w:eastAsia="zh-CN"/>
        </w:rPr>
        <w:t>部门预算项目依据充分，主要根据法律法规和部门职能职责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zh-CN" w:eastAsia="zh-CN"/>
        </w:rPr>
        <w:t>立项程序规范，按照县财政相关要求履行评估论证、项目入库等申报程序。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en-US" w:eastAsia="zh-CN"/>
        </w:rPr>
        <w:t>该项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en-US" w:eastAsia="zh-CN"/>
        </w:rPr>
        <w:t>4分。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zh-CN" w:eastAsia="zh-CN"/>
        </w:rPr>
        <w:t>目标设置：设立绩效目标具有合理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性，设立绩效指标具有明确性，资金投入体现了预算科学性。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该项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4分。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项目入库：严格按照财政要求，在规定时间内完成预算一体化项目入库工作。该项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4分。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2.项目执行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执行同向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: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部门预算项目实际列支内容与绩效目标设置方向相符。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该项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4分。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default" w:eastAsia="仿宋_GB231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项目调整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: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部分预算项目资金根据财政最终批复金额，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在规定时间内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对项目库进行相应调整。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该项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4分。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ind w:firstLine="640" w:firstLineChars="200"/>
        <w:contextualSpacing/>
        <w:jc w:val="both"/>
        <w:textAlignment w:val="auto"/>
        <w:outlineLvl w:val="9"/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3.</w:t>
      </w:r>
      <w:r>
        <w:rPr>
          <w:rFonts w:hint="eastAsia" w:ascii="楷体_GB2312" w:eastAsia="楷体_GB2312" w:cs="楷体_GB2312"/>
          <w:color w:val="000000"/>
          <w:kern w:val="0"/>
          <w:szCs w:val="32"/>
          <w:highlight w:val="none"/>
          <w:shd w:val="clear" w:color="auto" w:fill="FFFFFF"/>
          <w:lang w:val="zh-CN"/>
        </w:rPr>
        <w:t>目标实现。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both"/>
        <w:textAlignment w:val="auto"/>
        <w:outlineLvl w:val="9"/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 w:cs="仿宋_GB2312"/>
          <w:b w:val="0"/>
          <w:bCs/>
          <w:sz w:val="32"/>
          <w:szCs w:val="32"/>
          <w:lang w:val="zh-CN" w:eastAsia="zh-CN"/>
        </w:rPr>
        <w:t>目标完成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>:通过对我</w:t>
      </w:r>
      <w:r>
        <w:rPr>
          <w:rFonts w:hint="eastAsia" w:ascii="仿宋_GB2312" w:cs="仿宋_GB2312"/>
          <w:b w:val="0"/>
          <w:bCs/>
          <w:sz w:val="32"/>
          <w:szCs w:val="32"/>
          <w:lang w:val="en-US" w:eastAsia="zh-CN"/>
        </w:rPr>
        <w:t>乡</w:t>
      </w:r>
      <w:r>
        <w:rPr>
          <w:rFonts w:hint="eastAsia" w:ascii="仿宋_GB2312" w:eastAsia="仿宋_GB2312" w:cs="仿宋_GB2312"/>
          <w:b w:val="0"/>
          <w:bCs/>
          <w:sz w:val="32"/>
          <w:szCs w:val="32"/>
          <w:lang w:val="en-US" w:eastAsia="zh-CN"/>
        </w:rPr>
        <w:t>预算支出绩效目标的设置情况、资金使用情况、资金实施管理情况、整体支出绩效表现情况进行自我评价，了解资金使用是否达到了预期目标、资金管理是否规范、资金使用是否有效，检验资金支出效率和效果，分析存在的问题和原因，及时总结经验，改进管理措施，不断增强和落实绩效管理责任，完善工作机制，有效提高资金管理水平和使用效益，进一步提升绩效管理水平，强化支出责任，提高财政资金使用效益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部门预算阶段项目总数为18个，完成绩效目标数量指标的部门预算阶段项目）数量为18个。该项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4分。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both"/>
        <w:textAlignment w:val="auto"/>
        <w:outlineLvl w:val="9"/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 xml:space="preserve"> 目标偏离:本年度部门预算项目绩效目标数量指标完成情况较好，已完成预期指标值的数量指标中偏离度均在30%内，该项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4分。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both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实现效果:我乡认真做好乡工作安排、按时完成县委县政府工作计划，做好预决算审查监督工作，保障财政资金高效利用，本年度所有项目均完成预期设定绩效目标效益指标，该项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zh-CN" w:eastAsia="zh-CN"/>
        </w:rPr>
        <w:t>自评得分为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3分。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2" w:firstLineChars="200"/>
        <w:contextualSpacing/>
        <w:jc w:val="left"/>
        <w:textAlignment w:val="auto"/>
        <w:outlineLvl w:val="9"/>
        <w:rPr>
          <w:rFonts w:hint="eastAsia" w:ascii="Times New Roman" w:hAnsi="Times New Roman" w:cs="Times New Roman"/>
          <w:sz w:val="32"/>
          <w:szCs w:val="32"/>
          <w:highlight w:val="none"/>
          <w:u w:val="none"/>
          <w:lang w:eastAsia="zh-CN" w:bidi="ar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重点领域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</w:t>
      </w:r>
      <w:r>
        <w:rPr>
          <w:rFonts w:hint="default"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。</w:t>
      </w:r>
      <w:r>
        <w:rPr>
          <w:rFonts w:hint="eastAsia" w:cs="Times New Roman"/>
          <w:sz w:val="32"/>
          <w:szCs w:val="32"/>
          <w:highlight w:val="none"/>
          <w:u w:val="none"/>
          <w:lang w:eastAsia="zh-CN"/>
        </w:rPr>
        <w:t>州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u w:val="none"/>
        </w:rPr>
        <w:t>级部门</w:t>
      </w:r>
      <w:r>
        <w:rPr>
          <w:rFonts w:hint="eastAsia" w:cs="Times New Roman"/>
          <w:sz w:val="32"/>
          <w:szCs w:val="32"/>
          <w:u w:val="none"/>
          <w:lang w:val="en-US" w:eastAsia="zh-CN"/>
        </w:rPr>
        <w:t>2025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年度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u w:val="none"/>
        </w:rPr>
        <w:t>若涉及国有资本、行政事业性国有资产、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u w:val="none"/>
        </w:rPr>
        <w:t>债券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u w:val="none"/>
          <w:lang w:eastAsia="zh-CN"/>
        </w:rPr>
        <w:t>资金、政府采购和政府购买服务等重点领域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u w:val="none"/>
        </w:rPr>
        <w:t>的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u w:val="no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u w:val="none"/>
          <w:lang w:bidi="ar"/>
        </w:rPr>
        <w:t>应在部门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eastAsia="zh-CN" w:bidi="ar"/>
        </w:rPr>
        <w:t>预算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u w:val="none"/>
          <w:lang w:bidi="ar"/>
        </w:rPr>
        <w:t>绩效自评报告中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u w:val="none"/>
          <w:lang w:eastAsia="zh-CN" w:bidi="ar"/>
        </w:rPr>
        <w:t>对完成情况进行梳理阐述</w:t>
      </w:r>
      <w:r>
        <w:rPr>
          <w:rFonts w:hint="eastAsia" w:ascii="Times New Roman" w:hAnsi="Times New Roman" w:cs="Times New Roman"/>
          <w:sz w:val="32"/>
          <w:szCs w:val="32"/>
          <w:highlight w:val="none"/>
          <w:u w:val="none"/>
          <w:lang w:eastAsia="zh-CN" w:bidi="ar"/>
        </w:rPr>
        <w:t>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firstLine="640"/>
        <w:textAlignment w:val="auto"/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国有资本经营预算支出，中央省国有企业退休人员社会化管理财政补助资金:2025年预算数0万元，2025年拨付0万元，拨付率为0%。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6" w:lineRule="exact"/>
        <w:ind w:left="0" w:firstLine="642" w:firstLineChars="200"/>
        <w:jc w:val="both"/>
        <w:textAlignment w:val="auto"/>
        <w:rPr>
          <w:rFonts w:ascii="仿宋_GB2312" w:eastAsia="仿宋_GB2312" w:cs="仿宋_GB2312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szCs w:val="32"/>
          <w:lang w:val="zh-CN"/>
        </w:rPr>
        <w:t>（四）绩效结果应用情况</w:t>
      </w:r>
      <w:r>
        <w:rPr>
          <w:rFonts w:hint="eastAsia" w:ascii="Times New Roman" w:hAnsi="Times New Roman" w:eastAsia="楷体_GB2312" w:cs="Times New Roman"/>
          <w:b/>
          <w:bCs/>
          <w:szCs w:val="32"/>
          <w:lang w:val="zh-CN"/>
        </w:rPr>
        <w:t>。</w:t>
      </w:r>
      <w:r>
        <w:rPr>
          <w:rFonts w:hint="eastAsia" w:ascii="仿宋_GB2312" w:eastAsia="仿宋_GB2312" w:cs="仿宋_GB2312"/>
          <w:sz w:val="32"/>
          <w:szCs w:val="32"/>
        </w:rPr>
        <w:t>我乡依据财政编审要求,在年度终了后,结合本单位当年全部预算收入、财政拨款收入及支出等,对全口径的资金收入、支出和预算管理、资产管理等工作进行的全面总结。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6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通过对部门决算报表的编制，来检查本单位全年资金的使用管理、职能履行情况等，并为单位内部控制工作的有序开展提供数据支撑。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6" w:lineRule="exact"/>
        <w:ind w:lef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/>
          <w:bCs w:val="0"/>
          <w:szCs w:val="32"/>
        </w:rPr>
      </w:pPr>
      <w:r>
        <w:rPr>
          <w:rFonts w:hint="eastAsia" w:ascii="仿宋_GB2312" w:cs="仿宋_GB2312"/>
          <w:sz w:val="32"/>
          <w:szCs w:val="32"/>
          <w:lang w:val="en-US" w:eastAsia="zh-CN"/>
        </w:rPr>
        <w:t>2025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年度</w:t>
      </w:r>
      <w:r>
        <w:rPr>
          <w:rFonts w:hint="eastAsia" w:ascii="仿宋_GB2312" w:cs="仿宋_GB2312"/>
          <w:sz w:val="32"/>
          <w:szCs w:val="32"/>
          <w:lang w:val="en-US" w:eastAsia="zh-CN"/>
        </w:rPr>
        <w:t>维古乡</w:t>
      </w:r>
      <w:r>
        <w:rPr>
          <w:rFonts w:hint="eastAsia" w:ascii="仿宋_GB2312" w:eastAsia="仿宋_GB2312" w:cs="仿宋_GB2312"/>
          <w:sz w:val="32"/>
          <w:szCs w:val="32"/>
        </w:rPr>
        <w:t>自评质量</w:t>
      </w:r>
      <w:r>
        <w:rPr>
          <w:rFonts w:hint="eastAsia" w:ascii="仿宋_GB2312" w:eastAsia="仿宋_GB2312" w:cs="仿宋_GB2312"/>
          <w:sz w:val="32"/>
          <w:szCs w:val="32"/>
          <w:lang w:eastAsia="zh-CN"/>
        </w:rPr>
        <w:t>较好</w:t>
      </w:r>
      <w:r>
        <w:rPr>
          <w:rFonts w:hint="eastAsia" w:ascii="仿宋_GB2312" w:eastAsia="仿宋_GB2312" w:cs="仿宋_GB2312"/>
          <w:sz w:val="32"/>
          <w:szCs w:val="32"/>
        </w:rPr>
        <w:t>、绩效目标和自评</w:t>
      </w:r>
      <w:r>
        <w:rPr>
          <w:rFonts w:hint="eastAsia" w:ascii="仿宋_GB2312" w:eastAsia="仿宋_GB2312" w:cs="仿宋_GB2312"/>
          <w:sz w:val="32"/>
          <w:szCs w:val="32"/>
          <w:lang w:eastAsia="zh-CN"/>
        </w:rPr>
        <w:t>在乡公示栏</w:t>
      </w:r>
      <w:r>
        <w:rPr>
          <w:rFonts w:hint="eastAsia" w:ascii="仿宋_GB2312" w:eastAsia="仿宋_GB2312" w:cs="仿宋_GB2312"/>
          <w:sz w:val="32"/>
          <w:szCs w:val="32"/>
        </w:rPr>
        <w:t>公开、评价结果</w:t>
      </w:r>
      <w:r>
        <w:rPr>
          <w:rFonts w:hint="eastAsia" w:ascii="仿宋_GB2312" w:eastAsia="仿宋_GB2312" w:cs="仿宋_GB2312"/>
          <w:sz w:val="32"/>
          <w:szCs w:val="32"/>
          <w:lang w:eastAsia="zh-CN"/>
        </w:rPr>
        <w:t>良好，</w:t>
      </w:r>
      <w:r>
        <w:rPr>
          <w:rFonts w:hint="eastAsia" w:ascii="仿宋_GB2312" w:eastAsia="仿宋_GB2312" w:cs="仿宋_GB2312"/>
          <w:sz w:val="32"/>
          <w:szCs w:val="32"/>
        </w:rPr>
        <w:t>应用结果反馈</w:t>
      </w:r>
      <w:r>
        <w:rPr>
          <w:rFonts w:hint="eastAsia" w:ascii="仿宋_GB2312" w:eastAsia="仿宋_GB2312" w:cs="仿宋_GB2312"/>
          <w:sz w:val="32"/>
          <w:szCs w:val="32"/>
          <w:lang w:eastAsia="zh-CN"/>
        </w:rPr>
        <w:t>良好。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  <w:lang w:eastAsia="zh-CN"/>
        </w:rPr>
        <w:t>四、</w:t>
      </w:r>
      <w:r>
        <w:rPr>
          <w:rFonts w:hint="default" w:ascii="Times New Roman" w:hAnsi="Times New Roman" w:eastAsia="黑体" w:cs="Times New Roman"/>
          <w:color w:val="000000"/>
          <w:kern w:val="0"/>
          <w:szCs w:val="32"/>
          <w:highlight w:val="none"/>
          <w:shd w:val="clear" w:color="auto" w:fill="FFFFFF"/>
        </w:rPr>
        <w:t>评价结论及建议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2" w:firstLineChars="200"/>
        <w:contextualSpacing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（一）评价结论。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我乡组织开展了2025年度部门整体支出绩效评价工作，对2025年度财政预算资金进行整体绩效评价，根据设定的绩效目标，运用合理的评价方法，对预算资金支出经济性、效率性、有效性和可持</w:t>
      </w:r>
      <w:r>
        <w:rPr>
          <w:rFonts w:hint="default" w:ascii="仿宋" w:hAnsi="仿宋" w:eastAsia="仿宋" w:cs="仿宋"/>
          <w:bCs/>
          <w:sz w:val="32"/>
          <w:szCs w:val="32"/>
          <w:highlight w:val="none"/>
          <w:lang w:eastAsia="zh-CN"/>
        </w:rPr>
        <w:t>续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性进行客观、公正的评价。我单位对财政专项资金的分配、使用和管理按照先有办法、后分资金；专款专用、独立核算；统一支付、严格把关的原则进行管理。严格执行预算，规范了资金审批和支付程序，提高了资金的使用效率。认真开展专项资金绩效管理，在资金分配中的项目申报、评审和安排，均按规定严格执行，各项重点项目资金安排都保证及时到位，每一笔收支都做到有依据、有凭证、有程序。确保专项资金依法管理与使用。没有发生专项资金的挤占、挪用、截流等违规现象。按照“部门预算绩效评价指标体系”进行综合评价，整体绩效评价综合得分91分，各项评分结果见评价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6" w:lineRule="exact"/>
        <w:ind w:left="0" w:firstLine="642" w:firstLineChars="200"/>
        <w:jc w:val="both"/>
        <w:textAlignment w:val="auto"/>
        <w:rPr>
          <w:rFonts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（二）存在问题。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在项目绩效目标设定、预算执行、资金使用等方面，不同程度地存在一些操作不够规范、跟踪不够及时、衔接不够充分、监督不够到位；部分项目预算资金支付进度有待提高，短期资金支出效率较低。项目绩效目标设定的科学性、时效性有待加强。项目安排统筹力度还需加大。因资金拨付情况及工作开展情况，导致个别项目在一定程度上存在支出进度慢的现象。 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6" w:lineRule="exact"/>
        <w:ind w:left="0" w:firstLine="642" w:firstLineChars="200"/>
        <w:jc w:val="both"/>
        <w:textAlignment w:val="auto"/>
        <w:rPr>
          <w:rFonts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ascii="Times New Roman" w:hAnsi="Times New Roman" w:eastAsia="楷体_GB2312" w:cs="Times New Roman"/>
          <w:b/>
          <w:bCs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t>（三）改进建议。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contextualSpacing/>
        <w:jc w:val="left"/>
        <w:textAlignment w:val="auto"/>
        <w:outlineLvl w:val="9"/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进一步加强财务规范化管理，增强内部预算管理意识，严格按照预算编制的相关制度和要求进行预算编制和绩效评估,切实提高财政资金使用效益，不断提高单位绩效自评工作人员的知识和能力，确保绩效评价的科学性和准确性；坚持推进精细化管理，强化预算绩效目标管理、细化绩效目标，并将绩效目标细化分解为具体工作计划。烦请财政根据政协工作发展要求和实际情况，将相关项目经费纳入年度预算，保障单位财务正常运转，使评价工作更合理、更完整；进一步完善预算管理体制，加强项目开展进度的跟踪，开展项目绩效评价，确保项目绩效目标的完成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AR PL UKai CN">
    <w:panose1 w:val="02000503000000000000"/>
    <w:charset w:val="86"/>
    <w:family w:val="auto"/>
    <w:pitch w:val="default"/>
    <w:sig w:usb0="A00002FF" w:usb1="3ACFFDFF" w:usb2="00000036" w:usb3="00000000" w:csb0="2016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846D96"/>
    <w:multiLevelType w:val="singleLevel"/>
    <w:tmpl w:val="A2846D9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927F59E"/>
    <w:multiLevelType w:val="singleLevel"/>
    <w:tmpl w:val="F927F59E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E37E066"/>
    <w:multiLevelType w:val="singleLevel"/>
    <w:tmpl w:val="3E37E066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59717D55"/>
    <w:multiLevelType w:val="singleLevel"/>
    <w:tmpl w:val="59717D55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A4315"/>
    <w:rsid w:val="34FB1399"/>
    <w:rsid w:val="48AAF548"/>
    <w:rsid w:val="6ADA4315"/>
    <w:rsid w:val="6DEB388C"/>
    <w:rsid w:val="7677F6D6"/>
    <w:rsid w:val="F5BB6921"/>
    <w:rsid w:val="F5DD1B21"/>
    <w:rsid w:val="FBDB1360"/>
    <w:rsid w:val="FBF9E944"/>
    <w:rsid w:val="FEE79553"/>
    <w:rsid w:val="FFEF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ind w:left="400" w:leftChars="200" w:hanging="200" w:hangingChars="200"/>
    </w:pPr>
  </w:style>
  <w:style w:type="paragraph" w:styleId="3">
    <w:name w:val="Plain Text"/>
    <w:basedOn w:val="1"/>
    <w:qFormat/>
    <w:uiPriority w:val="0"/>
    <w:pPr>
      <w:widowControl/>
      <w:jc w:val="left"/>
    </w:pPr>
    <w:rPr>
      <w:rFonts w:ascii="宋体" w:hAnsi="Courier New"/>
      <w:kern w:val="0"/>
      <w:szCs w:val="21"/>
    </w:rPr>
  </w:style>
  <w:style w:type="paragraph" w:styleId="4">
    <w:name w:val="Normal (Web)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paragraph" w:customStyle="1" w:styleId="7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2026-09-04T16:30:00Z</dcterms:created>
  <dc:creator>smile</dc:creator>
  <cp:lastModifiedBy>user</cp:lastModifiedBy>
  <dcterms:modified xsi:type="dcterms:W3CDTF">2026-10-20T17:15:51Z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  <property fmtid="{D5CDD505-2E9C-101B-9397-08002B2CF9AE}" pid="3" name="ICV">
    <vt:lpwstr>E52DC1F0D6464FBD9B7EC31A40908F00_11</vt:lpwstr>
  </property>
  <property fmtid="{D5CDD505-2E9C-101B-9397-08002B2CF9AE}" pid="4" name="KSOTemplateDocerSaveRecord">
    <vt:lpwstr>eyJoZGlkIjoiNDdiZmU5YWNkYjQ4MTQ3YTcxMzUyYzQwMTkwNDIxZTIiLCJ1c2VySWQiOiI1MTMyMTU1NzYifQ==</vt:lpwstr>
  </property>
</Properties>
</file>