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D44A01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/>
          <w:b/>
          <w:bCs/>
          <w:sz w:val="44"/>
          <w:szCs w:val="44"/>
          <w:lang w:eastAsia="zh-CN"/>
        </w:rPr>
      </w:pPr>
      <w:r>
        <w:rPr>
          <w:rFonts w:hint="eastAsia"/>
          <w:sz w:val="32"/>
          <w:szCs w:val="32"/>
          <w:lang w:val="en-US" w:eastAsia="zh-CN"/>
        </w:rPr>
        <w:t>附件1-</w:t>
      </w:r>
      <w:r>
        <w:rPr>
          <w:sz w:val="32"/>
          <w:szCs w:val="32"/>
          <w:lang w:val="en-US" w:eastAsia="zh-CN"/>
        </w:rPr>
        <w:t>3-2</w:t>
      </w:r>
    </w:p>
    <w:p w14:paraId="50C6F343">
      <w:pPr>
        <w:pStyle w:val="7"/>
        <w:keepNext w:val="0"/>
        <w:keepLines w:val="0"/>
        <w:pageBreakBefore w:val="0"/>
        <w:widowControl/>
        <w:suppressLineNumbers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880" w:firstLineChars="200"/>
        <w:jc w:val="center"/>
        <w:textAlignment w:val="auto"/>
        <w:rPr>
          <w:rFonts w:ascii="方正小标宋简体" w:eastAsia="方正小标宋简体" w:cs="方正小标宋简体"/>
          <w:color w:val="auto"/>
          <w:kern w:val="2"/>
          <w:sz w:val="44"/>
          <w:szCs w:val="44"/>
          <w:highlight w:val="none"/>
          <w:lang w:val="en-US" w:eastAsia="zh-CN" w:bidi="ar-SA"/>
        </w:rPr>
      </w:pPr>
      <w:r>
        <w:rPr>
          <w:rFonts w:ascii="方正小标宋简体" w:eastAsia="方正小标宋简体" w:cs="方正小标宋简体"/>
          <w:color w:val="auto"/>
          <w:kern w:val="2"/>
          <w:sz w:val="44"/>
          <w:szCs w:val="44"/>
          <w:highlight w:val="none"/>
          <w:lang w:val="en-US" w:eastAsia="zh-CN" w:bidi="ar-SA"/>
        </w:rPr>
        <w:t>洛多乡人民政府办公电脑购置</w:t>
      </w:r>
    </w:p>
    <w:p w14:paraId="00D71A91">
      <w:pPr>
        <w:pStyle w:val="7"/>
        <w:keepNext w:val="0"/>
        <w:keepLines w:val="0"/>
        <w:pageBreakBefore w:val="0"/>
        <w:widowControl/>
        <w:suppressLineNumbers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880" w:firstLineChars="200"/>
        <w:jc w:val="center"/>
        <w:textAlignment w:val="auto"/>
        <w:rPr>
          <w:rFonts w:hint="eastAsia" w:ascii="方正小标宋简体" w:eastAsia="方正小标宋简体" w:cs="方正小标宋简体"/>
          <w:color w:val="auto"/>
          <w:kern w:val="2"/>
          <w:sz w:val="44"/>
          <w:szCs w:val="44"/>
          <w:highlight w:val="none"/>
          <w:lang w:val="en-US" w:eastAsia="zh-CN" w:bidi="ar-SA"/>
        </w:rPr>
      </w:pPr>
      <w:r>
        <w:rPr>
          <w:rFonts w:ascii="方正小标宋简体" w:eastAsia="方正小标宋简体" w:cs="方正小标宋简体"/>
          <w:color w:val="auto"/>
          <w:kern w:val="2"/>
          <w:sz w:val="44"/>
          <w:szCs w:val="44"/>
          <w:highlight w:val="none"/>
          <w:lang w:val="en-US" w:eastAsia="zh-CN" w:bidi="ar-SA"/>
        </w:rPr>
        <w:t>部门预算项目支出绩效</w:t>
      </w:r>
      <w:r>
        <w:rPr>
          <w:rFonts w:hint="eastAsia" w:ascii="方正小标宋简体" w:eastAsia="方正小标宋简体" w:cs="方正小标宋简体"/>
          <w:color w:val="auto"/>
          <w:kern w:val="2"/>
          <w:sz w:val="44"/>
          <w:szCs w:val="44"/>
          <w:highlight w:val="none"/>
          <w:lang w:val="en-US" w:eastAsia="zh-CN" w:bidi="ar-SA"/>
        </w:rPr>
        <w:t>评价报告</w:t>
      </w:r>
    </w:p>
    <w:p w14:paraId="1D05E63E">
      <w:pPr>
        <w:pStyle w:val="7"/>
        <w:keepNext w:val="0"/>
        <w:keepLines w:val="0"/>
        <w:pageBreakBefore w:val="0"/>
        <w:widowControl/>
        <w:suppressLineNumbers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880" w:firstLineChars="200"/>
        <w:jc w:val="center"/>
        <w:textAlignment w:val="auto"/>
        <w:rPr>
          <w:rFonts w:hint="eastAsia" w:ascii="方正小标宋简体" w:eastAsia="方正小标宋简体" w:cs="方正小标宋简体"/>
          <w:color w:val="auto"/>
          <w:kern w:val="2"/>
          <w:sz w:val="44"/>
          <w:szCs w:val="44"/>
          <w:highlight w:val="none"/>
          <w:lang w:val="en-US" w:eastAsia="zh-CN" w:bidi="ar-SA"/>
        </w:rPr>
      </w:pPr>
      <w:bookmarkStart w:id="0" w:name="_GoBack"/>
      <w:bookmarkEnd w:id="0"/>
    </w:p>
    <w:p w14:paraId="275587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黑体_GBK" w:hAnsi="方正黑体_GBK" w:eastAsia="方正黑体_GBK" w:cs="方正黑体_GBK"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</w:rPr>
        <w:t>一、项目背景</w:t>
      </w:r>
    </w:p>
    <w:p w14:paraId="01EA82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为提高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洛多乡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人民政府工作效率，满足日常办公需求，根据工作实际，决定购置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7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台办公电脑。本项目总投资为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49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000元，每台电脑价格为7000元。</w:t>
      </w:r>
    </w:p>
    <w:p w14:paraId="72B19B0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黑体_GBK" w:hAnsi="方正黑体_GBK" w:eastAsia="方正黑体_GBK" w:cs="方正黑体_GBK"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</w:rPr>
        <w:t>二、评价目的</w:t>
      </w:r>
    </w:p>
    <w:p w14:paraId="203C152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本次事前绩效评价旨在确保办公电脑购置项目的合理性、经济性和效益性，为项目实施提供决策依据。</w:t>
      </w:r>
    </w:p>
    <w:p w14:paraId="5F706EE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黑体_GBK" w:hAnsi="方正黑体_GBK" w:eastAsia="方正黑体_GBK" w:cs="方正黑体_GBK"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</w:rPr>
        <w:t>三、评价依据</w:t>
      </w:r>
    </w:p>
    <w:p w14:paraId="4943B9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1.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《中华人民共和国政府采购法》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及相关法律法规；</w:t>
      </w:r>
    </w:p>
    <w:p w14:paraId="68251A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2.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洛多乡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人民政府年度工作计划；</w:t>
      </w:r>
    </w:p>
    <w:p w14:paraId="1F50A3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3.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洛多乡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人民政府财务预算及资金管理办法。</w:t>
      </w:r>
    </w:p>
    <w:p w14:paraId="542192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黑体_GBK" w:hAnsi="方正黑体_GBK" w:eastAsia="方正黑体_GBK" w:cs="方正黑体_GBK"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</w:rPr>
        <w:t>四、评价内容</w:t>
      </w:r>
    </w:p>
    <w:p w14:paraId="42B6F4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1.项目实施的必要性；</w:t>
      </w:r>
    </w:p>
    <w:p w14:paraId="6C0D6F1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2.项目预算的合理性；</w:t>
      </w:r>
    </w:p>
    <w:p w14:paraId="49B530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3.项目效益的预期；</w:t>
      </w:r>
    </w:p>
    <w:p w14:paraId="0B176DE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4.项目风险的评估。</w:t>
      </w:r>
    </w:p>
    <w:p w14:paraId="2A17CA8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黑体_GBK" w:hAnsi="方正黑体_GBK" w:eastAsia="方正黑体_GBK" w:cs="方正黑体_GBK"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</w:rPr>
        <w:t>五、评价过程</w:t>
      </w:r>
    </w:p>
    <w:p w14:paraId="3C506E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1.项目调研：对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洛多乡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人民政府各部门办公电脑使用情况进行调查，了解现有设备状况及需求；</w:t>
      </w:r>
    </w:p>
    <w:p w14:paraId="57BA920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2.方案制定：根据调研结果，制定办公电脑购置方案；</w:t>
      </w:r>
    </w:p>
    <w:p w14:paraId="237FBA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3.预算编制：根据购置方案，编制项目预算；</w:t>
      </w:r>
    </w:p>
    <w:p w14:paraId="45B158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4.效益分析：预测项目实施后的效益；</w:t>
      </w:r>
    </w:p>
    <w:p w14:paraId="788549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5.风险评估：分析项目实施过程中可能出现的风险。</w:t>
      </w:r>
    </w:p>
    <w:p w14:paraId="25716E4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黑体_GBK" w:hAnsi="方正黑体_GBK" w:eastAsia="方正黑体_GBK" w:cs="方正黑体_GBK"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</w:rPr>
        <w:t>六、评价结果</w:t>
      </w:r>
    </w:p>
    <w:p w14:paraId="412AD07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楷体_GB2312" w:hAnsi="方正楷体_GB2312" w:eastAsia="方正楷体_GB2312" w:cs="方正楷体_GB2312"/>
          <w:sz w:val="32"/>
          <w:szCs w:val="32"/>
        </w:rPr>
      </w:pPr>
      <w:r>
        <w:rPr>
          <w:rFonts w:hint="eastAsia" w:ascii="方正楷体_GB2312" w:hAnsi="方正楷体_GB2312" w:eastAsia="方正楷体_GB2312" w:cs="方正楷体_GB2312"/>
          <w:sz w:val="32"/>
          <w:szCs w:val="32"/>
          <w:lang w:eastAsia="zh-CN"/>
        </w:rPr>
        <w:t>（一）</w:t>
      </w:r>
      <w:r>
        <w:rPr>
          <w:rFonts w:hint="eastAsia" w:ascii="方正楷体_GB2312" w:hAnsi="方正楷体_GB2312" w:eastAsia="方正楷体_GB2312" w:cs="方正楷体_GB2312"/>
          <w:sz w:val="32"/>
          <w:szCs w:val="32"/>
        </w:rPr>
        <w:t>项目实施的必要性</w:t>
      </w:r>
    </w:p>
    <w:p w14:paraId="3A8CD8D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洛多乡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人民政府现有办公电脑设备陈旧，部分电脑已无法满足日常办公需求，严重影响工作效率。购置新的办公电脑有助于提高政府工作效率，提升服务水平。</w:t>
      </w:r>
    </w:p>
    <w:p w14:paraId="0A8DED9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楷体_GB2312" w:hAnsi="方正楷体_GB2312" w:eastAsia="方正楷体_GB2312" w:cs="方正楷体_GB2312"/>
          <w:sz w:val="32"/>
          <w:szCs w:val="32"/>
        </w:rPr>
      </w:pPr>
      <w:r>
        <w:rPr>
          <w:rFonts w:hint="eastAsia" w:ascii="方正楷体_GB2312" w:hAnsi="方正楷体_GB2312" w:eastAsia="方正楷体_GB2312" w:cs="方正楷体_GB2312"/>
          <w:sz w:val="32"/>
          <w:szCs w:val="32"/>
          <w:lang w:eastAsia="zh-CN"/>
        </w:rPr>
        <w:t>（二）</w:t>
      </w:r>
      <w:r>
        <w:rPr>
          <w:rFonts w:hint="eastAsia" w:ascii="方正楷体_GB2312" w:hAnsi="方正楷体_GB2312" w:eastAsia="方正楷体_GB2312" w:cs="方正楷体_GB2312"/>
          <w:sz w:val="32"/>
          <w:szCs w:val="32"/>
        </w:rPr>
        <w:t>项目预算的合理性</w:t>
      </w:r>
    </w:p>
    <w:p w14:paraId="5F48D5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本项目预算为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49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000元，每台电脑价格为7000元，符合市场价格。项目预算合理，资金来源明确。</w:t>
      </w:r>
    </w:p>
    <w:p w14:paraId="7B7BE4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楷体_GB2312" w:hAnsi="方正楷体_GB2312" w:eastAsia="方正楷体_GB2312" w:cs="方正楷体_GB2312"/>
          <w:sz w:val="32"/>
          <w:szCs w:val="32"/>
        </w:rPr>
      </w:pPr>
      <w:r>
        <w:rPr>
          <w:rFonts w:hint="eastAsia" w:ascii="方正楷体_GB2312" w:hAnsi="方正楷体_GB2312" w:eastAsia="方正楷体_GB2312" w:cs="方正楷体_GB2312"/>
          <w:sz w:val="32"/>
          <w:szCs w:val="32"/>
          <w:lang w:eastAsia="zh-CN"/>
        </w:rPr>
        <w:t>（三）</w:t>
      </w:r>
      <w:r>
        <w:rPr>
          <w:rFonts w:hint="eastAsia" w:ascii="方正楷体_GB2312" w:hAnsi="方正楷体_GB2312" w:eastAsia="方正楷体_GB2312" w:cs="方正楷体_GB2312"/>
          <w:sz w:val="32"/>
          <w:szCs w:val="32"/>
        </w:rPr>
        <w:t>项目效益的预期</w:t>
      </w:r>
    </w:p>
    <w:p w14:paraId="035E0BB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1.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提高工作效率：新购置的办公电脑将满足各部门办公需求，提高工作效率；</w:t>
      </w:r>
    </w:p>
    <w:p w14:paraId="4475EB8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2.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降低维修成本：新设备故障率较低，可降低维修成本；</w:t>
      </w:r>
    </w:p>
    <w:p w14:paraId="1F7044A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3.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提升政府形象：现代化的办公设备有助于提升政府形象。</w:t>
      </w:r>
    </w:p>
    <w:p w14:paraId="2C51DC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楷体_GB2312" w:hAnsi="方正楷体_GB2312" w:eastAsia="方正楷体_GB2312" w:cs="方正楷体_GB2312"/>
          <w:sz w:val="32"/>
          <w:szCs w:val="32"/>
          <w:lang w:eastAsia="zh-CN"/>
        </w:rPr>
      </w:pPr>
      <w:r>
        <w:rPr>
          <w:rFonts w:hint="eastAsia" w:ascii="方正楷体_GB2312" w:hAnsi="方正楷体_GB2312" w:eastAsia="方正楷体_GB2312" w:cs="方正楷体_GB2312"/>
          <w:sz w:val="32"/>
          <w:szCs w:val="32"/>
          <w:lang w:eastAsia="zh-CN"/>
        </w:rPr>
        <w:t>（四）项目风险的评估</w:t>
      </w:r>
    </w:p>
    <w:p w14:paraId="0CBFF41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本项目主要风险为设备采购过程中可能出现的价格波动、供应商选择不当等。为降低风险，建议采取以下措施：</w:t>
      </w:r>
    </w:p>
    <w:p w14:paraId="5571BA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1.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充分了解市场行情，合理确定采购价格；</w:t>
      </w:r>
    </w:p>
    <w:p w14:paraId="7092E63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2.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严格按照政府采购程序，选择信誉良好的供应商；</w:t>
      </w:r>
    </w:p>
    <w:p w14:paraId="4C53622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3.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加强项目监督，确保项目顺利进行。</w:t>
      </w:r>
    </w:p>
    <w:p w14:paraId="7C0373D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黑体_GBK" w:hAnsi="方正黑体_GBK" w:eastAsia="方正黑体_GBK" w:cs="方正黑体_GBK"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</w:rPr>
        <w:t>七、结论与建议</w:t>
      </w:r>
    </w:p>
    <w:p w14:paraId="0A308EC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经评价，本项目具有较高的必要性、合理性和预期效益。为保障项目顺利实施，建议如下：</w:t>
      </w:r>
    </w:p>
    <w:p w14:paraId="4318E7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1.加强项目组织领导，明确责任分工；</w:t>
      </w:r>
    </w:p>
    <w:p w14:paraId="24FC961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2.严格按照政府采购相关规定，确保采购程序合规；</w:t>
      </w:r>
    </w:p>
    <w:p w14:paraId="211EAC3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3.加强项目监督，确保项目质量和进度；</w:t>
      </w:r>
    </w:p>
    <w:p w14:paraId="6A3EDA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4.项目实施后，及时总结经验，为今后类似项目提供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借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鉴。</w:t>
      </w:r>
    </w:p>
    <w:p w14:paraId="5E7958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黑体_GBK" w:hAnsi="方正黑体_GBK" w:eastAsia="方正黑体_GBK" w:cs="方正黑体_GBK"/>
          <w:sz w:val="32"/>
          <w:szCs w:val="32"/>
          <w:lang w:eastAsia="zh-CN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  <w:t>八</w:t>
      </w:r>
      <w:r>
        <w:rPr>
          <w:rFonts w:hint="eastAsia" w:ascii="方正黑体_GBK" w:hAnsi="方正黑体_GBK" w:eastAsia="方正黑体_GBK" w:cs="方正黑体_GBK"/>
          <w:sz w:val="32"/>
          <w:szCs w:val="32"/>
        </w:rPr>
        <w:t>、</w:t>
      </w:r>
      <w:r>
        <w:rPr>
          <w:rFonts w:hint="eastAsia" w:ascii="方正黑体_GBK" w:hAnsi="方正黑体_GBK" w:eastAsia="方正黑体_GBK" w:cs="方正黑体_GBK"/>
          <w:sz w:val="32"/>
          <w:szCs w:val="32"/>
          <w:lang w:eastAsia="zh-CN"/>
        </w:rPr>
        <w:t>绩效分析</w:t>
      </w:r>
    </w:p>
    <w:p w14:paraId="7E3BA1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楷体_GB2312" w:hAnsi="方正楷体_GB2312" w:eastAsia="方正楷体_GB2312" w:cs="方正楷体_GB2312"/>
          <w:sz w:val="32"/>
          <w:szCs w:val="32"/>
          <w:lang w:val="en-US" w:eastAsia="zh-CN"/>
        </w:rPr>
      </w:pPr>
      <w:r>
        <w:rPr>
          <w:rFonts w:hint="eastAsia" w:ascii="方正楷体_GB2312" w:hAnsi="方正楷体_GB2312" w:eastAsia="方正楷体_GB2312" w:cs="方正楷体_GB2312"/>
          <w:sz w:val="32"/>
          <w:szCs w:val="32"/>
          <w:lang w:val="zh-CN" w:eastAsia="zh-CN"/>
        </w:rPr>
        <w:t>（一）</w:t>
      </w:r>
      <w:r>
        <w:rPr>
          <w:rFonts w:hint="eastAsia" w:ascii="方正楷体_GB2312" w:hAnsi="方正楷体_GB2312" w:eastAsia="方正楷体_GB2312" w:cs="方正楷体_GB2312"/>
          <w:sz w:val="32"/>
          <w:szCs w:val="32"/>
          <w:lang w:val="en-US" w:eastAsia="zh-CN"/>
        </w:rPr>
        <w:t>通用指标</w:t>
      </w:r>
      <w:r>
        <w:rPr>
          <w:rFonts w:hint="eastAsia" w:ascii="方正楷体_GB2312" w:hAnsi="方正楷体_GB2312" w:eastAsia="方正楷体_GB2312" w:cs="方正楷体_GB2312"/>
          <w:sz w:val="32"/>
          <w:szCs w:val="32"/>
          <w:lang w:eastAsia="zh-CN"/>
        </w:rPr>
        <w:t>绩效分析。</w:t>
      </w:r>
      <w:r>
        <w:rPr>
          <w:rFonts w:hint="eastAsia" w:ascii="方正楷体_GB2312" w:hAnsi="方正楷体_GB2312" w:eastAsia="方正楷体_GB2312" w:cs="方正楷体_GB2312"/>
          <w:sz w:val="32"/>
          <w:szCs w:val="32"/>
          <w:lang w:val="zh-CN" w:eastAsia="zh-CN"/>
        </w:rPr>
        <w:t>指标分值</w:t>
      </w:r>
      <w:r>
        <w:rPr>
          <w:rFonts w:hint="eastAsia" w:ascii="方正楷体_GB2312" w:hAnsi="方正楷体_GB2312" w:eastAsia="方正楷体_GB2312" w:cs="方正楷体_GB2312"/>
          <w:sz w:val="32"/>
          <w:szCs w:val="32"/>
          <w:lang w:val="en-US" w:eastAsia="zh-CN"/>
        </w:rPr>
        <w:t>54</w:t>
      </w:r>
      <w:r>
        <w:rPr>
          <w:rFonts w:hint="eastAsia" w:ascii="方正楷体_GB2312" w:hAnsi="方正楷体_GB2312" w:eastAsia="方正楷体_GB2312" w:cs="方正楷体_GB2312"/>
          <w:sz w:val="32"/>
          <w:szCs w:val="32"/>
          <w:lang w:val="zh-CN" w:eastAsia="zh-CN"/>
        </w:rPr>
        <w:t>分，自评得分</w:t>
      </w:r>
      <w:r>
        <w:rPr>
          <w:rFonts w:hint="eastAsia" w:ascii="方正楷体_GB2312" w:hAnsi="方正楷体_GB2312" w:eastAsia="方正楷体_GB2312" w:cs="方正楷体_GB2312"/>
          <w:sz w:val="32"/>
          <w:szCs w:val="32"/>
          <w:lang w:val="en-US" w:eastAsia="zh-CN"/>
        </w:rPr>
        <w:t>54</w:t>
      </w:r>
      <w:r>
        <w:rPr>
          <w:rFonts w:hint="eastAsia" w:ascii="方正楷体_GB2312" w:hAnsi="方正楷体_GB2312" w:eastAsia="方正楷体_GB2312" w:cs="方正楷体_GB2312"/>
          <w:sz w:val="32"/>
          <w:szCs w:val="32"/>
          <w:lang w:val="zh-CN" w:eastAsia="zh-CN"/>
        </w:rPr>
        <w:t>分</w:t>
      </w:r>
    </w:p>
    <w:p w14:paraId="0CC58F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1.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项目决策。指标分值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18分，自评得分18分</w:t>
      </w:r>
    </w:p>
    <w:p w14:paraId="2E7785A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决策程序：项目设立、调整延续等方面符合资金管理基本规范和决策程序要求。指标分值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6分，自评得分6分。</w:t>
      </w:r>
    </w:p>
    <w:p w14:paraId="5EB9BA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规划论证：项目规划论证符合中央、省委要求，项目绩效目标设置科学合理，项目资金与项目总体规划、相关行业事业发展相匹配，聚焦重大任务、重点领域、重点环节和重点项目。指标分值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6分，自评得分6分。</w:t>
      </w:r>
    </w:p>
    <w:p w14:paraId="76ED201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资金投向：项目资金与项目总体规划、相关行业事业发展相匹配，聚焦重大任务、重点领域、重点环节和重点项目。体现集中力量办大事原则，避免“撒胡椒面”。指标分值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6分，自评得分6分。</w:t>
      </w:r>
    </w:p>
    <w:p w14:paraId="222250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2.项目管理。指标分值18分，自评得分18分</w:t>
      </w:r>
    </w:p>
    <w:p w14:paraId="3D5D596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制度办法：项目制度办法体系健全、要素完备。资金管理办法等管理制度体系健全完善，不存在管理制度缺失、管理办法过期情况。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指标分值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2分，自评得分2分。</w:t>
      </w:r>
    </w:p>
    <w:p w14:paraId="3861CA7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分配管理：项目资金分配因素选取、权重设置、区域分布，项目管理、审批符合管理要求，管资金、项目、政策管绩效，项目绩效监管按要求开展，对下指导有力有效。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指标分值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10分，自评得分10分。</w:t>
      </w:r>
    </w:p>
    <w:p w14:paraId="4354C81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绩效监管：明确要求“事前评估”“事中监控”“事后评价”，层层把控，对相关人员进行绩效业务培训，使人人“懂理念、会分析”。并严抓项目决策是否科学的“牛鼻子”，力求项目决策科学。让项目“目标科学、全面”才能“拎得清”“跟踪及时、严格”才能“管得准”，避免偏离轨道造成的损耗成本、影响质量、效率低下。“花钱必问效，无效必问责”，该局将绩效理念融入预算编制、执行、监督全过程，抓好项目效益是否提升的“落脚点”，发挥绩效评价导向作用，通过奖优惩劣，确保被评价单位把每一笔钱都用在刀刃上、紧要处，力求项目效益提升。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指标分值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6分，自评得分6分。</w:t>
      </w:r>
    </w:p>
    <w:p w14:paraId="6AB15DA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3.项目实施。指标分值9分，自评得分9分</w:t>
      </w:r>
    </w:p>
    <w:p w14:paraId="0CBFA3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预算执行：项目预算资金4.9万元，支付3.4366万元。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指标分值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6分，自评得分6分。</w:t>
      </w:r>
    </w:p>
    <w:p w14:paraId="58D8C7E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资金使用：项目资金使用、拨付符合国家财经法规、财务管理制度及有关专项资金管理制度办法规定和审批程序，不存在超范围、超标准、超进度使用专项资金，不存在资金损失浪费、长期沉淀、截留、挤占、挪用、虚列支出等情况。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指标分值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3分，自评得分3分。</w:t>
      </w:r>
    </w:p>
    <w:p w14:paraId="6A210A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4.项目结果。指标分值9分，自评得分9分</w:t>
      </w:r>
    </w:p>
    <w:p w14:paraId="6E7CA15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目标完成：资金项目内容与具体实施内容相符的、申报目标是合理可行。项目运行成本、管理效率、履职效能、社会效应、可持续发展能力和服务对象满意度等方面均取得良好成果，预算绩效实现全覆盖。截至2025年底完成项目资金拨付。指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标分值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6分，自评得分6分。</w:t>
      </w:r>
    </w:p>
    <w:p w14:paraId="6C7CFE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完成时效：资金项目按照目标任务已于2025年底完成。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指标分值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3分，自评得分3分。</w:t>
      </w:r>
    </w:p>
    <w:p w14:paraId="1AF91B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楷体_GB2312" w:hAnsi="方正楷体_GB2312" w:eastAsia="方正楷体_GB2312" w:cs="方正楷体_GB2312"/>
          <w:sz w:val="32"/>
          <w:szCs w:val="32"/>
          <w:lang w:val="zh-CN" w:eastAsia="zh-CN"/>
        </w:rPr>
      </w:pPr>
      <w:r>
        <w:rPr>
          <w:rFonts w:hint="eastAsia" w:ascii="方正楷体_GB2312" w:hAnsi="方正楷体_GB2312" w:eastAsia="方正楷体_GB2312" w:cs="方正楷体_GB2312"/>
          <w:sz w:val="32"/>
          <w:szCs w:val="32"/>
          <w:lang w:val="zh-CN" w:eastAsia="zh-CN"/>
        </w:rPr>
        <w:t>（二）专用指标绩效分析。标分值</w:t>
      </w:r>
      <w:r>
        <w:rPr>
          <w:rFonts w:hint="eastAsia" w:ascii="方正楷体_GB2312" w:hAnsi="方正楷体_GB2312" w:eastAsia="方正楷体_GB2312" w:cs="方正楷体_GB2312"/>
          <w:sz w:val="32"/>
          <w:szCs w:val="32"/>
          <w:lang w:val="en-US" w:eastAsia="zh-CN"/>
        </w:rPr>
        <w:t>30</w:t>
      </w:r>
      <w:r>
        <w:rPr>
          <w:rFonts w:hint="eastAsia" w:ascii="方正楷体_GB2312" w:hAnsi="方正楷体_GB2312" w:eastAsia="方正楷体_GB2312" w:cs="方正楷体_GB2312"/>
          <w:sz w:val="32"/>
          <w:szCs w:val="32"/>
          <w:lang w:val="zh-CN" w:eastAsia="zh-CN"/>
        </w:rPr>
        <w:t>分，自评得分</w:t>
      </w:r>
      <w:r>
        <w:rPr>
          <w:rFonts w:hint="eastAsia" w:ascii="方正楷体_GB2312" w:hAnsi="方正楷体_GB2312" w:eastAsia="方正楷体_GB2312" w:cs="方正楷体_GB2312"/>
          <w:sz w:val="32"/>
          <w:szCs w:val="32"/>
          <w:lang w:val="en-US" w:eastAsia="zh-CN"/>
        </w:rPr>
        <w:t>30</w:t>
      </w:r>
      <w:r>
        <w:rPr>
          <w:rFonts w:hint="eastAsia" w:ascii="方正楷体_GB2312" w:hAnsi="方正楷体_GB2312" w:eastAsia="方正楷体_GB2312" w:cs="方正楷体_GB2312"/>
          <w:sz w:val="32"/>
          <w:szCs w:val="32"/>
          <w:lang w:val="zh-CN" w:eastAsia="zh-CN"/>
        </w:rPr>
        <w:t>分</w:t>
      </w:r>
    </w:p>
    <w:p w14:paraId="35C82E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用途合规性：该项目规定用途、适用范围进行本地区专项资金分配。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指标分值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10分，自评得分10分。</w:t>
      </w:r>
    </w:p>
    <w:p w14:paraId="66958D8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val="zh-CN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程序合规性：项目资金分配均衡公平，资金实际支持对象符合管理要求，符合支持对象范围，资金实际补贴标准符合资金管理办法规定的补助标准，及时按标准兑现，资金涉及服务对象满意度不低于95%，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zh-CN" w:eastAsia="zh-CN"/>
        </w:rPr>
        <w:t>项目用途合规性、程序合规性、标准合规性。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指标分值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10分，自评得分10分。</w:t>
      </w:r>
    </w:p>
    <w:p w14:paraId="19F8BD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标准合规性：严格按照县委、县政府和财政标准要求，准确编制预算，确保项目的长期效益和持续运行，提高项目的整体价值和社会的整体福利。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指标分值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10分，自评得分10分。</w:t>
      </w:r>
    </w:p>
    <w:p w14:paraId="76E81F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sz w:val="32"/>
          <w:szCs w:val="32"/>
          <w:lang w:val="zh-CN" w:eastAsia="zh-CN"/>
        </w:rPr>
      </w:pPr>
      <w:r>
        <w:rPr>
          <w:rFonts w:hint="eastAsia" w:ascii="方正楷体_GB2312" w:hAnsi="方正楷体_GB2312" w:eastAsia="方正楷体_GB2312" w:cs="方正楷体_GB2312"/>
          <w:sz w:val="32"/>
          <w:szCs w:val="32"/>
          <w:lang w:val="zh-CN" w:eastAsia="zh-CN"/>
        </w:rPr>
        <w:t>（三）个性指标绩效分析。标分值</w:t>
      </w:r>
      <w:r>
        <w:rPr>
          <w:rFonts w:hint="eastAsia" w:ascii="方正楷体_GB2312" w:hAnsi="方正楷体_GB2312" w:eastAsia="方正楷体_GB2312" w:cs="方正楷体_GB2312"/>
          <w:sz w:val="32"/>
          <w:szCs w:val="32"/>
          <w:lang w:val="en-US" w:eastAsia="zh-CN"/>
        </w:rPr>
        <w:t>16</w:t>
      </w:r>
      <w:r>
        <w:rPr>
          <w:rFonts w:hint="eastAsia" w:ascii="方正楷体_GB2312" w:hAnsi="方正楷体_GB2312" w:eastAsia="方正楷体_GB2312" w:cs="方正楷体_GB2312"/>
          <w:sz w:val="32"/>
          <w:szCs w:val="32"/>
          <w:lang w:val="zh-CN" w:eastAsia="zh-CN"/>
        </w:rPr>
        <w:t>分，自评得分</w:t>
      </w:r>
      <w:r>
        <w:rPr>
          <w:rFonts w:hint="eastAsia" w:ascii="方正楷体_GB2312" w:hAnsi="方正楷体_GB2312" w:eastAsia="方正楷体_GB2312" w:cs="方正楷体_GB2312"/>
          <w:sz w:val="32"/>
          <w:szCs w:val="32"/>
          <w:lang w:val="en-US" w:eastAsia="zh-CN"/>
        </w:rPr>
        <w:t>16</w:t>
      </w:r>
      <w:r>
        <w:rPr>
          <w:rFonts w:hint="eastAsia" w:ascii="方正楷体_GB2312" w:hAnsi="方正楷体_GB2312" w:eastAsia="方正楷体_GB2312" w:cs="方正楷体_GB2312"/>
          <w:sz w:val="32"/>
          <w:szCs w:val="32"/>
          <w:lang w:val="zh-CN" w:eastAsia="zh-CN"/>
        </w:rPr>
        <w:t>分</w:t>
      </w:r>
    </w:p>
    <w:p w14:paraId="25C57D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提高工作效率：新购置的办公电脑将满足各部门办公需求，提高工作效率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，指标分值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5分，自评得分5分</w:t>
      </w:r>
    </w:p>
    <w:p w14:paraId="1CF24FD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降低维修成本：新设备故障率较低，可降低维修成本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。指标分值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5分，自评得分5分</w:t>
      </w:r>
    </w:p>
    <w:p w14:paraId="5530E05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提升政府形象：现代化的办公设备有助于提升政府形象。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指标分值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6分，自评得分6分</w:t>
      </w:r>
    </w:p>
    <w:p w14:paraId="34A4D4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黑体_GBK" w:hAnsi="方正黑体_GBK" w:eastAsia="方正黑体_GBK" w:cs="方正黑体_GBK"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  <w:t>九</w:t>
      </w:r>
      <w:r>
        <w:rPr>
          <w:rFonts w:hint="eastAsia" w:ascii="方正黑体_GBK" w:hAnsi="方正黑体_GBK" w:eastAsia="方正黑体_GBK" w:cs="方正黑体_GBK"/>
          <w:sz w:val="32"/>
          <w:szCs w:val="32"/>
        </w:rPr>
        <w:t>、评价结论</w:t>
      </w:r>
    </w:p>
    <w:p w14:paraId="2AD0058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通过汇总、整理、分析办公电脑购置项目绩效评价指标体系，绩效目标基本实现，自评得分为100分</w:t>
      </w:r>
      <w:r>
        <w:rPr>
          <w:sz w:val="32"/>
          <w:szCs w:val="32"/>
          <w:lang w:val="en-US" w:eastAsia="zh-CN"/>
        </w:rPr>
        <w:t>。</w:t>
      </w:r>
    </w:p>
    <w:p w14:paraId="5A47FB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  <w:t>十、存在主要问题</w:t>
      </w:r>
    </w:p>
    <w:p w14:paraId="5200C5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val="zh-CN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zh-CN" w:eastAsia="zh-CN"/>
        </w:rPr>
        <w:t>无</w:t>
      </w:r>
    </w:p>
    <w:p w14:paraId="64BF69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黑体_GBK" w:hAnsi="方正黑体_GBK" w:eastAsia="方正黑体_GBK" w:cs="方正黑体_GBK"/>
          <w:sz w:val="32"/>
          <w:szCs w:val="32"/>
          <w:lang w:val="zh-CN" w:eastAsia="zh-CN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  <w:t>十一</w:t>
      </w:r>
      <w:r>
        <w:rPr>
          <w:rFonts w:hint="eastAsia" w:ascii="方正黑体_GBK" w:hAnsi="方正黑体_GBK" w:eastAsia="方正黑体_GBK" w:cs="方正黑体_GBK"/>
          <w:sz w:val="32"/>
          <w:szCs w:val="32"/>
          <w:lang w:val="zh-CN" w:eastAsia="zh-CN"/>
        </w:rPr>
        <w:t>、改进建议</w:t>
      </w:r>
    </w:p>
    <w:p w14:paraId="47C5FC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val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zh-CN"/>
        </w:rPr>
        <w:t>无</w:t>
      </w:r>
    </w:p>
    <w:p w14:paraId="026D95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val="zh-CN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shd w:val="clear" w:color="auto" w:fill="auto"/>
        </w:rPr>
        <w:t>部门预算项目支出绩效自评表</w:t>
      </w:r>
      <w:r>
        <w:rPr>
          <w:rFonts w:hint="eastAsia" w:ascii="方正仿宋_GB2312" w:hAnsi="方正仿宋_GB2312" w:eastAsia="方正仿宋_GB2312" w:cs="方正仿宋_GB2312"/>
          <w:kern w:val="2"/>
          <w:sz w:val="32"/>
          <w:szCs w:val="32"/>
          <w:highlight w:val="none"/>
          <w:shd w:val="clear" w:color="auto" w:fill="auto"/>
          <w:lang w:val="en-US" w:eastAsia="zh-CN" w:bidi="ar-SA"/>
        </w:rPr>
        <w:t>详见附件1-5</w:t>
      </w:r>
    </w:p>
    <w:p w14:paraId="6F1219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附表：1.专项预算绩效自评打分表</w:t>
      </w:r>
    </w:p>
    <w:p w14:paraId="68E8F07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1600" w:firstLineChars="500"/>
        <w:jc w:val="lef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2.专项预算绩效自评实地踏勘点位清单表</w:t>
      </w:r>
    </w:p>
    <w:p w14:paraId="55C88A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1600" w:firstLineChars="500"/>
        <w:jc w:val="left"/>
        <w:textAlignment w:val="auto"/>
        <w:rPr>
          <w:sz w:val="32"/>
          <w:szCs w:val="32"/>
          <w:lang w:val="en-US" w:eastAsia="zh-CN"/>
        </w:rPr>
      </w:pPr>
    </w:p>
    <w:p w14:paraId="2B390DEA">
      <w:pPr>
        <w:rPr>
          <w:rFonts w:ascii="Times New Roman" w:hAnsi="Times New Roman" w:eastAsia="黑体" w:cs="Times New Roman"/>
          <w:b w:val="0"/>
          <w:bCs w:val="0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zh-CN" w:eastAsia="zh-CN"/>
        </w:rPr>
      </w:pPr>
      <w:r>
        <w:rPr>
          <w:rFonts w:ascii="Times New Roman" w:hAnsi="Times New Roman" w:eastAsia="黑体" w:cs="Times New Roman"/>
          <w:b w:val="0"/>
          <w:bCs w:val="0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zh-CN" w:eastAsia="zh-CN"/>
        </w:rPr>
        <w:br w:type="page"/>
      </w:r>
    </w:p>
    <w:p w14:paraId="681B7D5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textAlignment w:val="auto"/>
        <w:outlineLvl w:val="9"/>
        <w:rPr>
          <w:rFonts w:ascii="Times New Roman" w:hAnsi="Times New Roman" w:eastAsia="黑体" w:cs="Times New Roman"/>
          <w:b w:val="0"/>
          <w:bCs w:val="0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en-US" w:eastAsia="zh-CN"/>
        </w:rPr>
      </w:pPr>
      <w:r>
        <w:rPr>
          <w:rFonts w:ascii="Times New Roman" w:hAnsi="Times New Roman" w:eastAsia="黑体" w:cs="Times New Roman"/>
          <w:b w:val="0"/>
          <w:bCs w:val="0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zh-CN" w:eastAsia="zh-CN"/>
        </w:rPr>
        <w:t>附表</w:t>
      </w:r>
      <w:r>
        <w:rPr>
          <w:rFonts w:ascii="Times New Roman" w:hAnsi="Times New Roman" w:eastAsia="黑体" w:cs="Times New Roman"/>
          <w:b w:val="0"/>
          <w:bCs w:val="0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en-US" w:eastAsia="zh-CN"/>
        </w:rPr>
        <w:t>1</w:t>
      </w:r>
    </w:p>
    <w:p w14:paraId="4240D5B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left="0"/>
        <w:jc w:val="center"/>
        <w:textAlignment w:val="auto"/>
        <w:rPr>
          <w:rFonts w:hint="eastAsia" w:ascii="Times New Roman" w:hAnsi="Times New Roman" w:eastAsia="方正小标宋_GBK" w:cs="Times New Roman"/>
          <w:b w:val="0"/>
          <w:bCs w:val="0"/>
          <w:color w:val="auto"/>
          <w:sz w:val="40"/>
          <w:szCs w:val="40"/>
          <w:highlight w:val="none"/>
          <w:u w:val="none"/>
          <w:lang w:val="en-US" w:eastAsia="zh-CN"/>
        </w:rPr>
      </w:pPr>
    </w:p>
    <w:p w14:paraId="1E75F64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left="0"/>
        <w:jc w:val="center"/>
        <w:textAlignment w:val="auto"/>
        <w:rPr>
          <w:rFonts w:ascii="Times New Roman" w:hAnsi="Times New Roman" w:eastAsia="方正小标宋_GBK" w:cs="Times New Roman"/>
          <w:b w:val="0"/>
          <w:bCs w:val="0"/>
          <w:color w:val="auto"/>
          <w:sz w:val="44"/>
          <w:szCs w:val="44"/>
          <w:highlight w:val="none"/>
          <w:u w:val="none"/>
          <w:lang w:val="en-US" w:eastAsia="zh-CN"/>
        </w:rPr>
      </w:pPr>
      <w:r>
        <w:rPr>
          <w:rFonts w:hint="eastAsia" w:ascii="Times New Roman" w:hAnsi="Times New Roman" w:eastAsia="方正小标宋_GBK" w:cs="Times New Roman"/>
          <w:b w:val="0"/>
          <w:bCs w:val="0"/>
          <w:color w:val="auto"/>
          <w:sz w:val="44"/>
          <w:szCs w:val="44"/>
          <w:highlight w:val="none"/>
          <w:u w:val="none"/>
          <w:lang w:val="en-US" w:eastAsia="zh-CN"/>
        </w:rPr>
        <w:t>专项</w:t>
      </w:r>
      <w:r>
        <w:rPr>
          <w:rFonts w:ascii="Times New Roman" w:hAnsi="Times New Roman" w:eastAsia="方正小标宋_GBK" w:cs="Times New Roman"/>
          <w:b w:val="0"/>
          <w:bCs w:val="0"/>
          <w:color w:val="auto"/>
          <w:sz w:val="44"/>
          <w:szCs w:val="44"/>
          <w:highlight w:val="none"/>
          <w:u w:val="none"/>
          <w:lang w:val="en-US" w:eastAsia="zh-CN"/>
        </w:rPr>
        <w:t>预算绩效自评打分表</w:t>
      </w:r>
    </w:p>
    <w:tbl>
      <w:tblPr>
        <w:tblStyle w:val="8"/>
        <w:tblW w:w="10901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765"/>
        <w:gridCol w:w="825"/>
        <w:gridCol w:w="1558"/>
        <w:gridCol w:w="493"/>
        <w:gridCol w:w="5340"/>
        <w:gridCol w:w="732"/>
        <w:gridCol w:w="468"/>
      </w:tblGrid>
      <w:tr w14:paraId="3CD649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4361" w:type="dxa"/>
            <w:gridSpan w:val="5"/>
            <w:tcBorders>
              <w:top w:val="single" w:color="000000" w:sz="4" w:space="0"/>
              <w:left w:val="single" w:color="000000" w:sz="4" w:space="0"/>
              <w:bottom w:val="nil"/>
              <w:right w:val="nil"/>
            </w:tcBorders>
            <w:noWrap/>
            <w:vAlign w:val="center"/>
          </w:tcPr>
          <w:p w14:paraId="7CA397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黑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黑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绩效评价指标</w:t>
            </w:r>
          </w:p>
        </w:tc>
        <w:tc>
          <w:tcPr>
            <w:tcW w:w="53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70F7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黑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黑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指标解释</w:t>
            </w:r>
          </w:p>
        </w:tc>
        <w:tc>
          <w:tcPr>
            <w:tcW w:w="732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/>
            <w:vAlign w:val="center"/>
          </w:tcPr>
          <w:p w14:paraId="3CB590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黑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ascii="Times New Roman" w:hAnsi="Times New Roman" w:eastAsia="黑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自评得分</w:t>
            </w:r>
          </w:p>
        </w:tc>
        <w:tc>
          <w:tcPr>
            <w:tcW w:w="468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/>
            <w:vAlign w:val="center"/>
          </w:tcPr>
          <w:p w14:paraId="4A4300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黑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ascii="Times New Roman" w:hAnsi="Times New Roman" w:eastAsia="黑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备注</w:t>
            </w:r>
          </w:p>
        </w:tc>
      </w:tr>
      <w:tr w14:paraId="3704C4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7E9D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黑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黑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一级指标</w:t>
            </w:r>
          </w:p>
        </w:tc>
        <w:tc>
          <w:tcPr>
            <w:tcW w:w="159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948D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黑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黑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二级指标</w:t>
            </w:r>
          </w:p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CF6C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黑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黑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三级指标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AF73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黑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黑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指标</w:t>
            </w:r>
            <w:r>
              <w:rPr>
                <w:rFonts w:ascii="Times New Roman" w:hAnsi="Times New Roman" w:eastAsia="黑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ascii="Times New Roman" w:hAnsi="Times New Roman" w:eastAsia="黑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分值</w:t>
            </w:r>
          </w:p>
        </w:tc>
        <w:tc>
          <w:tcPr>
            <w:tcW w:w="53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1C96AA"/>
        </w:tc>
        <w:tc>
          <w:tcPr>
            <w:tcW w:w="732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4709BB"/>
        </w:tc>
        <w:tc>
          <w:tcPr>
            <w:tcW w:w="46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28171B"/>
        </w:tc>
      </w:tr>
      <w:tr w14:paraId="3B8329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D25F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楷体_GB2312" w:cs="Times New Roman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通用指标</w:t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（54分）</w:t>
            </w:r>
          </w:p>
        </w:tc>
        <w:tc>
          <w:tcPr>
            <w:tcW w:w="159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9256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楷体_GB2312" w:cs="Times New Roman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项目决策</w:t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（18分）</w:t>
            </w:r>
          </w:p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6279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决策程序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5E9E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4B95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项目决策程序是否严密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4E07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D1F6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50C417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5FAECC"/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114249"/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7D7C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规划论证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CDA1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D2F7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项目规划论证是否符合</w:t>
            </w: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中央、省委</w:t>
            </w: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要求，项目绩效目标设置是否科学合理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3712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1477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030068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A2AEB2"/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8D0BFF"/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01F3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资金投向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B27B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6DD1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项目资金是否与项目总体规划、相关行业事业发展相匹配，是否聚焦重大任务、重点领域、重点环节和重点项目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7990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EA4F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552F59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F8D865"/>
        </w:tc>
        <w:tc>
          <w:tcPr>
            <w:tcW w:w="159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261E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楷体_GB2312" w:cs="Times New Roman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项目管理</w:t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（18分）</w:t>
            </w:r>
          </w:p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1C17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制度办法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A297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36D5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项目制度办法是否体系健全、要素完备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8C2C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1662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3D187C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84EE6C"/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4E07ED"/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6AE0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分配管理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2CC8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8CDA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项目资金分配因素选取、权重设置、区域分布，项目管理、审批是否符合管理要求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283B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83A0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1720CA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E3A505"/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4A3C14"/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4064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绩效监管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1B73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DC07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管资金、项目、政策是否管绩效，项目绩效监管是否按要求开展，对下指导是否有力有效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EB94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25FC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0DD65F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316386"/>
        </w:tc>
        <w:tc>
          <w:tcPr>
            <w:tcW w:w="159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E799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楷体_GB2312" w:cs="Times New Roman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项目实施</w:t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（9分）</w:t>
            </w:r>
          </w:p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116B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预算执行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3727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C00D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项目资金财政拨付、单位执行和地方配套到位情况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87AB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7161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2A6FD6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A0802A"/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28C909"/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3B3A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资金使用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3C4E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3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515D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资金使用拨付、项目实施是否符合规定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21F8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3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8C4C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675AA9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026595"/>
        </w:tc>
        <w:tc>
          <w:tcPr>
            <w:tcW w:w="159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79F6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楷体_GB2312" w:cs="Times New Roman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项目结果</w:t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（9分）</w:t>
            </w:r>
          </w:p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EAC4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目标完成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0D13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38B1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项目是否完成预期目标，实施结果是否与绩效目标相匹配，反映目标实现程度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755C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B3AC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1AB63F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40EAC0"/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55B017"/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675F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完成时效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4962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3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2C14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项目实际完成时间与计划完成时间的比较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493E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3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285C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6F7EED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E830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楷体_GB2312" w:cs="Times New Roman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专用指标</w:t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（30分）</w:t>
            </w:r>
          </w:p>
        </w:tc>
        <w:tc>
          <w:tcPr>
            <w:tcW w:w="159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E46F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楷体_GB2312" w:cs="Times New Roman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产业发展</w:t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（30分）</w:t>
            </w:r>
          </w:p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E882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符合性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37BB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7C0E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项目实施是否与</w:t>
            </w:r>
            <w:r>
              <w:rPr>
                <w:rFonts w:hint="eastAsia" w:ascii="Times New Roman" w:hAnsi="Times New Roma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省委、省政府</w:t>
            </w: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支持重点、产业支持政策符合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E93E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9466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66134A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554F5D"/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EACCEA"/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EE5D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成长性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7BCA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6797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项目实施对相关企业（机构）成长性的促进作用，主要反映支持对象创新创造创业能力情况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5707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BAD3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0A7EE7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FA2CFB"/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2761D5"/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58C2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经济性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9810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A71E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项目实施对相关企业（机构）主营业务收入、净利润、税收、产量等方面增长情况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D4DA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6D2F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311799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47B7D8"/>
        </w:tc>
        <w:tc>
          <w:tcPr>
            <w:tcW w:w="159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81BA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楷体_GB2312" w:cs="Times New Roman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民生保障</w:t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（30分）</w:t>
            </w:r>
          </w:p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2828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区域均衡性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EF5D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3893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项目资金分配体现的均衡公平情况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FD94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C5D2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3CAFFC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5DBFBA"/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D473D4"/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E729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对象精准性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B371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EC02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资金实际支持对象是否符合管理要求，是否符合支持对象范围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D493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D596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47C5DB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3523AA"/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A10C1C"/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2D3D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标准合理性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C7FA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5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9324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资金实际补贴标准是否符合资金管理办法规定的补助标准，是否及时按标准兑现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62E5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4EDF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036377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CFCDB0"/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F74F55"/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6985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群众满意度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CB52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5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9F59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资金涉及相关受益群体、支持对象的满意度调查访谈情况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7C6F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DD09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45C481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399FDA"/>
        </w:tc>
        <w:tc>
          <w:tcPr>
            <w:tcW w:w="76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EADF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楷体_GB2312" w:cs="Times New Roman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基础</w:t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设施</w:t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（30分）</w:t>
            </w:r>
          </w:p>
        </w:tc>
        <w:tc>
          <w:tcPr>
            <w:tcW w:w="82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A904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楷体_GB2312" w:cs="Times New Roman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在建</w:t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</w:t>
            </w:r>
          </w:p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E19E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工程进度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DB9E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15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99E7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项目是否达到计划工程进度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B9C7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04AD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2C2469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ACC9ED"/>
        </w:tc>
        <w:tc>
          <w:tcPr>
            <w:tcW w:w="7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EAD9B9"/>
        </w:tc>
        <w:tc>
          <w:tcPr>
            <w:tcW w:w="8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1E5D94"/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A7AB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资金拨付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FD9B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15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AF3C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项目是否达到预先确定的资金拨付进度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2C4F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6B5F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745E4A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DC5FC9"/>
        </w:tc>
        <w:tc>
          <w:tcPr>
            <w:tcW w:w="7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9C8103"/>
        </w:tc>
        <w:tc>
          <w:tcPr>
            <w:tcW w:w="82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4F39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楷体_GB2312" w:cs="Times New Roman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建成</w:t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</w:t>
            </w:r>
          </w:p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D172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项目验收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2766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42A8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项目验收是否及时合格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805F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2EDC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2A2AE3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39931A"/>
        </w:tc>
        <w:tc>
          <w:tcPr>
            <w:tcW w:w="7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062557"/>
        </w:tc>
        <w:tc>
          <w:tcPr>
            <w:tcW w:w="8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0A1C02"/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CBBC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功能实现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B623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9C7F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项目经济社会功能是否实现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E372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75DE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7953B7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9807A9"/>
        </w:tc>
        <w:tc>
          <w:tcPr>
            <w:tcW w:w="7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494F7D"/>
        </w:tc>
        <w:tc>
          <w:tcPr>
            <w:tcW w:w="8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024AE4"/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2524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后续管护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566F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FCA5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项目后续维护是否实现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3A99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B97E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3DBE95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1FB3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楷体_GB2312" w:cs="Times New Roman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专用指标</w:t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（30分）</w:t>
            </w:r>
          </w:p>
        </w:tc>
        <w:tc>
          <w:tcPr>
            <w:tcW w:w="159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D286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楷体_GB2312" w:cs="Times New Roman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行政运转</w:t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（30分）</w:t>
            </w:r>
          </w:p>
        </w:tc>
        <w:tc>
          <w:tcPr>
            <w:tcW w:w="155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3E04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用途合规性</w:t>
            </w:r>
          </w:p>
        </w:tc>
        <w:tc>
          <w:tcPr>
            <w:tcW w:w="49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6E7F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534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A077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是否按规定用途、适用范围进行本地区专项资金分配</w:t>
            </w:r>
          </w:p>
        </w:tc>
        <w:tc>
          <w:tcPr>
            <w:tcW w:w="73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5558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46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7960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0F9E87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C1D315"/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0F58D9"/>
        </w:tc>
        <w:tc>
          <w:tcPr>
            <w:tcW w:w="155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DD20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程序合规性</w:t>
            </w:r>
          </w:p>
        </w:tc>
        <w:tc>
          <w:tcPr>
            <w:tcW w:w="49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4CF8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BACB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资金管理程序是否符合专项资金管理要求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5EE5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3F4B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106F1E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DF13F3"/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4A7D49"/>
        </w:tc>
        <w:tc>
          <w:tcPr>
            <w:tcW w:w="155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581D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标准合规性</w:t>
            </w:r>
          </w:p>
        </w:tc>
        <w:tc>
          <w:tcPr>
            <w:tcW w:w="49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B6E0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8CBD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资金分配标准是否符合专项资金管理要求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47E2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31B4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48B9B8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310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/>
            <w:vAlign w:val="center"/>
          </w:tcPr>
          <w:p w14:paraId="66BD58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楷体_GB2312" w:cs="Times New Roman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个性指标</w:t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（16分）</w:t>
            </w:r>
          </w:p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A7E1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应急抢险覆盖率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B023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8</w:t>
            </w:r>
          </w:p>
        </w:tc>
        <w:tc>
          <w:tcPr>
            <w:tcW w:w="5340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/>
            <w:vAlign w:val="center"/>
          </w:tcPr>
          <w:p w14:paraId="76EF34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根据项目个性自行设定部分指标，反映该项指标执行完成情况。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1592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8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874B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3F6AB5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310" w:type="dxa"/>
            <w:gridSpan w:val="3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B9C8A4"/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AFF1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项目公示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7EF4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8</w:t>
            </w:r>
          </w:p>
        </w:tc>
        <w:tc>
          <w:tcPr>
            <w:tcW w:w="534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17B9DE"/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0AA1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8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3615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2CE976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31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DCAD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扣分项</w:t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（10分）</w:t>
            </w:r>
          </w:p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165C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被评价</w:t>
            </w: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部门配合度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D4A7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—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3154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被评价对象工作配合情况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DA41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8A6B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</w:tbl>
    <w:p w14:paraId="1BC3627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78" w:lineRule="exact"/>
        <w:ind w:left="0"/>
        <w:jc w:val="both"/>
        <w:textAlignment w:val="auto"/>
        <w:rPr>
          <w:lang w:val="en-US" w:eastAsia="zh-CN"/>
        </w:rPr>
      </w:pPr>
      <w:r>
        <w:rPr>
          <w:rFonts w:ascii="Times New Roman" w:hAnsi="Times New Roman" w:eastAsia="黑体" w:cs="Times New Roman"/>
          <w:b w:val="0"/>
          <w:bCs w:val="0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zh-CN" w:eastAsia="zh-CN"/>
        </w:rPr>
        <w:br w:type="page"/>
      </w:r>
      <w:r>
        <w:rPr>
          <w:rFonts w:ascii="Times New Roman" w:hAnsi="Times New Roman" w:eastAsia="黑体" w:cs="Times New Roman"/>
          <w:b w:val="0"/>
          <w:bCs w:val="0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zh-CN" w:eastAsia="zh-CN"/>
        </w:rPr>
        <w:t>附表</w:t>
      </w:r>
      <w:r>
        <w:rPr>
          <w:rFonts w:hint="eastAsia" w:ascii="Times New Roman" w:hAnsi="Times New Roman" w:cs="Times New Roman"/>
          <w:b w:val="0"/>
          <w:bCs w:val="0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en-US" w:eastAsia="zh-CN"/>
        </w:rPr>
        <w:t>2</w:t>
      </w:r>
    </w:p>
    <w:p w14:paraId="4734677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78" w:lineRule="exact"/>
        <w:ind w:left="0"/>
        <w:jc w:val="center"/>
        <w:textAlignment w:val="auto"/>
        <w:rPr>
          <w:rFonts w:ascii="Times New Roman" w:hAnsi="Times New Roman" w:eastAsia="方正小标宋_GBK" w:cs="Times New Roman"/>
          <w:b w:val="0"/>
          <w:bCs w:val="0"/>
          <w:color w:val="auto"/>
          <w:sz w:val="40"/>
          <w:szCs w:val="40"/>
          <w:highlight w:val="none"/>
          <w:u w:val="none"/>
          <w:lang w:val="en-US" w:eastAsia="zh-CN"/>
        </w:rPr>
      </w:pPr>
    </w:p>
    <w:p w14:paraId="5F49DC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78" w:lineRule="exact"/>
        <w:ind w:left="0"/>
        <w:jc w:val="center"/>
        <w:textAlignment w:val="auto"/>
        <w:rPr>
          <w:rFonts w:ascii="Times New Roman" w:hAnsi="Times New Roman" w:eastAsia="方正小标宋_GBK" w:cs="Times New Roman"/>
          <w:b w:val="0"/>
          <w:bCs w:val="0"/>
          <w:color w:val="auto"/>
          <w:sz w:val="44"/>
          <w:szCs w:val="44"/>
          <w:highlight w:val="none"/>
          <w:u w:val="none"/>
          <w:lang w:val="en-US" w:eastAsia="zh-CN"/>
        </w:rPr>
      </w:pPr>
      <w:r>
        <w:rPr>
          <w:rFonts w:ascii="Times New Roman" w:hAnsi="Times New Roman" w:eastAsia="方正小标宋_GBK" w:cs="Times New Roman"/>
          <w:b w:val="0"/>
          <w:bCs w:val="0"/>
          <w:color w:val="auto"/>
          <w:sz w:val="44"/>
          <w:szCs w:val="44"/>
          <w:highlight w:val="none"/>
          <w:u w:val="none"/>
          <w:lang w:val="en-US" w:eastAsia="zh-CN"/>
        </w:rPr>
        <w:t>专项预算绩效自评实地踏勘点位清单表</w:t>
      </w:r>
    </w:p>
    <w:p w14:paraId="42FEDF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/>
        <w:jc w:val="center"/>
        <w:textAlignment w:val="auto"/>
        <w:rPr>
          <w:rFonts w:hint="eastAsia" w:ascii="楷体_GB2312" w:eastAsia="楷体_GB2312" w:cs="楷体_GB2312"/>
          <w:b w:val="0"/>
          <w:bCs w:val="0"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楷体_GB2312" w:eastAsia="楷体_GB2312" w:cs="楷体_GB2312"/>
          <w:b w:val="0"/>
          <w:bCs w:val="0"/>
          <w:color w:val="auto"/>
          <w:sz w:val="32"/>
          <w:szCs w:val="32"/>
          <w:highlight w:val="none"/>
          <w:u w:val="none"/>
          <w:lang w:val="en-US" w:eastAsia="zh-CN"/>
        </w:rPr>
        <w:t>（例表）</w:t>
      </w:r>
    </w:p>
    <w:tbl>
      <w:tblPr>
        <w:tblStyle w:val="8"/>
        <w:tblW w:w="798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23"/>
        <w:gridCol w:w="5956"/>
        <w:gridCol w:w="905"/>
      </w:tblGrid>
      <w:tr w14:paraId="763F98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21EEF5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黑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黑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0950DF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黑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eastAsia="zh-CN"/>
              </w:rPr>
            </w:pPr>
            <w:r>
              <w:rPr>
                <w:rFonts w:ascii="Times New Roman" w:hAnsi="Times New Roman" w:eastAsia="黑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实地踏勘点位</w:t>
            </w: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3A29E7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黑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黑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 w14:paraId="458C8D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125394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39F95B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eastAsia="zh-CN"/>
              </w:rPr>
            </w:pPr>
            <w:r>
              <w:rPr>
                <w:rFonts w:hint="eastAsia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eastAsia="zh-CN"/>
              </w:rPr>
              <w:t>洛多乡</w:t>
            </w: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7C1503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458789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354CB9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2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767C36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eastAsia="zh-CN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27C867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603464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1395D1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3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28F291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eastAsia="zh-CN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0AB1FB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7B9F1B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44863F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4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0348D2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eastAsia="zh-CN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50FC9F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114CAE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71AEC3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5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64813E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eastAsia="zh-CN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0369D4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5558D5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2ED6B3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6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61CF45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eastAsia="zh-CN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05F14B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450AF9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1B9DF5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7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608517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eastAsia="zh-CN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4143AD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36C831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486A5A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8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4A8433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1F9341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7B38FB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4E4208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9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6BCE82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eastAsia="zh-CN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661E2A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2840D3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2DC163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10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503278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仿宋_GB2312" w:cs="Times New Roman"/>
                <w:color w:val="auto"/>
                <w:kern w:val="2"/>
                <w:sz w:val="24"/>
                <w:szCs w:val="24"/>
                <w:highlight w:val="none"/>
                <w:u w:val="none"/>
                <w:vertAlign w:val="baseline"/>
                <w:lang w:eastAsia="zh-CN" w:bidi="ar-SA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46D054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2C96DA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20FA4E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11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34AFAA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仿宋_GB2312" w:cs="Times New Roman"/>
                <w:color w:val="auto"/>
                <w:kern w:val="2"/>
                <w:sz w:val="24"/>
                <w:szCs w:val="24"/>
                <w:highlight w:val="none"/>
                <w:u w:val="none"/>
                <w:vertAlign w:val="baseline"/>
                <w:lang w:eastAsia="zh-CN" w:bidi="ar-SA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094E21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0BFA67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3E68AC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12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33F997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仿宋_GB2312" w:cs="Times New Roman"/>
                <w:color w:val="auto"/>
                <w:kern w:val="2"/>
                <w:sz w:val="24"/>
                <w:szCs w:val="24"/>
                <w:highlight w:val="none"/>
                <w:u w:val="none"/>
                <w:vertAlign w:val="baseline"/>
                <w:lang w:eastAsia="zh-CN" w:bidi="ar-SA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4E8F71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5D6601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5D0F40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13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69C1D9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仿宋_GB2312" w:cs="Times New Roman"/>
                <w:color w:val="auto"/>
                <w:kern w:val="2"/>
                <w:sz w:val="24"/>
                <w:szCs w:val="24"/>
                <w:highlight w:val="none"/>
                <w:u w:val="none"/>
                <w:vertAlign w:val="baseline"/>
                <w:lang w:eastAsia="zh-CN" w:bidi="ar-SA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04717E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5E117E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2C1B51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14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5B325D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仿宋_GB2312" w:cs="Times New Roman"/>
                <w:color w:val="auto"/>
                <w:kern w:val="2"/>
                <w:sz w:val="24"/>
                <w:szCs w:val="24"/>
                <w:highlight w:val="none"/>
                <w:u w:val="none"/>
                <w:vertAlign w:val="baseline"/>
                <w:lang w:eastAsia="zh-CN" w:bidi="ar-SA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59D804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01C440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0A9DBE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15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78ABDE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仿宋_GB2312" w:cs="Times New Roman"/>
                <w:color w:val="auto"/>
                <w:kern w:val="2"/>
                <w:sz w:val="24"/>
                <w:szCs w:val="24"/>
                <w:highlight w:val="none"/>
                <w:u w:val="none"/>
                <w:vertAlign w:val="baseline"/>
                <w:lang w:eastAsia="zh-CN" w:bidi="ar-SA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180453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1BAE26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4F6607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16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396EF3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仿宋_GB2312" w:cs="Times New Roman"/>
                <w:color w:val="auto"/>
                <w:kern w:val="2"/>
                <w:sz w:val="24"/>
                <w:szCs w:val="24"/>
                <w:highlight w:val="none"/>
                <w:u w:val="none"/>
                <w:vertAlign w:val="baseline"/>
                <w:lang w:eastAsia="zh-CN" w:bidi="ar-SA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6D6A00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190DCB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2B55CE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17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203D50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仿宋_GB2312" w:cs="Times New Roman"/>
                <w:color w:val="auto"/>
                <w:kern w:val="2"/>
                <w:sz w:val="24"/>
                <w:szCs w:val="24"/>
                <w:highlight w:val="none"/>
                <w:u w:val="none"/>
                <w:vertAlign w:val="baseline"/>
                <w:lang w:eastAsia="zh-CN" w:bidi="ar-SA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057ABA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209806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40E564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18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349E3B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仿宋_GB2312" w:cs="Times New Roman"/>
                <w:color w:val="auto"/>
                <w:kern w:val="2"/>
                <w:sz w:val="24"/>
                <w:szCs w:val="24"/>
                <w:highlight w:val="none"/>
                <w:u w:val="none"/>
                <w:vertAlign w:val="baseline"/>
                <w:lang w:eastAsia="zh-CN" w:bidi="ar-SA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3622BA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4EAAC2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697383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19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1537EF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eastAsia="zh-CN"/>
              </w:rPr>
            </w:pPr>
            <w:r>
              <w:rPr>
                <w:rFonts w:hint="eastAsia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eastAsia="zh-CN"/>
              </w:rPr>
              <w:t>……</w:t>
            </w: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7A530A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3B42EE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06CA8A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20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37238B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eastAsia="zh-CN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21B9B1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 w14:paraId="35C9FA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firstLine="0"/>
        <w:jc w:val="center"/>
        <w:textAlignment w:val="auto"/>
        <w:rPr>
          <w:rFonts w:ascii="Times New Roman" w:hAnsi="Times New Roman" w:eastAsia="宋体" w:cs="Times New Roman"/>
          <w:b w:val="0"/>
          <w:bCs w:val="0"/>
          <w:color w:val="auto"/>
          <w:sz w:val="21"/>
          <w:szCs w:val="21"/>
          <w:highlight w:val="none"/>
          <w:u w:val="none"/>
          <w:vertAlign w:val="baseline"/>
          <w:lang w:val="en-US" w:eastAsia="zh-CN"/>
        </w:rPr>
      </w:pPr>
      <w:r>
        <w:rPr>
          <w:rFonts w:ascii="Times New Roman" w:hAnsi="Times New Roman" w:eastAsia="宋体" w:cs="Times New Roman"/>
          <w:b w:val="0"/>
          <w:bCs w:val="0"/>
          <w:color w:val="auto"/>
          <w:sz w:val="21"/>
          <w:szCs w:val="21"/>
          <w:highlight w:val="none"/>
          <w:u w:val="none"/>
          <w:vertAlign w:val="baseline"/>
          <w:lang w:val="en-US" w:eastAsia="zh-CN"/>
        </w:rPr>
        <w:t>备注：项目</w:t>
      </w:r>
      <w:r>
        <w:rPr>
          <w:rFonts w:hint="eastAsia" w:eastAsia="宋体" w:cs="Times New Roman"/>
          <w:b w:val="0"/>
          <w:bCs w:val="0"/>
          <w:color w:val="auto"/>
          <w:sz w:val="21"/>
          <w:szCs w:val="21"/>
          <w:highlight w:val="none"/>
          <w:u w:val="none"/>
          <w:vertAlign w:val="baseline"/>
          <w:lang w:val="en-US" w:eastAsia="zh-CN"/>
        </w:rPr>
        <w:t>实地踏勘</w:t>
      </w:r>
      <w:r>
        <w:rPr>
          <w:rFonts w:ascii="Times New Roman" w:hAnsi="Times New Roman" w:eastAsia="宋体" w:cs="Times New Roman"/>
          <w:b w:val="0"/>
          <w:bCs w:val="0"/>
          <w:color w:val="auto"/>
          <w:sz w:val="21"/>
          <w:szCs w:val="21"/>
          <w:highlight w:val="none"/>
          <w:u w:val="none"/>
          <w:vertAlign w:val="baseline"/>
          <w:lang w:val="en-US" w:eastAsia="zh-CN"/>
        </w:rPr>
        <w:t>点位包括市（州）本级、县（市、区）</w:t>
      </w:r>
      <w:r>
        <w:rPr>
          <w:rFonts w:hint="eastAsia" w:eastAsia="宋体" w:cs="Times New Roman"/>
          <w:b w:val="0"/>
          <w:bCs w:val="0"/>
          <w:color w:val="auto"/>
          <w:sz w:val="21"/>
          <w:szCs w:val="21"/>
          <w:highlight w:val="none"/>
          <w:u w:val="none"/>
          <w:vertAlign w:val="baseline"/>
          <w:lang w:val="en-US" w:eastAsia="zh-CN"/>
        </w:rPr>
        <w:t>本级及有关项目、单位、公司</w:t>
      </w:r>
      <w:r>
        <w:rPr>
          <w:rFonts w:ascii="Times New Roman" w:hAnsi="Times New Roman" w:eastAsia="宋体" w:cs="Times New Roman"/>
          <w:b w:val="0"/>
          <w:bCs w:val="0"/>
          <w:color w:val="auto"/>
          <w:sz w:val="21"/>
          <w:szCs w:val="21"/>
          <w:highlight w:val="none"/>
          <w:u w:val="none"/>
          <w:vertAlign w:val="baseline"/>
          <w:lang w:val="en-US" w:eastAsia="zh-CN"/>
        </w:rPr>
        <w:t>等。</w:t>
      </w:r>
    </w:p>
    <w:p w14:paraId="5006D3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8" w:lineRule="exact"/>
        <w:textAlignment w:val="auto"/>
        <w:outlineLvl w:val="9"/>
        <w:rPr>
          <w:rFonts w:ascii="Times New Roman" w:hAnsi="Times New Roman" w:eastAsia="黑体" w:cs="Times New Roman"/>
          <w:b w:val="0"/>
          <w:bCs w:val="0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zh-CN" w:eastAsia="zh-CN"/>
        </w:rPr>
      </w:pPr>
    </w:p>
    <w:p w14:paraId="3721AA2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/>
          <w:sz w:val="32"/>
          <w:szCs w:val="32"/>
        </w:rPr>
      </w:pPr>
    </w:p>
    <w:sectPr>
      <w:pgSz w:w="11906" w:h="16838"/>
      <w:pgMar w:top="2098" w:right="1474" w:bottom="1984" w:left="158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Calibri Light">
    <w:altName w:val="DejaVu Sans"/>
    <w:panose1 w:val="020F0302020204030204"/>
    <w:charset w:val="00"/>
    <w:family w:val="auto"/>
    <w:pitch w:val="default"/>
    <w:sig w:usb0="00000000" w:usb1="00000000" w:usb2="00000000" w:usb3="00000000" w:csb0="2000019F" w:csb1="00000000"/>
  </w:font>
  <w:font w:name="Arial Unicode MS">
    <w:altName w:val="DejaVu Sans"/>
    <w:panose1 w:val="020B0604020202020204"/>
    <w:charset w:val="86"/>
    <w:family w:val="swiss"/>
    <w:pitch w:val="default"/>
    <w:sig w:usb0="00000000" w:usb1="00000000" w:usb2="0000003F" w:usb3="00000000" w:csb0="603F01FF" w:csb1="FFFF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仿宋_GB2312">
    <w:altName w:val="方正仿宋_GBK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">
    <w:altName w:val="方正仿宋_GBK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楷体_GB2312">
    <w:altName w:val="方正楷体_GBK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楷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楷体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dit="readOnly"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ulTrailSpace/>
    <w:doNotExpandShiftReturn/>
    <w:adjustLineHeightInTable/>
    <w:useFELayout/>
    <w:doNotUseIndentAsNumberingTabStop/>
    <w:compatSetting w:name="compatibilityMode" w:uri="http://schemas.microsoft.com/office/word" w:val="14"/>
  </w:compat>
  <w:docVars>
    <w:docVar w:name="commondata" w:val="eyJoZGlkIjoiMjUwNTIzOTVmMTE1MjFiZGE0OWIzMWU5NTEyZTliYmIifQ=="/>
  </w:docVars>
  <w:rsids>
    <w:rsidRoot w:val="00000000"/>
    <w:rsid w:val="7A165DE4"/>
    <w:rsid w:val="7FFB1AE5"/>
    <w:rsid w:val="7FFDC92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Arial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</w:rPr>
  </w:style>
  <w:style w:type="paragraph" w:styleId="3">
    <w:name w:val="heading 2"/>
    <w:basedOn w:val="1"/>
    <w:next w:val="1"/>
    <w:qFormat/>
    <w:uiPriority w:val="0"/>
    <w:pPr>
      <w:keepNext/>
      <w:keepLines/>
      <w:widowControl w:val="0"/>
      <w:spacing w:before="260" w:after="260" w:line="415" w:lineRule="auto"/>
      <w:outlineLvl w:val="1"/>
    </w:pPr>
    <w:rPr>
      <w:rFonts w:ascii="Calibri Light" w:hAnsi="Calibri Light" w:eastAsia="宋体" w:cs="Times New Roman"/>
      <w:b/>
      <w:bCs/>
      <w:sz w:val="32"/>
      <w:szCs w:val="32"/>
    </w:rPr>
  </w:style>
  <w:style w:type="paragraph" w:styleId="4">
    <w:name w:val="heading 3"/>
    <w:basedOn w:val="1"/>
    <w:next w:val="1"/>
    <w:qFormat/>
    <w:uiPriority w:val="0"/>
    <w:pPr>
      <w:keepNext/>
      <w:keepLines/>
      <w:spacing w:before="260" w:after="260" w:line="415" w:lineRule="auto"/>
      <w:outlineLvl w:val="2"/>
    </w:pPr>
    <w:rPr>
      <w:b/>
      <w:sz w:val="32"/>
    </w:rPr>
  </w:style>
  <w:style w:type="character" w:default="1" w:styleId="9">
    <w:name w:val="Default Paragraph Font"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next w:val="6"/>
    <w:qFormat/>
    <w:uiPriority w:val="0"/>
    <w:pPr>
      <w:spacing w:before="100" w:beforeAutospacing="1" w:after="120"/>
    </w:pPr>
  </w:style>
  <w:style w:type="paragraph" w:customStyle="1" w:styleId="6">
    <w:name w:val="Default"/>
    <w:next w:val="1"/>
    <w:qFormat/>
    <w:uiPriority w:val="0"/>
    <w:pPr>
      <w:widowControl w:val="0"/>
      <w:autoSpaceDE w:val="0"/>
      <w:autoSpaceDN w:val="0"/>
      <w:adjustRightInd w:val="0"/>
      <w:jc w:val="center"/>
    </w:pPr>
    <w:rPr>
      <w:rFonts w:ascii="Arial Unicode MS" w:hAnsi="Arial Unicode MS" w:eastAsia="Arial Unicode MS" w:cs="Times New Roman"/>
      <w:b/>
      <w:color w:val="000000"/>
      <w:sz w:val="24"/>
      <w:szCs w:val="20"/>
      <w:lang w:val="en-US" w:eastAsia="zh-CN" w:bidi="ar-SA"/>
    </w:rPr>
  </w:style>
  <w:style w:type="paragraph" w:styleId="7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Normal.eit</Template>
  <Pages>9</Pages>
  <Words>3529</Words>
  <Characters>3650</Characters>
  <Lines>417</Lines>
  <Paragraphs>226</Paragraphs>
  <TotalTime>14</TotalTime>
  <ScaleCrop>false</ScaleCrop>
  <LinksUpToDate>false</LinksUpToDate>
  <CharactersWithSpaces>3650</CharactersWithSpaces>
  <Application>WPS Office_12.8.2.1119_F1E327BC-269C-435d-A152-05C5408002CA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2024-10-15T17:58:00Z</dcterms:created>
  <dc:creator>Administrator</dc:creator>
  <cp:lastModifiedBy>Y</cp:lastModifiedBy>
  <dcterms:modified xsi:type="dcterms:W3CDTF">2026-09-03T17:38:33Z</dcterms:modified>
  <cp:revision>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2052-12.8.2.1119</vt:lpwstr>
  </property>
  <property fmtid="{D5CDD505-2E9C-101B-9397-08002B2CF9AE}" pid="3" name="ICV">
    <vt:lpwstr>095B73B77836936A9E3A966A562E3F31_43</vt:lpwstr>
  </property>
  <property fmtid="{D5CDD505-2E9C-101B-9397-08002B2CF9AE}" pid="4" name="KSOTemplateDocerSaveRecord">
    <vt:lpwstr>eyJoZGlkIjoiYmMxZWViYzY2OTBkMWNmMDZlNjI2NmUwYzQyZTk2ZTMiLCJ1c2VySWQiOiIxMTM5OTQ5NTAyIn0=</vt:lpwstr>
  </property>
</Properties>
</file>