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/>
        <w:textAlignment w:val="auto"/>
        <w:rPr>
          <w:rFonts w:ascii="黑体" w:eastAsia="黑体" w:cs="黑体"/>
          <w:highlight w:val="none"/>
          <w:lang w:val="en-US" w:eastAsia="zh-CN"/>
        </w:rPr>
      </w:pPr>
      <w:bookmarkStart w:id="0" w:name="_GoBack"/>
      <w:r>
        <w:rPr>
          <w:rFonts w:hint="eastAsia" w:ascii="黑体" w:eastAsia="黑体" w:cs="黑体"/>
          <w:highlight w:val="none"/>
        </w:rPr>
        <w:t>附件</w:t>
      </w:r>
      <w:r>
        <w:rPr>
          <w:rFonts w:hint="eastAsia" w:ascii="黑体" w:eastAsia="黑体" w:cs="黑体"/>
          <w:highlight w:val="none"/>
          <w:lang w:val="en-US" w:eastAsia="zh-CN"/>
        </w:rPr>
        <w:t>1-</w:t>
      </w:r>
      <w:r>
        <w:rPr>
          <w:rFonts w:ascii="黑体" w:eastAsia="黑体" w:cs="黑体"/>
          <w:highlight w:val="none"/>
          <w:lang w:val="en-US" w:eastAsia="zh-CN"/>
        </w:rPr>
        <w:t>3-1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/>
        <w:jc w:val="both"/>
        <w:textAlignment w:val="auto"/>
        <w:rPr>
          <w:rFonts w:hint="eastAsia"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zh-CN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zh-CN" w:eastAsia="zh-CN" w:bidi="ar-SA"/>
        </w:rPr>
        <w:t>2024年驻外流动党员党组织活动经费</w:t>
      </w: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zh-CN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zh-CN" w:eastAsia="zh-CN" w:bidi="ar-SA"/>
        </w:rPr>
        <w:t>部门预算项目支出绩效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评价报告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center"/>
        <w:textAlignment w:val="auto"/>
        <w:rPr>
          <w:rFonts w:hint="eastAsia" w:ascii="方正公文小标宋" w:eastAsia="方正公文小标宋" w:cs="方正公文小标宋"/>
          <w:color w:val="auto"/>
          <w:kern w:val="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</w:rPr>
      </w:pPr>
      <w:r>
        <w:rPr>
          <w:rFonts w:hint="eastAsia" w:ascii="黑体" w:eastAsia="黑体" w:cs="黑体"/>
          <w:sz w:val="32"/>
          <w:szCs w:val="32"/>
        </w:rPr>
        <w:t>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仿宋_GB2312" w:eastAsia="仿宋_GB2312" w:cs="仿宋_GB2312"/>
          <w:b w:val="0"/>
          <w:bCs/>
          <w:sz w:val="32"/>
          <w:szCs w:val="32"/>
          <w:lang w:val="zh-CN" w:eastAsia="zh-CN"/>
        </w:rPr>
      </w:pPr>
      <w:r>
        <w:rPr>
          <w:rFonts w:hint="eastAsia" w:ascii="楷体_GB2312" w:eastAsia="楷体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（一）设立背景及基本情况</w:t>
      </w:r>
    </w:p>
    <w:p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 w:cs="Times New Roman"/>
          <w:sz w:val="32"/>
          <w:szCs w:val="32"/>
        </w:rPr>
        <w:t>黑水县洛多乡有21名驻外流动党员，为增强驻外流动党员党组织管理的便利性与合理性，保障党组织活动顺利开展，按照县财政局签批的资金拨付建议及调研实际，经部委会研究决定，将2024年驻外流动党员党组织活动运行经费指标8000元下达至驻外流动党员党组织。其中，5000元为活动经费，用于开展各类党员学习、交流等活动；3000元为村干部活动误工补助，以补偿村干部组织活动付出的时间与精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（二）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  <w:t>实施目的及支持方向</w:t>
      </w:r>
    </w:p>
    <w:p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rPr>
          <w:rFonts w:hint="eastAsia" w:ascii="仿宋_GB2312" w:eastAsia="仿宋_GB2312" w:cs="Times New Roman"/>
          <w:sz w:val="32"/>
          <w:szCs w:val="32"/>
          <w:lang w:eastAsia="zh-CN"/>
        </w:rPr>
      </w:pP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1.</w:t>
      </w:r>
      <w:r>
        <w:rPr>
          <w:rFonts w:hint="eastAsia" w:ascii="仿宋_GB2312" w:eastAsia="仿宋_GB2312" w:cs="Times New Roman"/>
          <w:sz w:val="32"/>
          <w:szCs w:val="32"/>
        </w:rPr>
        <w:t>符合决策部署：加强流动党员管理是党中央关于党员队伍建设的重要决策部署，有助于提升党员教育管理的有效性，增强党组织的凝聚力与战斗力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rPr>
          <w:rFonts w:hint="eastAsia" w:ascii="仿宋_GB2312" w:eastAsia="仿宋_GB2312" w:cs="Times New Roman"/>
          <w:sz w:val="32"/>
          <w:szCs w:val="32"/>
        </w:rPr>
      </w:pPr>
      <w:r>
        <w:rPr>
          <w:rFonts w:hint="eastAsia" w:ascii="仿宋_GB2312" w:eastAsia="仿宋_GB2312" w:cs="Times New Roman"/>
          <w:sz w:val="32"/>
          <w:szCs w:val="32"/>
        </w:rPr>
        <w:t>2.满足现实需求：驻外流动党员因远离家乡，参与党组织活动存在诸多不便，为其提供活动经费，能让他们及时参与组织生活，增强归属感，也有利于家乡党组织及时掌握党员动态，发挥党员先锋模范作用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asci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eastAsia="仿宋_GB2312" w:cs="Times New Roman"/>
          <w:sz w:val="32"/>
          <w:szCs w:val="32"/>
        </w:rPr>
        <w:t>3.产生社会效益：有效管理驻外流动党员，可促进党员与家乡的联系，在信息交流、招商引资、劳务输出等方面发挥积极作用，助力家乡经济社会发展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  <w:t>（三）预算安排及分配管理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0"/>
        <w:rPr>
          <w:rFonts w:asci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cs="仿宋_GB2312"/>
          <w:bCs/>
          <w:sz w:val="32"/>
          <w:szCs w:val="32"/>
          <w:highlight w:val="none"/>
          <w:lang w:val="en-US" w:eastAsia="zh-CN"/>
        </w:rPr>
        <w:t>2025</w:t>
      </w:r>
      <w:r>
        <w:rPr>
          <w:rFonts w:hint="eastAsia" w:ascii="仿宋_GB2312" w:eastAsia="仿宋_GB2312" w:cs="仿宋_GB2312"/>
          <w:bCs/>
          <w:sz w:val="32"/>
          <w:szCs w:val="32"/>
          <w:highlight w:val="none"/>
          <w:lang w:val="en-US" w:eastAsia="zh-CN"/>
        </w:rPr>
        <w:t>年年初预算</w:t>
      </w:r>
      <w:r>
        <w:rPr>
          <w:rFonts w:hint="eastAsia" w:ascii="仿宋_GB2312" w:cs="仿宋_GB2312"/>
          <w:bCs/>
          <w:sz w:val="32"/>
          <w:szCs w:val="32"/>
          <w:highlight w:val="none"/>
          <w:lang w:val="en-US" w:eastAsia="zh-CN"/>
        </w:rPr>
        <w:t>0.8万元，未调整预算数0.8万元，预算执行数0.8万元。截至</w:t>
      </w:r>
      <w:r>
        <w:rPr>
          <w:rFonts w:hint="eastAsia" w:ascii="仿宋_GB2312" w:eastAsia="仿宋_GB2312" w:cs="仿宋_GB2312"/>
          <w:sz w:val="32"/>
          <w:szCs w:val="32"/>
          <w:highlight w:val="none"/>
        </w:rPr>
        <w:t>评价时点实际到位及时，资金到位情况与资金计划基本一致。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  <w:t>(四)项目绩效目标设置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0"/>
        <w:rPr>
          <w:rFonts w:ascii="仿宋_GB2312" w:eastAsia="仿宋_GB2312" w:cs="仿宋_GB2312"/>
          <w:bCs/>
          <w:sz w:val="32"/>
          <w:szCs w:val="32"/>
          <w:highlight w:val="none"/>
          <w:lang w:val="zh-CN" w:eastAsia="zh-CN"/>
        </w:rPr>
      </w:pPr>
      <w:r>
        <w:rPr>
          <w:rFonts w:hint="eastAsia" w:ascii="仿宋_GB2312" w:eastAsia="仿宋_GB2312" w:cs="仿宋_GB2312"/>
          <w:sz w:val="32"/>
          <w:szCs w:val="32"/>
          <w:lang w:eastAsia="zh-CN"/>
        </w:rPr>
        <w:t>202</w:t>
      </w:r>
      <w:r>
        <w:rPr>
          <w:rFonts w:hint="eastAsia" w:ascii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cs="仿宋_GB2312"/>
          <w:sz w:val="32"/>
          <w:szCs w:val="32"/>
          <w:lang w:val="en-US" w:eastAsia="zh-CN"/>
        </w:rPr>
        <w:t>洛多乡</w:t>
      </w:r>
      <w:r>
        <w:rPr>
          <w:rFonts w:hint="eastAsia" w:ascii="仿宋_GB2312" w:eastAsia="仿宋_GB2312" w:cs="仿宋_GB2312"/>
          <w:bCs/>
          <w:sz w:val="32"/>
          <w:szCs w:val="32"/>
          <w:lang w:eastAsia="zh-CN"/>
        </w:rPr>
        <w:t>驻外流动党员党组织活动关乎党员教育管理与党组织建设，具有公共性，属于公共财政支持范围。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  <w:lang w:eastAsia="zh-CN"/>
        </w:rPr>
      </w:pPr>
      <w:r>
        <w:rPr>
          <w:rFonts w:hint="eastAsia" w:ascii="黑体" w:eastAsia="黑体" w:cs="黑体"/>
          <w:sz w:val="32"/>
          <w:szCs w:val="32"/>
        </w:rPr>
        <w:t>可持续性</w:t>
      </w:r>
      <w:r>
        <w:rPr>
          <w:rFonts w:hint="eastAsia" w:ascii="黑体" w:eastAsia="黑体" w:cs="黑体"/>
          <w:sz w:val="32"/>
          <w:szCs w:val="32"/>
          <w:lang w:eastAsia="zh-CN"/>
        </w:rPr>
        <w:t>分析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eastAsia="仿宋_GB2312" w:cs="仿宋_GB2312"/>
          <w:bCs/>
          <w:sz w:val="32"/>
          <w:szCs w:val="32"/>
          <w:lang w:eastAsia="zh-CN"/>
        </w:rPr>
      </w:pPr>
      <w:r>
        <w:rPr>
          <w:rFonts w:hint="eastAsia" w:ascii="仿宋_GB2312" w:eastAsia="仿宋_GB2312" w:cs="仿宋_GB2312"/>
          <w:bCs/>
          <w:sz w:val="32"/>
          <w:szCs w:val="32"/>
          <w:lang w:eastAsia="zh-CN"/>
        </w:rPr>
        <w:t>1. 财力支持：流动党员管理是长期工作，财政持续支持经费，保障活动开展。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eastAsia="仿宋_GB2312" w:cs="仿宋_GB2312"/>
          <w:bCs/>
          <w:sz w:val="32"/>
          <w:szCs w:val="32"/>
          <w:lang w:eastAsia="zh-CN"/>
        </w:rPr>
      </w:pPr>
      <w:r>
        <w:rPr>
          <w:rFonts w:hint="eastAsia" w:ascii="仿宋_GB2312" w:eastAsia="仿宋_GB2312" w:cs="仿宋_GB2312"/>
          <w:bCs/>
          <w:sz w:val="32"/>
          <w:szCs w:val="32"/>
          <w:lang w:eastAsia="zh-CN"/>
        </w:rPr>
        <w:t>2. 组织管理：已建立的管理小组与工作机制，将持续发挥作用，不断优化管理。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eastAsia="仿宋_GB2312" w:cs="仿宋_GB2312"/>
          <w:bCs/>
          <w:sz w:val="32"/>
          <w:szCs w:val="32"/>
          <w:lang w:eastAsia="zh-CN"/>
        </w:rPr>
      </w:pPr>
      <w:r>
        <w:rPr>
          <w:rFonts w:hint="eastAsia" w:ascii="仿宋_GB2312" w:eastAsia="仿宋_GB2312" w:cs="仿宋_GB2312"/>
          <w:bCs/>
          <w:sz w:val="32"/>
          <w:szCs w:val="32"/>
          <w:lang w:eastAsia="zh-CN"/>
        </w:rPr>
        <w:t>3. 运行机制：活动开展与经费管理机制成熟，能根据实际情况调整完善。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eastAsia="仿宋_GB2312"/>
          <w:b/>
          <w:bCs/>
          <w:sz w:val="32"/>
          <w:szCs w:val="32"/>
          <w:lang w:eastAsia="zh-CN"/>
        </w:rPr>
      </w:pPr>
      <w:r>
        <w:rPr>
          <w:rFonts w:hint="eastAsia" w:ascii="仿宋_GB2312" w:eastAsia="仿宋_GB2312" w:cs="仿宋_GB2312"/>
          <w:bCs/>
          <w:sz w:val="32"/>
          <w:szCs w:val="32"/>
          <w:lang w:eastAsia="zh-CN"/>
        </w:rPr>
        <w:t>4. 预期产出及效果：持续开展活动，可增强党员归属感与党组织凝聚力，促进党员为家乡发展贡献力量，效果可持续。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  <w:lang w:eastAsia="zh-CN"/>
        </w:rPr>
      </w:pPr>
      <w:r>
        <w:rPr>
          <w:rFonts w:hint="eastAsia" w:ascii="黑体" w:eastAsia="黑体" w:cs="黑体"/>
          <w:sz w:val="32"/>
          <w:szCs w:val="32"/>
          <w:lang w:eastAsia="zh-CN"/>
        </w:rPr>
        <w:t>绩效分析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/>
        </w:rPr>
        <w:t>（一）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en-US" w:eastAsia="zh-CN"/>
        </w:rPr>
        <w:t>通用指标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/>
        </w:rPr>
        <w:t>绩效分析。指标分值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en-US" w:eastAsia="zh-CN"/>
        </w:rPr>
        <w:t>54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/>
        </w:rPr>
        <w:t>分，自评得分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en-US" w:eastAsia="zh-CN"/>
        </w:rPr>
        <w:t>52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/>
        </w:rPr>
        <w:t>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Cs/>
          <w:sz w:val="32"/>
          <w:szCs w:val="32"/>
          <w:lang w:val="en-US" w:eastAsia="zh-CN"/>
        </w:rPr>
        <w:t>1.</w:t>
      </w:r>
      <w:r>
        <w:rPr>
          <w:rFonts w:hint="eastAsia" w:ascii="仿宋_GB2312" w:eastAsia="仿宋_GB2312" w:cs="仿宋_GB2312"/>
          <w:bCs/>
          <w:sz w:val="32"/>
          <w:szCs w:val="32"/>
          <w:lang w:eastAsia="zh-CN"/>
        </w:rPr>
        <w:t>项目决策。指标分值</w:t>
      </w:r>
      <w:r>
        <w:rPr>
          <w:rFonts w:hint="eastAsia" w:ascii="仿宋_GB2312" w:eastAsia="仿宋_GB2312" w:cs="仿宋_GB2312"/>
          <w:bCs/>
          <w:sz w:val="32"/>
          <w:szCs w:val="32"/>
          <w:lang w:val="en-US" w:eastAsia="zh-CN"/>
        </w:rPr>
        <w:t>18分，自评得分18分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决策程序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项目设立、调整延续等方面符合资金管理基本规范和决策程序要求</w:t>
      </w:r>
      <w:r>
        <w:rPr>
          <w:rFonts w:hint="eastAsia" w:cs="Times New Roman"/>
          <w:color w:val="auto"/>
          <w:szCs w:val="32"/>
          <w:lang w:eastAsia="zh-CN"/>
        </w:rPr>
        <w:t>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规划论证</w:t>
      </w:r>
      <w:r>
        <w:rPr>
          <w:rFonts w:hint="eastAsia" w:cs="Times New Roman"/>
          <w:color w:val="auto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项目规划论证符合中央、省委要求，项目绩效目标设置科学合理，项目资金与项目总体规划、相关行业事业发展相匹配，聚焦重大任务、重点领域、重点环节和重点项目</w:t>
      </w:r>
      <w:r>
        <w:rPr>
          <w:rFonts w:hint="eastAsia" w:cs="Times New Roman"/>
          <w:color w:val="auto"/>
          <w:szCs w:val="32"/>
          <w:lang w:eastAsia="zh-CN"/>
        </w:rPr>
        <w:t>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资金投向</w:t>
      </w:r>
      <w:r>
        <w:rPr>
          <w:rFonts w:hint="eastAsia" w:cs="Times New Roman"/>
          <w:color w:val="auto"/>
          <w:szCs w:val="32"/>
          <w:lang w:eastAsia="zh-CN"/>
        </w:rPr>
        <w:t>：项目资金与项目总体规划、相关行业事业发展相匹配，聚焦重大任务、重点领域、重点环节和重点项目。体现集中力量办大事原则，避免“撒胡椒面”。指标分值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2.项目管理。指标分值18分，自评得分18分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制度办法：项目制度办法体系健全、要素完备。资金管理办法等管理制度体系健全完善，不存在管理制度缺失、管理办法过期情况。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2分，自评得分2分。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分配管理：项目资金分配因素选取、权重设置、区域分布，项目管理、审批符合管理要求，管资金、项目、政策管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绩效，项目绩效监管按要求开展，对下指导有力有效。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楷体_GB2312" w:eastAsia="楷体_GB2312" w:cs="楷体_GB2312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绩效监管：明确要求“事前评估”“事中监控”“事后评价”，层层把控，对相关人员进行绩效业务培训，使人人“懂理念、会分析”。并严抓项目决策是否科学的“牛鼻子”，力求项目决策科学。让项目“目标科学、全面”才能“拎得清”“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仿宋_GB2312" w:eastAsia="仿宋_GB2312" w:cs="仿宋_GB2312"/>
          <w:b w:val="0"/>
          <w:bCs w:val="0"/>
          <w:color w:val="auto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 w:val="0"/>
          <w:color w:val="auto"/>
          <w:szCs w:val="32"/>
          <w:lang w:val="en-US" w:eastAsia="zh-CN"/>
        </w:rPr>
        <w:t>3.项目实施。指标分值9分，自评得分7分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楷体_GB2312" w:eastAsia="楷体_GB2312" w:cs="楷体_GB2312"/>
          <w:color w:val="auto"/>
          <w:szCs w:val="32"/>
          <w:highlight w:val="none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预算执行：项目预算资金</w:t>
      </w:r>
      <w:r>
        <w:rPr>
          <w:rFonts w:hint="eastAsia" w:ascii="仿宋_GB2312" w:cs="仿宋_GB2312"/>
          <w:bCs/>
          <w:sz w:val="32"/>
          <w:szCs w:val="32"/>
          <w:highlight w:val="none"/>
          <w:lang w:val="en-US" w:eastAsia="zh-CN"/>
        </w:rPr>
        <w:t>0.8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万元，支付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0.8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万元。</w:t>
      </w:r>
      <w:r>
        <w:rPr>
          <w:rFonts w:hint="eastAsia" w:cs="Times New Roman"/>
          <w:color w:val="auto"/>
          <w:szCs w:val="32"/>
          <w:highlight w:val="none"/>
          <w:lang w:eastAsia="zh-CN"/>
        </w:rPr>
        <w:t>指标分值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6分，自评得分4分。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ascii="Times New Roman" w:hAnsi="Times New Roman" w:cs="Times New Roman"/>
          <w:color w:val="auto"/>
          <w:szCs w:val="32"/>
          <w:lang w:val="en-US" w:eastAsia="zh-CN"/>
        </w:rPr>
        <w:t>资金使用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：项目</w:t>
      </w:r>
      <w:r>
        <w:rPr>
          <w:rFonts w:hint="eastAsia" w:cs="Times New Roman"/>
          <w:color w:val="auto"/>
          <w:szCs w:val="32"/>
          <w:lang w:val="en-US" w:eastAsia="zh-CN"/>
        </w:rPr>
        <w:t>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2" w:firstLineChars="200"/>
        <w:textAlignment w:val="auto"/>
        <w:outlineLvl w:val="9"/>
        <w:rPr>
          <w:rFonts w:hint="eastAsia" w:ascii="仿宋_GB2312" w:eastAsia="仿宋_GB2312" w:cs="仿宋_GB2312"/>
          <w:b/>
          <w:bCs/>
          <w:color w:val="auto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/>
          <w:color w:val="auto"/>
          <w:szCs w:val="32"/>
          <w:lang w:val="en-US" w:eastAsia="zh-CN"/>
        </w:rPr>
        <w:t>4.项目结果。指标分值9分，自评得分9分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目标完成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资金项目内容与具体实施内容相符的、申报目标是合理可行。项目运行成本、管理效率、履职效能、社会效应、可持续发展能力和服务对象满意度等方面均取得良好成果，预算绩效实现全覆盖。</w:t>
      </w:r>
      <w:r>
        <w:rPr>
          <w:rFonts w:hint="eastAsia" w:cs="Times New Roman"/>
          <w:color w:val="auto"/>
          <w:szCs w:val="32"/>
          <w:lang w:val="en-US" w:eastAsia="zh-CN"/>
        </w:rPr>
        <w:t>截至2025年底完成项目资金拨付。指</w:t>
      </w:r>
      <w:r>
        <w:rPr>
          <w:rFonts w:hint="eastAsia" w:cs="Times New Roman"/>
          <w:color w:val="auto"/>
          <w:szCs w:val="32"/>
          <w:lang w:eastAsia="zh-CN"/>
        </w:rPr>
        <w:t>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完成时效：资金项目按照目标任务已于2025年底完成。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/>
        </w:rPr>
        <w:t>（二）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 w:eastAsia="zh-CN"/>
        </w:rPr>
        <w:t>专用指标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/>
        </w:rPr>
        <w:t>绩效分析。标分值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en-US" w:eastAsia="zh-CN"/>
        </w:rPr>
        <w:t>30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/>
        </w:rPr>
        <w:t>分，自评得分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en-US" w:eastAsia="zh-CN"/>
        </w:rPr>
        <w:t>30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用途合规性</w:t>
      </w:r>
      <w:r>
        <w:rPr>
          <w:rFonts w:hint="eastAsia" w:cs="Times New Roman"/>
          <w:color w:val="auto"/>
          <w:szCs w:val="32"/>
          <w:lang w:val="en-US" w:eastAsia="zh-CN"/>
        </w:rPr>
        <w:t>：该项目规定用途、适用范围进行本地区专项资金分配。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程序合规性：项目资金分配均衡公平，资金实际支持对象符合管理要求，符合支持对象范围，资金实际补贴标准符合资金管理办法规定的补助标准，及时按标准兑现，资金涉及服务对象满意度不低于9</w:t>
      </w:r>
      <w:r>
        <w:rPr>
          <w:rFonts w:hint="eastAsia" w:cs="Times New Roman"/>
          <w:color w:val="auto"/>
          <w:szCs w:val="32"/>
          <w:lang w:val="en-US" w:eastAsia="zh-CN"/>
        </w:rPr>
        <w:t>5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%，</w:t>
      </w:r>
      <w:r>
        <w:rPr>
          <w:rFonts w:hint="eastAsia" w:cs="Times New Roman"/>
          <w:color w:val="auto"/>
          <w:szCs w:val="32"/>
          <w:lang w:val="zh-CN" w:eastAsia="zh-CN"/>
        </w:rPr>
        <w:t>项目用途合规性、程序合规性、标准合规性。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标准合规性：严格按照县委、县政府和财政标准要求，准确编制预算，确保项目的长期效益和持续运行，提高项目的整体价值和社会的整体福利。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 w:eastAsia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 w:eastAsia="zh-CN"/>
        </w:rPr>
        <w:t>（三）个性指标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/>
        </w:rPr>
        <w:t>绩效分析。标分值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en-US" w:eastAsia="zh-CN"/>
        </w:rPr>
        <w:t>16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/>
        </w:rPr>
        <w:t>分，自评得分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en-US" w:eastAsia="zh-CN"/>
        </w:rPr>
        <w:t>16</w:t>
      </w:r>
      <w:r>
        <w:rPr>
          <w:rFonts w:hint="eastAsia" w:ascii="楷体_GB2312" w:eastAsia="楷体_GB2312" w:cs="仿宋_GB2312"/>
          <w:b w:val="0"/>
          <w:bCs/>
          <w:sz w:val="32"/>
          <w:szCs w:val="32"/>
          <w:shd w:val="clear" w:color="auto" w:fill="auto"/>
          <w:lang w:val="zh-CN"/>
        </w:rPr>
        <w:t>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我乡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在规定时间内做好</w:t>
      </w:r>
      <w:r>
        <w:rPr>
          <w:rFonts w:hint="eastAsia" w:ascii="仿宋_GB2312" w:eastAsia="仿宋_GB2312" w:cs="仿宋_GB2312"/>
          <w:bCs/>
          <w:sz w:val="32"/>
          <w:szCs w:val="32"/>
          <w:lang w:eastAsia="zh-CN"/>
        </w:rPr>
        <w:t>驻外流动党员党组织活动</w:t>
      </w:r>
      <w:r>
        <w:rPr>
          <w:rFonts w:hint="eastAsia" w:cs="Times New Roman"/>
          <w:color w:val="auto"/>
          <w:szCs w:val="32"/>
          <w:lang w:val="en-US" w:eastAsia="zh-CN"/>
        </w:rPr>
        <w:t>经费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个性化绩效评价</w:t>
      </w:r>
      <w:r>
        <w:rPr>
          <w:rFonts w:hint="eastAsia" w:cs="Times New Roman"/>
          <w:color w:val="auto"/>
          <w:szCs w:val="32"/>
          <w:lang w:val="en-US" w:eastAsia="zh-CN"/>
        </w:rPr>
        <w:t>，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指标具有特定的针对性，能够更好地反映</w:t>
      </w:r>
      <w:r>
        <w:rPr>
          <w:rFonts w:hint="eastAsia" w:cs="Times New Roman"/>
          <w:color w:val="auto"/>
          <w:szCs w:val="32"/>
          <w:lang w:val="en-US" w:eastAsia="zh-CN"/>
        </w:rPr>
        <w:t>资金使用情况，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提高部门的整体绩效水平。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仿宋_GB2312" w:eastAsia="仿宋_GB2312" w:cs="仿宋_GB2312"/>
          <w:bCs/>
          <w:sz w:val="32"/>
          <w:szCs w:val="32"/>
          <w:lang w:eastAsia="zh-CN"/>
        </w:rPr>
        <w:t>实施方案可行性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仿宋_GB2312" w:eastAsia="仿宋_GB2312" w:cs="仿宋_GB2312"/>
          <w:bCs/>
          <w:sz w:val="32"/>
          <w:szCs w:val="32"/>
          <w:lang w:eastAsia="zh-CN"/>
        </w:rPr>
        <w:t xml:space="preserve">计划完备：制定了详细的活动实施方案与年度计划，明确各季度活动主题与内容 。组织健全：成立驻外流动党员党组织活动管理小组，职责分工明确，负责活动策划、组织与经费管理。时间明确：按季度安排活动，提前通知党员，保障参与。工作程序清晰，从活动策划、申请、实施到总结汇报，均有章可循。保障有力：利用当地党群活动中心等保障活动开展。资金已明确下达，能够足额保证。 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8分，自评得分8分。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仿宋_GB2312" w:eastAsia="仿宋_GB2312" w:cs="仿宋_GB2312"/>
          <w:bCs/>
          <w:sz w:val="32"/>
          <w:szCs w:val="32"/>
          <w:lang w:val="zh-CN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项目公示：按照公开要求，在门户网站中公开公示资金使用情况。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8分，自评得分8分。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  <w:lang w:eastAsia="zh-CN"/>
        </w:rPr>
      </w:pPr>
      <w:r>
        <w:rPr>
          <w:rFonts w:hint="eastAsia" w:ascii="黑体" w:eastAsia="黑体" w:cs="黑体"/>
          <w:sz w:val="32"/>
          <w:szCs w:val="32"/>
          <w:lang w:eastAsia="zh-CN"/>
        </w:rPr>
        <w:t>评价结论</w:t>
      </w:r>
    </w:p>
    <w:p>
      <w:pPr>
        <w:pStyle w:val="5"/>
        <w:keepNext w:val="0"/>
        <w:keepLines w:val="0"/>
        <w:pageBreakBefore w:val="0"/>
        <w:widowControl w:val="0"/>
        <w:tabs>
          <w:tab w:val="left" w:pos="2160"/>
        </w:tabs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line="560" w:lineRule="exact"/>
        <w:ind w:left="0" w:firstLine="640" w:firstLineChars="200"/>
        <w:textAlignment w:val="auto"/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通过汇总、整理、分析</w:t>
      </w:r>
      <w:r>
        <w:rPr>
          <w:rFonts w:hint="eastAsia" w:ascii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洛多乡</w:t>
      </w:r>
      <w:r>
        <w:rPr>
          <w:rFonts w:hint="eastAsia" w:ascii="仿宋_GB2312" w:eastAsia="仿宋_GB2312" w:cs="仿宋_GB2312"/>
          <w:bCs/>
          <w:sz w:val="32"/>
          <w:szCs w:val="32"/>
          <w:lang w:eastAsia="zh-CN"/>
        </w:rPr>
        <w:t>驻外流动党员党组织活动</w:t>
      </w:r>
      <w:r>
        <w:rPr>
          <w:rFonts w:hint="eastAsia" w:cs="Times New Roman"/>
          <w:color w:val="auto"/>
          <w:szCs w:val="32"/>
          <w:lang w:val="en-US" w:eastAsia="zh-CN"/>
        </w:rPr>
        <w:t>经费</w:t>
      </w:r>
      <w:r>
        <w:rPr>
          <w:rFonts w:hint="eastAsia" w:ascii="仿宋_GB2312" w:eastAsia="仿宋_GB2312" w:cs="仿宋_GB2312"/>
          <w:sz w:val="32"/>
          <w:szCs w:val="32"/>
          <w:lang w:eastAsia="zh-CN"/>
        </w:rPr>
        <w:t>项目</w:t>
      </w: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绩效评价指标体系，绩效目标基本实现，自评得分为98分。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  <w:lang w:eastAsia="zh-CN"/>
        </w:rPr>
      </w:pPr>
      <w:r>
        <w:rPr>
          <w:rFonts w:hint="eastAsia" w:ascii="黑体" w:eastAsia="黑体" w:cs="黑体"/>
          <w:sz w:val="32"/>
          <w:szCs w:val="32"/>
          <w:lang w:eastAsia="zh-CN"/>
        </w:rPr>
        <w:t>存在主要问题</w:t>
      </w:r>
    </w:p>
    <w:p>
      <w:pPr>
        <w:pStyle w:val="5"/>
        <w:keepNext w:val="0"/>
        <w:keepLines w:val="0"/>
        <w:pageBreakBefore w:val="0"/>
        <w:widowControl w:val="0"/>
        <w:tabs>
          <w:tab w:val="left" w:pos="2160"/>
        </w:tabs>
        <w:kinsoku/>
        <w:wordWrap/>
        <w:overflowPunct/>
        <w:topLinePunct w:val="0"/>
        <w:autoSpaceDE/>
        <w:autoSpaceDN/>
        <w:bidi w:val="0"/>
        <w:spacing w:before="0" w:beforeAutospacing="0" w:after="0" w:line="560" w:lineRule="exact"/>
        <w:ind w:left="0" w:firstLine="640" w:firstLineChars="200"/>
        <w:jc w:val="both"/>
        <w:textAlignment w:val="auto"/>
        <w:rPr>
          <w:rFonts w:hint="eastAsia" w:ascii="仿宋_GB2312" w:cs="仿宋_GB2312"/>
          <w:bCs/>
          <w:sz w:val="32"/>
          <w:szCs w:val="32"/>
          <w:lang w:val="en-US" w:eastAsia="zh-CN" w:bidi="ar-SA"/>
        </w:rPr>
      </w:pPr>
      <w:r>
        <w:rPr>
          <w:rFonts w:hint="eastAsia" w:ascii="仿宋_GB2312" w:cs="仿宋_GB2312"/>
          <w:bCs/>
          <w:sz w:val="32"/>
          <w:szCs w:val="32"/>
          <w:lang w:val="en-US" w:eastAsia="zh-CN" w:bidi="ar-SA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  <w:lang w:val="zh-CN" w:eastAsia="zh-CN"/>
        </w:rPr>
      </w:pPr>
      <w:r>
        <w:rPr>
          <w:rFonts w:hint="eastAsia" w:ascii="黑体" w:eastAsia="黑体" w:cs="黑体"/>
          <w:sz w:val="32"/>
          <w:szCs w:val="32"/>
          <w:lang w:val="zh-CN" w:eastAsia="zh-CN"/>
        </w:rPr>
        <w:t>改进建议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ascii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cs="仿宋_GB2312"/>
          <w:bCs/>
          <w:sz w:val="32"/>
          <w:szCs w:val="32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sz w:val="32"/>
          <w:szCs w:val="32"/>
          <w:shd w:val="clear" w:color="auto" w:fill="auto"/>
        </w:rPr>
        <w:t>部门预算项目支出绩效自评表</w:t>
      </w:r>
      <w:r>
        <w:rPr>
          <w:rFonts w:hint="eastAsia" w:ascii="仿宋_GB2312" w:eastAsia="仿宋_GB2312" w:cs="仿宋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详见附件1-</w:t>
      </w:r>
      <w:r>
        <w:rPr>
          <w:rFonts w:ascii="仿宋_GB2312" w:eastAsia="仿宋_GB2312" w:cs="仿宋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附表：1.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专项</w:t>
      </w: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预算绩效自评打分表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1600" w:firstLineChars="500"/>
        <w:textAlignment w:val="auto"/>
        <w:outlineLvl w:val="9"/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2.专项预算绩效自评实地踏勘点位清单表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专项</w:t>
      </w:r>
      <w:r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预算绩效自评打分表</w:t>
      </w:r>
    </w:p>
    <w:tbl>
      <w:tblPr>
        <w:tblStyle w:val="8"/>
        <w:tblW w:w="1090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65"/>
        <w:gridCol w:w="825"/>
        <w:gridCol w:w="1558"/>
        <w:gridCol w:w="493"/>
        <w:gridCol w:w="5340"/>
        <w:gridCol w:w="732"/>
        <w:gridCol w:w="4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361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绩效评价指标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指标解释</w:t>
            </w:r>
          </w:p>
        </w:tc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自评得分</w:t>
            </w:r>
          </w:p>
        </w:tc>
        <w:tc>
          <w:tcPr>
            <w:tcW w:w="46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一级指标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二级指标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三级指标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</w:t>
            </w: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分值</w:t>
            </w:r>
          </w:p>
        </w:tc>
        <w:tc>
          <w:tcPr>
            <w:tcW w:w="5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7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46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通用指标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（54分）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决策程序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项目决策程序是否严密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规划论证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项目规划论证是否符合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中央、省委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要求，项目绩效目标设置是否科学合理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资金投向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项目资金是否与项目总体规划、相关行业事业发展相匹配，是否聚焦重大任务、重点领域、重点环节和重点项目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项目管理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制度办法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项目制度办法是否体系健全、要素完备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分配管理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项目资金分配因素选取、权重设置、区域分布，项目管理、审批是否符合管理要求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绩效监管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管资金、项目、政策是否管绩效，项目绩效监管是否按要求开展，对下指导是否有力有效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预算执行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项目资金财政拨付、单位执行和地方配套到位情况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资金使用拨付、项目实施是否符合规定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项目结果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目标完成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项目是否完成预期目标，实施结果是否与绩效目标相匹配，反映目标实现程度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完成时效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项目实际完成时间与计划完成时间的比较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产业发展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符合性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项目实施是否与</w:t>
            </w:r>
            <w:r>
              <w:rPr>
                <w:rFonts w:hint="eastAsia" w:ascii="Times New Roman" w:hAnsi="Times New Roma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省委、省政府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支持重点、产业支持政策符合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成长性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项目实施对相关企业（机构）成长性的促进作用，主要反映支持对象创新创造创业能力情况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经济性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项目实施对相关企业（机构）主营业务收入、净利润、税收、产量等方面增长情况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民生保障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区域均衡性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项目资金分配体现的均衡公平情况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对象精准性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资金实际支持对象是否符合管理要求，是否符合支持对象范围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标准合理性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资金实际补贴标准是否符合资金管理办法规定的补助标准，是否及时按标准兑现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群众满意度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资金涉及相关受益群体、支持对象的满意度调查访谈情况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基础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设施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在建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工程进度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项目是否达到计划工程进度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资金拨付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项目是否达到预先确定的资金拨付进度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建成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项目验收是否及时合格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功能实现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项目经济社会功能是否实现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后续管护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项目后续维护是否实现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行政运转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用途合规性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是否按规定用途、适用范围进行本地区专项资金分配</w:t>
            </w:r>
          </w:p>
        </w:tc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程序合规性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资金管理程序是否符合专项资金管理要求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资金分配标准是否符合专项资金管理要求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个性指标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（16分）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群众转移覆盖率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根据项目个性自行设定部分指标，反映该项指标执行完成情况。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项目公示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34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扣分项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部门配合度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—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被评价对象工作配合情况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both"/>
        <w:textAlignment w:val="auto"/>
        <w:rPr>
          <w:lang w:val="en-US" w:eastAsia="zh-CN"/>
        </w:rPr>
      </w:pP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专项预算绩效自评实地踏勘点位清单表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楷体_GB2312" w:eastAsia="楷体_GB2312" w:cs="楷体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eastAsia="楷体_GB2312" w:cs="楷体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（例表）</w:t>
      </w:r>
    </w:p>
    <w:tbl>
      <w:tblPr>
        <w:tblStyle w:val="8"/>
        <w:tblW w:w="79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5956"/>
        <w:gridCol w:w="9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实地踏勘点位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洛多乡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……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0"/>
        <w:jc w:val="center"/>
        <w:textAlignment w:val="auto"/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备注：项目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实地踏勘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点位包括市（州）本级、县（市、区）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本级及有关项目、单位、公司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hint="eastAsia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</w:pPr>
    </w:p>
    <w:bookmarkEnd w:id="0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altName w:val="Times New Roman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??">
    <w:altName w:val="思源宋体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公文小标宋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思源宋体">
    <w:panose1 w:val="02020500000000000000"/>
    <w:charset w:val="86"/>
    <w:family w:val="auto"/>
    <w:pitch w:val="default"/>
    <w:sig w:usb0="30000083" w:usb1="2BDF3C10" w:usb2="00000016" w:usb3="00000000" w:csb0="602E010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105D57"/>
    <w:multiLevelType w:val="singleLevel"/>
    <w:tmpl w:val="39105D57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false"/>
  <w:bordersDoNotSurroundFooter w:val="false"/>
  <w:documentProtection w:edit="readOnly" w:enforcement="0"/>
  <w:defaultTabStop w:val="420"/>
  <w:drawingGridHorizontalSpacing w:val="1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</w:compat>
  <w:docVars>
    <w:docVar w:name="commondata" w:val="eyJoZGlkIjoiMjUwNTIzOTVmMTE1MjFiZGE0OWIzMWU5NTEyZTliYmIifQ=="/>
  </w:docVars>
  <w:rsids>
    <w:rsidRoot w:val="00000000"/>
    <w:rsid w:val="795790BF"/>
    <w:rsid w:val="79DA4750"/>
    <w:rsid w:val="7EA64C38"/>
    <w:rsid w:val="7EEF412D"/>
    <w:rsid w:val="F6DB5425"/>
    <w:rsid w:val="FFE54A1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qFormat/>
    <w:uiPriority w:val="0"/>
    <w:pPr>
      <w:spacing w:before="100" w:beforeAutospacing="1" w:after="120"/>
    </w:pPr>
  </w:style>
  <w:style w:type="paragraph" w:customStyle="1" w:styleId="6">
    <w:name w:val="Default"/>
    <w:next w:val="1"/>
    <w:qFormat/>
    <w:uiPriority w:val="0"/>
    <w:pPr>
      <w:widowControl w:val="0"/>
      <w:autoSpaceDE w:val="0"/>
      <w:autoSpaceDN w:val="0"/>
      <w:adjustRightInd w:val="0"/>
      <w:jc w:val="center"/>
    </w:pPr>
    <w:rPr>
      <w:rFonts w:ascii="Arial Unicode MS" w:hAnsi="Arial Unicode MS" w:eastAsia="Arial Unicode MS" w:cs="Times New Roman"/>
      <w:b/>
      <w:color w:val="000000"/>
      <w:sz w:val="24"/>
      <w:szCs w:val="20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10">
    <w:name w:val="四号正文"/>
    <w:basedOn w:val="1"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 w:eastAsia="zh-CN"/>
    </w:rPr>
  </w:style>
  <w:style w:type="character" w:customStyle="1" w:styleId="11">
    <w:name w:val="NormalCharacter"/>
    <w:qFormat/>
    <w:uiPriority w:val="0"/>
    <w:rPr>
      <w:rFonts w:eastAsia="仿宋_GB2312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9</Pages>
  <Words>3602</Words>
  <Characters>3720</Characters>
  <Lines>415</Lines>
  <Paragraphs>203</Paragraphs>
  <TotalTime>12</TotalTime>
  <ScaleCrop>false</ScaleCrop>
  <LinksUpToDate>false</LinksUpToDate>
  <CharactersWithSpaces>3726</CharactersWithSpaces>
  <Application>WPS Office_11.1.0.10161_F1E327BC-269C-435d-A152-05C5408002CA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2025-04-30T01:45:00Z</dcterms:created>
  <dc:creator>Administrator</dc:creator>
  <cp:lastModifiedBy>user</cp:lastModifiedBy>
  <dcterms:modified xsi:type="dcterms:W3CDTF">2026-10-22T10:36:45Z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  <property fmtid="{D5CDD505-2E9C-101B-9397-08002B2CF9AE}" pid="3" name="ICV">
    <vt:lpwstr>FD0B25666A6FDD4BA22E966A808277AE_43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