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123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/>
        <w:textAlignment w:val="auto"/>
        <w:rPr>
          <w:rFonts w:ascii="黑体" w:eastAsia="黑体" w:cs="黑体"/>
          <w:highlight w:val="none"/>
          <w:lang w:val="en-US" w:eastAsia="zh-CN"/>
        </w:rPr>
      </w:pPr>
      <w:r>
        <w:rPr>
          <w:rFonts w:hint="eastAsia" w:ascii="黑体" w:eastAsia="黑体" w:cs="黑体"/>
          <w:highlight w:val="none"/>
        </w:rPr>
        <w:t>附件</w:t>
      </w:r>
      <w:r>
        <w:rPr>
          <w:rFonts w:hint="eastAsia" w:ascii="黑体" w:eastAsia="黑体" w:cs="黑体"/>
          <w:highlight w:val="none"/>
          <w:lang w:val="en-US" w:eastAsia="zh-CN"/>
        </w:rPr>
        <w:t>1-</w:t>
      </w:r>
      <w:r>
        <w:rPr>
          <w:rFonts w:ascii="黑体" w:eastAsia="黑体" w:cs="黑体"/>
          <w:highlight w:val="none"/>
          <w:lang w:val="en-US" w:eastAsia="zh-CN"/>
        </w:rPr>
        <w:t>3-2</w:t>
      </w:r>
    </w:p>
    <w:p w14:paraId="079B7D26"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</w:p>
    <w:p w14:paraId="4A972D63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zh-CN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zh-CN" w:eastAsia="zh-CN" w:bidi="ar-SA"/>
        </w:rPr>
        <w:t>村（社区）残协建设项目</w:t>
      </w:r>
    </w:p>
    <w:p w14:paraId="18E6C32F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zh-CN" w:eastAsia="zh-CN" w:bidi="ar-SA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zh-CN" w:eastAsia="zh-CN" w:bidi="ar-SA"/>
        </w:rPr>
        <w:t>部门预算项目支出绩效评价报告</w:t>
      </w:r>
    </w:p>
    <w:p w14:paraId="7022C4D1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zh-CN" w:eastAsia="zh-CN" w:bidi="ar-SA"/>
        </w:rPr>
      </w:pPr>
    </w:p>
    <w:p w14:paraId="7EAF3BA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</w:rPr>
      </w:pPr>
      <w:r>
        <w:rPr>
          <w:rFonts w:hint="eastAsia" w:ascii="黑体" w:eastAsia="黑体" w:cs="黑体"/>
          <w:sz w:val="32"/>
          <w:szCs w:val="32"/>
        </w:rPr>
        <w:t>项目概况</w:t>
      </w:r>
    </w:p>
    <w:p w14:paraId="702323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b w:val="0"/>
          <w:bCs/>
          <w:sz w:val="32"/>
          <w:szCs w:val="32"/>
          <w:lang w:val="zh-CN" w:eastAsia="zh-CN"/>
        </w:rPr>
      </w:pPr>
      <w:r>
        <w:rPr>
          <w:rFonts w:hint="eastAsia" w:ascii="楷体_GB2312" w:eastAsia="楷体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（一）设立背景及基本情况</w:t>
      </w:r>
    </w:p>
    <w:p w14:paraId="633BEA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仿宋_GB2312" w:cs="仿宋_GB2312"/>
          <w:sz w:val="32"/>
          <w:szCs w:val="32"/>
          <w:lang w:eastAsia="zh-CN"/>
        </w:rPr>
      </w:pPr>
      <w:r>
        <w:rPr>
          <w:rFonts w:hint="eastAsia" w:ascii="仿宋_GB2312" w:cs="仿宋_GB2312"/>
          <w:sz w:val="32"/>
          <w:szCs w:val="32"/>
          <w:lang w:eastAsia="zh-CN"/>
        </w:rPr>
        <w:t>本项目的主要内容是洛多乡村残协建设项目，核心是为5个村搭建残协工作站，配套办公经费及助残活动 经费，目标是完善基层残疾人服务组织架构，实现残疾人群体服 务“就近办、精准办”。2025年预算安排5000元，实际执行5000 元。</w:t>
      </w:r>
    </w:p>
    <w:p w14:paraId="6320A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（二）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实施目的及支持方向</w:t>
      </w:r>
    </w:p>
    <w:p w14:paraId="7A4E36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asci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cs="仿宋_GB2312"/>
          <w:sz w:val="32"/>
          <w:szCs w:val="32"/>
          <w:lang w:eastAsia="zh-CN"/>
        </w:rPr>
        <w:t>通过事前绩效评估将绩效管理关口前移，为项目设立和预算 安排提供重要参考依据，提高预算编制科学性、合理性，优化财政支出结构，从源头上防控财政资源配置的低效无效，提高财政 资源配置效率和财政资金使用效益。</w:t>
      </w:r>
    </w:p>
    <w:p w14:paraId="0E49D8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（三）预算安排及分配管理</w:t>
      </w:r>
    </w:p>
    <w:p w14:paraId="071DC7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仿宋_GB2312" w:cs="仿宋_GB2312"/>
          <w:sz w:val="32"/>
          <w:szCs w:val="32"/>
          <w:lang w:val="en-US" w:eastAsia="zh-CN"/>
        </w:rPr>
      </w:pPr>
      <w:r>
        <w:rPr>
          <w:rFonts w:hint="eastAsia" w:ascii="仿宋_GB2312" w:cs="仿宋_GB2312"/>
          <w:sz w:val="32"/>
          <w:szCs w:val="32"/>
          <w:lang w:val="en-US" w:eastAsia="zh-CN"/>
        </w:rPr>
        <w:t>该项目申报预算5000元，年度申报金额为5000元资金来源 为省级财政资金。本次对项目投入经济性的评估是在项目事前绩 效评估、预算测算的基础上，按照厉行节约的要求，结合项目 2024年开支情况结合2025年实际需求、相关费用标准及市场价 格水平，重点对数量是否合理、投入是否经济、预算测算是否准 确、测算过程是否详细、测算依据是否充分等方面进行了评估。 评估认为，该项目任务数量基本合理、预算测算过程较为详细、 测算依据基本充分、具有一定的经济性。建议预算控制在5000元 以内。</w:t>
      </w:r>
    </w:p>
    <w:p w14:paraId="78C6DAA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项目绩效目标设置</w:t>
      </w:r>
    </w:p>
    <w:p w14:paraId="517ECF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仿宋_GB2312" w:cs="仿宋_GB2312"/>
          <w:sz w:val="32"/>
          <w:szCs w:val="32"/>
          <w:lang w:val="en-US" w:eastAsia="zh-CN"/>
        </w:rPr>
      </w:pPr>
      <w:r>
        <w:rPr>
          <w:rFonts w:hint="eastAsia" w:ascii="仿宋_GB2312" w:cs="仿宋_GB2312"/>
          <w:sz w:val="32"/>
          <w:szCs w:val="32"/>
          <w:lang w:val="en-US" w:eastAsia="zh-CN"/>
        </w:rPr>
        <w:t xml:space="preserve"> 2025年乡镇村残协建设经费项目0.5万元，目标契合“残协组织建设”的项目实质，与乡级年度残疾人服务工作目标一致，产出与效果直接关联。我乡申报的洛 多乡村残协建设项目内容与具体实施内容相符、申报目标合理可行。</w:t>
      </w:r>
    </w:p>
    <w:p w14:paraId="7A4C8F4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eastAsia="zh-CN"/>
        </w:rPr>
      </w:pPr>
      <w:r>
        <w:rPr>
          <w:rFonts w:hint="eastAsia" w:ascii="黑体" w:eastAsia="黑体" w:cs="黑体"/>
          <w:sz w:val="32"/>
          <w:szCs w:val="32"/>
          <w:lang w:eastAsia="zh-CN"/>
        </w:rPr>
        <w:t>评价实施</w:t>
      </w:r>
    </w:p>
    <w:p w14:paraId="336F0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（一）评价目的</w:t>
      </w:r>
    </w:p>
    <w:p w14:paraId="1C6562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asci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cs="仿宋_GB2312"/>
          <w:sz w:val="32"/>
          <w:szCs w:val="32"/>
          <w:lang w:val="en-US" w:eastAsia="zh-CN"/>
        </w:rPr>
        <w:t>通过</w:t>
      </w:r>
      <w:r>
        <w:rPr>
          <w:rFonts w:hint="eastAsia" w:eastAsia="仿宋_GB2312" w:cs="Times New Roman"/>
          <w:szCs w:val="32"/>
        </w:rPr>
        <w:t>绩效评价，及时发现项目实施中存在的薄弱环节，总结推广好的经验和做法，进一步规范项目管理。</w:t>
      </w:r>
    </w:p>
    <w:p w14:paraId="1552A8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（二）预设问题及评价重点</w:t>
      </w:r>
    </w:p>
    <w:p w14:paraId="0EEE6E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 w14:paraId="70932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 w14:paraId="4349A3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挤</w:t>
      </w:r>
      <w:r>
        <w:rPr>
          <w:rFonts w:hint="eastAsia" w:cs="Times New Roman"/>
          <w:szCs w:val="32"/>
          <w:lang w:val="zh-CN"/>
        </w:rPr>
        <w:t>用</w:t>
      </w:r>
      <w:r>
        <w:rPr>
          <w:rFonts w:hint="eastAsia" w:ascii="Times New Roman" w:hAnsi="Times New Roman" w:eastAsia="仿宋_GB2312" w:cs="Times New Roman"/>
          <w:szCs w:val="32"/>
          <w:lang w:val="zh-CN"/>
        </w:rPr>
        <w:t>、挪用、截留等违纪违规等问题。</w:t>
      </w:r>
    </w:p>
    <w:p w14:paraId="006FB8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 w14:paraId="69DA68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 w14:paraId="0C1C7D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 w14:paraId="70A612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（三）评价选点</w:t>
      </w:r>
    </w:p>
    <w:p w14:paraId="65AA13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洛多乡</w:t>
      </w:r>
    </w:p>
    <w:p w14:paraId="7F3BBB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（四）评价方法</w:t>
      </w:r>
    </w:p>
    <w:p w14:paraId="3B3F4D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szCs w:val="32"/>
          <w:lang w:val="zh-CN" w:eastAsia="zh-CN"/>
        </w:rPr>
      </w:pPr>
      <w:r>
        <w:rPr>
          <w:rFonts w:hint="eastAsia" w:ascii="Times New Roman" w:hAnsi="Times New Roman" w:cs="Times New Roman"/>
          <w:szCs w:val="32"/>
          <w:lang w:val="en-US" w:eastAsia="zh-CN"/>
        </w:rPr>
        <w:t>1.现场咨询。</w:t>
      </w:r>
    </w:p>
    <w:p w14:paraId="1F06A0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eastAsia="仿宋_GB2312" w:cs="Times New Roman"/>
          <w:szCs w:val="32"/>
          <w:lang w:eastAsia="zh-CN"/>
        </w:rPr>
      </w:pPr>
      <w:r>
        <w:rPr>
          <w:rFonts w:hint="eastAsia" w:ascii="Times New Roman" w:hAnsi="Times New Roman" w:cs="Times New Roman"/>
          <w:szCs w:val="32"/>
          <w:lang w:val="en-US" w:eastAsia="zh-CN"/>
        </w:rPr>
        <w:t>2.实施单位自评，形成完整自评资料。</w:t>
      </w:r>
    </w:p>
    <w:p w14:paraId="64D5C6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（五）评价组织</w:t>
      </w:r>
    </w:p>
    <w:p w14:paraId="3BEA2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jc w:val="both"/>
        <w:textAlignment w:val="auto"/>
        <w:rPr>
          <w:rFonts w:hint="eastAsia" w:eastAsia="仿宋_GB2312" w:cs="Times New Roman"/>
          <w:szCs w:val="32"/>
        </w:rPr>
      </w:pPr>
      <w:r>
        <w:rPr>
          <w:rFonts w:hint="eastAsia" w:eastAsia="仿宋_GB2312" w:cs="Times New Roman"/>
          <w:szCs w:val="32"/>
        </w:rPr>
        <w:t>评价组人员由相关业务股室和项目单位代表组成，评价小组以检查账目、资料、电话核实等形式开展了现场评价</w:t>
      </w:r>
    </w:p>
    <w:p w14:paraId="2074034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eastAsia="zh-CN"/>
        </w:rPr>
      </w:pPr>
      <w:r>
        <w:rPr>
          <w:rFonts w:hint="eastAsia" w:ascii="黑体" w:eastAsia="黑体" w:cs="黑体"/>
          <w:sz w:val="32"/>
          <w:szCs w:val="32"/>
          <w:lang w:eastAsia="zh-CN"/>
        </w:rPr>
        <w:t>绩效分析</w:t>
      </w:r>
    </w:p>
    <w:p w14:paraId="4374E3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en-US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（一）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en-US" w:eastAsia="zh-CN"/>
        </w:rPr>
        <w:t>通用指标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绩效分析。指标分值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en-US" w:eastAsia="zh-CN"/>
        </w:rPr>
        <w:t>54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分，自评得分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en-US" w:eastAsia="zh-CN"/>
        </w:rPr>
        <w:t>52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分</w:t>
      </w:r>
      <w:bookmarkStart w:id="0" w:name="_GoBack"/>
      <w:bookmarkEnd w:id="0"/>
    </w:p>
    <w:p w14:paraId="43D54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1.项目决策。指标分值18分，自评得分18分</w:t>
      </w:r>
    </w:p>
    <w:p w14:paraId="410090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决策程序：项目设立、调整延续等方面符合资金管理基本规范和决策程序要求。指标分值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 w14:paraId="07952B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规划论证：项目规划论证符合中央、省委要求，项目绩效目标设置科学合理，项目资金与项目总体规划、相关行业事业发展相匹配，聚焦重大任务、重点领域、重点环节和重点项目。指标分值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 w14:paraId="039912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资金投向：项目资金与项目总体规划、相关行业事业发展相匹配，聚焦重大任务、重点领域、重点环节和重点项目。体现集中力量办大事原则，避免“撒胡椒面”。指标分值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 w14:paraId="36BE6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2.项目管理。指标分值18分，自评得分18分</w:t>
      </w:r>
    </w:p>
    <w:p w14:paraId="79D8A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制度办法</w:t>
      </w:r>
      <w:r>
        <w:rPr>
          <w:rFonts w:hint="eastAsia" w:cs="Times New Roman"/>
          <w:color w:val="auto"/>
          <w:szCs w:val="32"/>
          <w:lang w:val="en-US" w:eastAsia="zh-CN"/>
        </w:rPr>
        <w:t>：项目制度办法体系健全、要素完备</w:t>
      </w:r>
      <w:r>
        <w:rPr>
          <w:rFonts w:hint="eastAsia" w:cs="Times New Roman"/>
          <w:color w:val="auto"/>
          <w:szCs w:val="32"/>
          <w:lang w:val="en-US" w:eastAsia="zh-CN"/>
        </w:rPr>
        <w:t>。资金管理办法等管理制度体系健全完善，不存在管理制度缺失、管理办法过期情况。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2分，自评得分2分。</w:t>
      </w:r>
    </w:p>
    <w:p w14:paraId="0D367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分配管理：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项目资金分配因素选取、权重设置、区域分布，项目管理、审批符合管理要求，管资金、项目、政策管绩效，项目绩效监管按要求开展，对下指导有力有效。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 w14:paraId="1E65D2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楷体_GB2312" w:eastAsia="楷体_GB2312" w:cs="楷体_GB2312"/>
          <w:color w:val="auto"/>
          <w:szCs w:val="32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绩效监管：明确要求“事前评估”“事中监控”“事后评价”，层层把控，对相关人员进行绩效业务培训，使人人“懂理念、会分析”。并严抓项目决策是否科学的“牛鼻子”，力求项目决策科学。让项目“目标科学、全面”才能“拎得清”“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 w14:paraId="25C7E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3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仿宋_GB2312" w:eastAsia="仿宋_GB2312" w:cs="仿宋_GB2312"/>
          <w:b/>
          <w:bCs/>
          <w:color w:val="auto"/>
          <w:szCs w:val="32"/>
          <w:lang w:val="en-US" w:eastAsia="zh-CN"/>
        </w:rPr>
        <w:t>3.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项目实施。指标分值9分，自评得分7分</w:t>
      </w:r>
    </w:p>
    <w:p w14:paraId="7BBFAD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楷体_GB2312" w:eastAsia="楷体_GB2312" w:cs="楷体_GB2312"/>
          <w:color w:val="auto"/>
          <w:szCs w:val="32"/>
          <w:highlight w:val="none"/>
          <w:lang w:eastAsia="zh-CN"/>
        </w:rPr>
      </w:pP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预算执行：项目预算资金</w:t>
      </w:r>
      <w:r>
        <w:rPr>
          <w:rFonts w:hint="eastAsia" w:ascii="仿宋_GB2312" w:cs="仿宋_GB2312"/>
          <w:bCs/>
          <w:sz w:val="32"/>
          <w:szCs w:val="32"/>
          <w:highlight w:val="none"/>
          <w:lang w:val="en-US" w:eastAsia="zh-CN"/>
        </w:rPr>
        <w:t>0.5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万元，支付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0.5</w:t>
      </w:r>
      <w:r>
        <w:rPr>
          <w:rFonts w:hint="eastAsia" w:ascii="Times New Roman" w:hAnsi="Times New Roman" w:cs="Times New Roman"/>
          <w:color w:val="auto"/>
          <w:szCs w:val="32"/>
          <w:highlight w:val="none"/>
          <w:lang w:val="en-US" w:eastAsia="zh-CN"/>
        </w:rPr>
        <w:t>万元。</w:t>
      </w:r>
      <w:r>
        <w:rPr>
          <w:rFonts w:hint="eastAsia" w:cs="Times New Roman"/>
          <w:color w:val="auto"/>
          <w:szCs w:val="32"/>
          <w:highlight w:val="none"/>
          <w:lang w:eastAsia="zh-CN"/>
        </w:rPr>
        <w:t>指标分值</w:t>
      </w:r>
      <w:r>
        <w:rPr>
          <w:rFonts w:hint="eastAsia" w:cs="Times New Roman"/>
          <w:color w:val="auto"/>
          <w:szCs w:val="32"/>
          <w:highlight w:val="none"/>
          <w:lang w:val="en-US" w:eastAsia="zh-CN"/>
        </w:rPr>
        <w:t>6分，自评得分4分。</w:t>
      </w:r>
    </w:p>
    <w:p w14:paraId="44B8E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资金使用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：项目</w:t>
      </w:r>
      <w:r>
        <w:rPr>
          <w:rFonts w:hint="eastAsia" w:cs="Times New Roman"/>
          <w:color w:val="auto"/>
          <w:szCs w:val="32"/>
          <w:lang w:val="en-US" w:eastAsia="zh-CN"/>
        </w:rPr>
        <w:t>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 w14:paraId="1F9DF3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4.项目结果。指标分值9分，自评得分9分</w:t>
      </w:r>
    </w:p>
    <w:p w14:paraId="3E46AD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目标完成</w:t>
      </w:r>
      <w:r>
        <w:rPr>
          <w:rFonts w:hint="eastAsia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资金项目内容与具体实施内容相符的、申报目标是合理可行。项目运行成本、管理效率、履职效能、社会效应、可持续发展能力和服务对象满意度等方面均取得良好成果，预算绩效实现全覆盖。</w:t>
      </w:r>
      <w:r>
        <w:rPr>
          <w:rFonts w:hint="eastAsia" w:cs="Times New Roman"/>
          <w:color w:val="auto"/>
          <w:szCs w:val="32"/>
          <w:lang w:val="en-US" w:eastAsia="zh-CN"/>
        </w:rPr>
        <w:t>截至2025年底完成项目资金拨付。指</w:t>
      </w:r>
      <w:r>
        <w:rPr>
          <w:rFonts w:hint="eastAsia" w:cs="Times New Roman"/>
          <w:color w:val="auto"/>
          <w:szCs w:val="32"/>
          <w:lang w:eastAsia="zh-CN"/>
        </w:rPr>
        <w:t>标分值</w:t>
      </w:r>
      <w:r>
        <w:rPr>
          <w:rFonts w:hint="eastAsia" w:cs="Times New Roman"/>
          <w:color w:val="auto"/>
          <w:szCs w:val="32"/>
          <w:lang w:val="en-US" w:eastAsia="zh-CN"/>
        </w:rPr>
        <w:t>6分，自评得分6分。</w:t>
      </w:r>
    </w:p>
    <w:p w14:paraId="61DA73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完成时效：资金项目按照目标任务已于2025年底完成。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3分，自评得分3分。</w:t>
      </w:r>
    </w:p>
    <w:p w14:paraId="24EF06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（二）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专用指标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绩效分析。标分值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en-US" w:eastAsia="zh-CN"/>
        </w:rPr>
        <w:t>30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分，自评得分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en-US" w:eastAsia="zh-CN"/>
        </w:rPr>
        <w:t>30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分</w:t>
      </w:r>
    </w:p>
    <w:p w14:paraId="0BC111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用途合规性</w:t>
      </w:r>
      <w:r>
        <w:rPr>
          <w:rFonts w:hint="eastAsia" w:cs="Times New Roman"/>
          <w:color w:val="auto"/>
          <w:szCs w:val="32"/>
          <w:lang w:val="en-US" w:eastAsia="zh-CN"/>
        </w:rPr>
        <w:t>：该项目规定用途、适用范围进行本地区专项资金分配。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 w14:paraId="66D2B9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zh-CN" w:eastAsia="zh-CN"/>
        </w:rPr>
      </w:pP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程序合规性：项目资金分配均衡公平，资金实际支持对象符合管理要求，符合支持对象范围，资金实际补贴标准符合资金管理办法规定的补助标准，及时按标准兑现，资金涉及服务对象满意度不低于9</w:t>
      </w:r>
      <w:r>
        <w:rPr>
          <w:rFonts w:hint="eastAsia" w:cs="Times New Roman"/>
          <w:color w:val="auto"/>
          <w:szCs w:val="32"/>
          <w:lang w:val="en-US" w:eastAsia="zh-CN"/>
        </w:rPr>
        <w:t>5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%，</w:t>
      </w:r>
      <w:r>
        <w:rPr>
          <w:rFonts w:hint="eastAsia" w:cs="Times New Roman"/>
          <w:color w:val="auto"/>
          <w:szCs w:val="32"/>
          <w:lang w:val="zh-CN" w:eastAsia="zh-CN"/>
        </w:rPr>
        <w:t>项目用途合规性、程序合规性、标准合规性。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 w14:paraId="79BA71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标准合规性：严格按照县委、县政府和财政标准要求，准确编制预算，确保项目的长期效益和持续运行，提高项目的整体价值和社会的整体福利。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10分，自评得分10分。</w:t>
      </w:r>
    </w:p>
    <w:p w14:paraId="2B18B6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（三）个性指标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绩效分析。标分值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en-US" w:eastAsia="zh-CN"/>
        </w:rPr>
        <w:t>16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分，自评得分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en-US" w:eastAsia="zh-CN"/>
        </w:rPr>
        <w:t>16</w:t>
      </w:r>
      <w:r>
        <w:rPr>
          <w:rFonts w:hint="eastAsia" w:ascii="楷体_GB2312" w:eastAsia="楷体_GB2312" w:cs="仿宋_GB2312"/>
          <w:b w:val="0"/>
          <w:bCs/>
          <w:sz w:val="32"/>
          <w:szCs w:val="32"/>
          <w:highlight w:val="none"/>
          <w:shd w:val="clear" w:color="auto" w:fill="auto"/>
          <w:lang w:val="zh-CN"/>
        </w:rPr>
        <w:t>分</w:t>
      </w:r>
    </w:p>
    <w:p w14:paraId="2C7FB0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我乡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在规定时间内做好</w:t>
      </w:r>
      <w:r>
        <w:rPr>
          <w:rFonts w:hint="eastAsia" w:cs="Times New Roman"/>
          <w:color w:val="auto"/>
          <w:szCs w:val="32"/>
          <w:lang w:val="en-US" w:eastAsia="zh-CN"/>
        </w:rPr>
        <w:t>洛多乡村残协建设项目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个性化绩效评价</w:t>
      </w:r>
      <w:r>
        <w:rPr>
          <w:rFonts w:hint="eastAsia" w:cs="Times New Roman"/>
          <w:color w:val="auto"/>
          <w:szCs w:val="32"/>
          <w:lang w:val="en-US" w:eastAsia="zh-CN"/>
        </w:rPr>
        <w:t>，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指标具有特定的针对性，能够更好地反映</w:t>
      </w:r>
      <w:r>
        <w:rPr>
          <w:rFonts w:hint="eastAsia" w:cs="Times New Roman"/>
          <w:color w:val="auto"/>
          <w:szCs w:val="32"/>
          <w:lang w:val="en-US" w:eastAsia="zh-CN"/>
        </w:rPr>
        <w:t>资金使用情况，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提高部门的整体绩效水平。</w:t>
      </w:r>
    </w:p>
    <w:p w14:paraId="304B8A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筹资合规性。洛多乡村残协建设项目资金来源渠道的 合法合规性，项目具有公共性，属于公共财政支持范围，符合操 作事权与支出责任相适应的原则，未超出财政可承受能力，筹资 渠道符合法律法规规定，筹资结构合理，资金来源渠道明确，资金保障无其他问题。指标分值8分，自评得分8分。</w:t>
      </w:r>
    </w:p>
    <w:p w14:paraId="2A1A1A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仿宋_GB2312" w:eastAsia="仿宋_GB2312" w:cs="仿宋_GB2312"/>
          <w:bCs/>
          <w:sz w:val="32"/>
          <w:szCs w:val="32"/>
          <w:lang w:val="zh-CN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项目公示：按照公开要求，在门户网站中公开公示资金使用情况。</w:t>
      </w:r>
      <w:r>
        <w:rPr>
          <w:rFonts w:hint="eastAsia" w:cs="Times New Roman"/>
          <w:color w:val="auto"/>
          <w:szCs w:val="32"/>
          <w:lang w:eastAsia="zh-CN"/>
        </w:rPr>
        <w:t>指标分值</w:t>
      </w:r>
      <w:r>
        <w:rPr>
          <w:rFonts w:hint="eastAsia" w:cs="Times New Roman"/>
          <w:color w:val="auto"/>
          <w:szCs w:val="32"/>
          <w:lang w:val="en-US" w:eastAsia="zh-CN"/>
        </w:rPr>
        <w:t>8分，自评得分8分。</w:t>
      </w:r>
    </w:p>
    <w:p w14:paraId="447AA67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eastAsia="zh-CN"/>
        </w:rPr>
      </w:pPr>
      <w:r>
        <w:rPr>
          <w:rFonts w:hint="eastAsia" w:ascii="黑体" w:eastAsia="黑体" w:cs="黑体"/>
          <w:sz w:val="32"/>
          <w:szCs w:val="32"/>
          <w:lang w:eastAsia="zh-CN"/>
        </w:rPr>
        <w:t>评价结论</w:t>
      </w:r>
    </w:p>
    <w:p w14:paraId="0066BC6A"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line="560" w:lineRule="exact"/>
        <w:ind w:left="0" w:firstLine="640" w:firstLineChars="200"/>
        <w:textAlignment w:val="auto"/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通过汇总、整理、分析</w:t>
      </w:r>
      <w:r>
        <w:rPr>
          <w:rFonts w:hint="eastAsia" w:cs="Times New Roman"/>
          <w:color w:val="auto"/>
          <w:szCs w:val="32"/>
          <w:lang w:val="en-US" w:eastAsia="zh-CN"/>
        </w:rPr>
        <w:t>洛多乡村残协建设项目</w:t>
      </w:r>
      <w:r>
        <w:rPr>
          <w:rFonts w:hint="eastAsia" w:ascii="仿宋_GB2312" w:eastAsia="仿宋_GB2312" w:cs="仿宋_GB2312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绩效评价指标体系，绩效目标基本实现，自评得分为98分。</w:t>
      </w:r>
    </w:p>
    <w:p w14:paraId="1B49684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eastAsia="zh-CN"/>
        </w:rPr>
      </w:pPr>
      <w:r>
        <w:rPr>
          <w:rFonts w:hint="eastAsia" w:ascii="黑体" w:eastAsia="黑体" w:cs="黑体"/>
          <w:sz w:val="32"/>
          <w:szCs w:val="32"/>
          <w:lang w:eastAsia="zh-CN"/>
        </w:rPr>
        <w:t>存在主要问题</w:t>
      </w:r>
    </w:p>
    <w:p w14:paraId="1C062B05"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spacing w:before="0" w:beforeAutospacing="0" w:after="0" w:line="560" w:lineRule="exact"/>
        <w:ind w:left="0" w:firstLine="640" w:firstLineChars="200"/>
        <w:jc w:val="both"/>
        <w:textAlignment w:val="auto"/>
        <w:rPr>
          <w:rFonts w:hint="eastAsia" w:ascii="仿宋_GB2312" w:cs="仿宋_GB2312"/>
          <w:bCs/>
          <w:sz w:val="32"/>
          <w:szCs w:val="32"/>
          <w:lang w:val="en-US" w:eastAsia="zh-CN" w:bidi="ar-SA"/>
        </w:rPr>
      </w:pPr>
      <w:r>
        <w:rPr>
          <w:rFonts w:hint="eastAsia" w:ascii="仿宋_GB2312" w:cs="仿宋_GB2312"/>
          <w:bCs/>
          <w:sz w:val="32"/>
          <w:szCs w:val="32"/>
          <w:lang w:val="en-US" w:eastAsia="zh-CN" w:bidi="ar-SA"/>
        </w:rPr>
        <w:t>无</w:t>
      </w:r>
    </w:p>
    <w:p w14:paraId="3F61144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sz w:val="32"/>
          <w:szCs w:val="32"/>
          <w:lang w:val="zh-CN" w:eastAsia="zh-CN"/>
        </w:rPr>
      </w:pPr>
      <w:r>
        <w:rPr>
          <w:rFonts w:hint="eastAsia" w:ascii="黑体" w:eastAsia="黑体" w:cs="黑体"/>
          <w:sz w:val="32"/>
          <w:szCs w:val="32"/>
          <w:lang w:val="zh-CN" w:eastAsia="zh-CN"/>
        </w:rPr>
        <w:t>改进建议</w:t>
      </w:r>
    </w:p>
    <w:p w14:paraId="27ACCD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ascii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cs="仿宋_GB2312"/>
          <w:bCs/>
          <w:sz w:val="32"/>
          <w:szCs w:val="32"/>
          <w:lang w:val="en-US" w:eastAsia="zh-CN"/>
        </w:rPr>
        <w:t>无</w:t>
      </w:r>
    </w:p>
    <w:p w14:paraId="1CAD47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sz w:val="32"/>
          <w:szCs w:val="32"/>
          <w:shd w:val="clear" w:color="auto" w:fill="auto"/>
        </w:rPr>
        <w:t>部门预算项目支出绩效自评表</w:t>
      </w:r>
      <w:r>
        <w:rPr>
          <w:rFonts w:hint="eastAsia" w:ascii="仿宋_GB2312" w:eastAsia="仿宋_GB2312" w:cs="仿宋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详见附件1-</w:t>
      </w:r>
      <w:r>
        <w:rPr>
          <w:rFonts w:ascii="仿宋_GB2312" w:eastAsia="仿宋_GB2312" w:cs="仿宋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5</w:t>
      </w:r>
    </w:p>
    <w:p w14:paraId="48CDF2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附表：1.</w:t>
      </w:r>
      <w:r>
        <w:rPr>
          <w:rFonts w:hint="eastAsia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专项</w:t>
      </w: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预算绩效自评打分表</w:t>
      </w:r>
    </w:p>
    <w:p w14:paraId="0EDF0E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1600" w:firstLineChars="500"/>
        <w:textAlignment w:val="auto"/>
        <w:outlineLvl w:val="9"/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2.专项预算绩效自评实地踏勘点位清单表</w:t>
      </w:r>
    </w:p>
    <w:p w14:paraId="749CCB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 w14:paraId="5DB7D6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7211AA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</w:t>
      </w: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预算绩效自评打分表</w:t>
      </w:r>
    </w:p>
    <w:tbl>
      <w:tblPr>
        <w:tblStyle w:val="7"/>
        <w:tblW w:w="109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65"/>
        <w:gridCol w:w="825"/>
        <w:gridCol w:w="1558"/>
        <w:gridCol w:w="493"/>
        <w:gridCol w:w="5340"/>
        <w:gridCol w:w="732"/>
        <w:gridCol w:w="468"/>
      </w:tblGrid>
      <w:tr w14:paraId="618BEC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361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 w14:paraId="3876C1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F2E4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指标解释</w:t>
            </w:r>
          </w:p>
        </w:tc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0F2765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自评得分</w:t>
            </w:r>
          </w:p>
        </w:tc>
        <w:tc>
          <w:tcPr>
            <w:tcW w:w="46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1211D8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29104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8EC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9110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二级指标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D486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三级指标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13D5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A42DC4"/>
        </w:tc>
        <w:tc>
          <w:tcPr>
            <w:tcW w:w="7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AF3F7F"/>
        </w:tc>
        <w:tc>
          <w:tcPr>
            <w:tcW w:w="46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CA14BC"/>
        </w:tc>
      </w:tr>
      <w:tr w14:paraId="1E71BE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F354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通用指标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C000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71C9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决策程序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4C3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3AA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项目决策程序是否严密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51F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942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6533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D6FA86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A125B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7BF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规划论证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331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D5C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项目规划论证是否符合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中央、省委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要求，项目绩效目标设置是否科学合理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4CB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9DA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2ADCC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61B12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D581D6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AF2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资金投向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147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2AEF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D43F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A24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B3F08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BBD840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4AA2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项目管理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6E76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制度办法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48E8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5D5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项目制度办法是否体系健全、要素完备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8C96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66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B605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8E624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DD0CA7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7ED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分配管理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400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80BD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项目资金分配因素选取、权重设置、区域分布，项目管理、审批是否符合管理要求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0A2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9B0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2B39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6F87E7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60D26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6014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绩效监管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09D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4ED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FA6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4633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7A57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A1547A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964F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2D86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预算执行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CBAC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AC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项目资金财政拨付、单位执行和地方配套到位情况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9A69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003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904BF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23706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291E7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D7A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86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7C0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资金使用拨付、项目实施是否符合规定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A230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104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8452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023F9A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5237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项目结果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EC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目标完成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B1A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F03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项目是否完成预期目标，实施结果是否与绩效目标相匹配，反映目标实现程度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0CBE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D48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5EB54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918F9E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C56989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7865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完成时效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C68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667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项目实际完成时间与计划完成时间的比较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C7D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3CDA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EEDF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1F2E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A99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产业发展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AB4A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符合性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E60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47FB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项目实施是否与</w:t>
            </w:r>
            <w:r>
              <w:rPr>
                <w:rFonts w:hint="eastAsia" w:ascii="Times New Roman" w:hAnsi="Times New Roma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省委、省政府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支持重点、产业支持政策符合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B63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CE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EC91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7EF448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323A4E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C6AA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成长性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941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A503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96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E04A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AC27D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4C8DA2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BF65D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758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经济性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3D7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ECE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项目实施对相关企业（机构）主营业务收入、净利润、税收、产量等方面增长情况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2623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BE05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61A6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6BBF2E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2216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民生保障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D21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区域均衡性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A270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F6B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项目资金分配体现的均衡公平情况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FF8C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1674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EC2E0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248D2C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A9C8D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AD7C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对象精准性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28E2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885E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资金实际支持对象是否符合管理要求，是否符合支持对象范围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FA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AE1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7A26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85A366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A61166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9695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7B97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491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资金实际补贴标准是否符合资金管理办法规定的补助标准，是否及时按标准兑现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D89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D73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043B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97E74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97F7FC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4B0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群众满意度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CC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D73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资金涉及相关受益群体、支持对象的满意度调查访谈情况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7BA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D125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3453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072845"/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FF2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基础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设施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BF6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在建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B3E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工程进度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EEB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0470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项目是否达到计划工程进度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E71F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5C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E642A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286EB4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EDA20C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675D6C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8DFF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资金拨付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A423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1C79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项目是否达到预先确定的资金拨付进度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4B71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7751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54C7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4B11F7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9FF45E"/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244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建成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FC64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2AA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BF65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项目验收是否及时合格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C82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E13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23A2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2F8293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5B9FB7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903BDB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E3B5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功能实现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5D5C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7CE3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项目经济社会功能是否实现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FA0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61A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0E144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8E3BE7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CAFFCE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4C40C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9533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后续管护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5E7F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995E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项目后续维护是否实现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C2B3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9604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2D471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5DC3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B9A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行政运转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E4D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用途合规性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65E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8A24F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是否按规定用途、适用范围进行本地区专项资金分配</w:t>
            </w:r>
          </w:p>
        </w:tc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47BB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16E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C6767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AB0FB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2D0CD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FD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程序合规性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CD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68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资金管理程序是否符合专项资金管理要求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BDBD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332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26CA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EC9DD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8823AA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F219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E2F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ECB1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资金分配标准是否符合专项资金管理要求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78AE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AD4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ADED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5D987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个性指标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（16分）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6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群众转移覆盖率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229C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21A57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根据项目个性自行设定部分指标，反映该项指标执行完成情况。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66BC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6C8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C7076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1817E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E6E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项目公示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5718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C46981"/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D4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0D82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9368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DA44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扣分项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E9D7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部门配合度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3ED8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2B0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被评价对象工作配合情况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1284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71B1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22094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both"/>
        <w:textAlignment w:val="auto"/>
        <w:rPr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2</w:t>
      </w:r>
    </w:p>
    <w:p w14:paraId="290C91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0D482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专项预算绩效自评实地踏勘点位清单表</w:t>
      </w:r>
    </w:p>
    <w:p w14:paraId="5B435E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/>
        <w:jc w:val="center"/>
        <w:textAlignment w:val="auto"/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（例表）</w:t>
      </w:r>
    </w:p>
    <w:tbl>
      <w:tblPr>
        <w:tblStyle w:val="7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 w14:paraId="2CD945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34F37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B810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实地踏勘点位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1FE56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5E3D5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B425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10F51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洛多乡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1CBB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AA58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3387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C987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0AC2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BF65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FC8F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18475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05D85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850F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C46C3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0768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2A94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1AEF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0F14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9A539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CA43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39D6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D1B1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893C5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152A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5C98A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F1E48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BE28F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6EC8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86AB2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499B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4E04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3A29D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3E09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9FB83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EC247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8757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A962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CC910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AB736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EFEEB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ECA3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0E84D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CC5DE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8E2A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9DB4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204F2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F35F3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B8495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5EEC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0A569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E55C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0498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6898C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BD389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760F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BA12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FE63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BAEBF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5A4B7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AB383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D46FD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3FB2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A072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BACD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2153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E8FA8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5B05F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64A71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5721C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EF87E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D959E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6BA9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3A1A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5A2ED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4CE1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……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58961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05DE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7D698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96E10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5658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4633BB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/>
        <w:jc w:val="center"/>
        <w:textAlignment w:val="auto"/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备注：项目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实地踏勘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点位包括市（州）本级、县（市、区）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本级及有关项目、单位、公司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等。</w:t>
      </w:r>
    </w:p>
    <w:p w14:paraId="083031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 w14:paraId="4DADD109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Arial Unicode MS">
    <w:altName w:val="DejaVu Sans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??">
    <w:altName w:val="思源宋体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思源宋体">
    <w:panose1 w:val="02020400000000000000"/>
    <w:charset w:val="86"/>
    <w:family w:val="auto"/>
    <w:pitch w:val="default"/>
    <w:sig w:usb0="30000083" w:usb1="2BDF3C10" w:usb2="00000016" w:usb3="00000000" w:csb0="602E0107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公文小标宋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CDB962"/>
    <w:multiLevelType w:val="singleLevel"/>
    <w:tmpl w:val="FFCDB962"/>
    <w:lvl w:ilvl="0" w:tentative="0">
      <w:start w:val="4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abstractNum w:abstractNumId="1">
    <w:nsid w:val="39105D57"/>
    <w:multiLevelType w:val="singleLevel"/>
    <w:tmpl w:val="39105D57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docVars>
    <w:docVar w:name="commondata" w:val="eyJoZGlkIjoiMjUwNTIzOTVmMTE1MjFiZGE0OWIzMWU5NTEyZTliYmIifQ=="/>
  </w:docVars>
  <w:rsids>
    <w:rsidRoot w:val="00000000"/>
    <w:rsid w:val="426B5B00"/>
    <w:rsid w:val="6C8A12B1"/>
    <w:rsid w:val="9FBBB66F"/>
    <w:rsid w:val="BA5FB4C8"/>
    <w:rsid w:val="D4B22896"/>
    <w:rsid w:val="D7FFEF6F"/>
    <w:rsid w:val="EBAFADA0"/>
    <w:rsid w:val="EFEEF487"/>
    <w:rsid w:val="FBFD15B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autoRedefine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qFormat/>
    <w:uiPriority w:val="0"/>
    <w:pPr>
      <w:spacing w:before="100" w:beforeAutospacing="1" w:after="120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9">
    <w:name w:val="Default"/>
    <w:next w:val="1"/>
    <w:autoRedefine/>
    <w:qFormat/>
    <w:uiPriority w:val="0"/>
    <w:pPr>
      <w:widowControl w:val="0"/>
      <w:autoSpaceDE w:val="0"/>
      <w:autoSpaceDN w:val="0"/>
      <w:adjustRightInd w:val="0"/>
      <w:jc w:val="center"/>
    </w:pPr>
    <w:rPr>
      <w:rFonts w:ascii="Arial Unicode MS" w:hAnsi="Arial Unicode MS" w:eastAsia="Arial Unicode MS" w:cs="Times New Roman"/>
      <w:b/>
      <w:color w:val="000000"/>
      <w:sz w:val="24"/>
      <w:szCs w:val="20"/>
      <w:lang w:val="en-US" w:eastAsia="zh-CN" w:bidi="ar-SA"/>
    </w:rPr>
  </w:style>
  <w:style w:type="paragraph" w:customStyle="1" w:styleId="10">
    <w:name w:val="四号正文"/>
    <w:basedOn w:val="1"/>
    <w:autoRedefine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  <w:style w:type="character" w:customStyle="1" w:styleId="11">
    <w:name w:val="NormalCharacter"/>
    <w:autoRedefine/>
    <w:qFormat/>
    <w:uiPriority w:val="0"/>
    <w:rPr>
      <w:rFonts w:eastAsia="仿宋_GB2312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10</Pages>
  <Words>3851</Words>
  <Characters>3971</Characters>
  <Lines>429</Lines>
  <Paragraphs>213</Paragraphs>
  <TotalTime>45</TotalTime>
  <ScaleCrop>false</ScaleCrop>
  <LinksUpToDate>false</LinksUpToDate>
  <CharactersWithSpaces>3991</CharactersWithSpaces>
  <Application>WPS Office_12.8.2.1119_F1E327BC-269C-435d-A152-05C5408002CA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2025-04-29T09:45:00Z</dcterms:created>
  <dc:creator>Administrator</dc:creator>
  <cp:lastModifiedBy>Y</cp:lastModifiedBy>
  <dcterms:modified xsi:type="dcterms:W3CDTF">2026-09-03T16:22:25Z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68310FC5C8B9E02D0D32966AF0740B1A_43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