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outlineLvl w:val="0"/>
        <w:rPr>
          <w:rFonts w:hint="eastAsia" w:ascii="方正小标宋简体" w:hAnsi="方正小标宋简体" w:eastAsia="方正小标宋简体" w:cs="方正小标宋简体"/>
          <w:b w:val="0"/>
          <w:bCs/>
          <w:sz w:val="44"/>
          <w:szCs w:val="44"/>
        </w:rPr>
      </w:pPr>
      <w:bookmarkStart w:id="0" w:name="_Toc15396616"/>
      <w:bookmarkStart w:id="1" w:name="_GoBack"/>
      <w:r>
        <w:rPr>
          <w:rFonts w:hint="eastAsia" w:ascii="方正小标宋简体" w:hAnsi="方正小标宋简体" w:eastAsia="方正小标宋简体" w:cs="方正小标宋简体"/>
          <w:b w:val="0"/>
          <w:bCs/>
          <w:sz w:val="44"/>
          <w:szCs w:val="44"/>
          <w:lang w:val="en-US" w:eastAsia="zh-CN"/>
        </w:rPr>
        <w:t>洛多乡人民政府</w:t>
      </w:r>
      <w:r>
        <w:rPr>
          <w:rFonts w:hint="eastAsia" w:ascii="方正小标宋简体" w:hAnsi="方正小标宋简体" w:eastAsia="方正小标宋简体" w:cs="方正小标宋简体"/>
          <w:b w:val="0"/>
          <w:bCs/>
          <w:sz w:val="44"/>
          <w:szCs w:val="44"/>
        </w:rPr>
        <w:t>部门20</w:t>
      </w:r>
      <w:r>
        <w:rPr>
          <w:rFonts w:hint="eastAsia" w:ascii="方正小标宋简体" w:hAnsi="方正小标宋简体" w:eastAsia="方正小标宋简体" w:cs="方正小标宋简体"/>
          <w:b w:val="0"/>
          <w:bCs/>
          <w:sz w:val="44"/>
          <w:szCs w:val="44"/>
          <w:lang w:val="en-US" w:eastAsia="zh-CN"/>
        </w:rPr>
        <w:t>25</w:t>
      </w:r>
      <w:r>
        <w:rPr>
          <w:rFonts w:hint="eastAsia" w:ascii="方正小标宋简体" w:hAnsi="方正小标宋简体" w:eastAsia="方正小标宋简体" w:cs="方正小标宋简体"/>
          <w:b w:val="0"/>
          <w:bCs/>
          <w:sz w:val="44"/>
          <w:szCs w:val="44"/>
        </w:rPr>
        <w:t>年部门</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outlineLvl w:val="0"/>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整体支出绩效评价报告</w:t>
      </w:r>
      <w:bookmarkEnd w:id="0"/>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center"/>
        <w:textAlignment w:val="auto"/>
        <w:outlineLvl w:val="0"/>
        <w:rPr>
          <w:rFonts w:hint="eastAsia" w:ascii="方正小标宋简体" w:hAnsi="方正小标宋简体" w:eastAsia="方正小标宋简体" w:cs="方正小标宋简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一、部门（单位）概况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（一）机构组成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kern w:val="2"/>
          <w:sz w:val="32"/>
          <w:szCs w:val="32"/>
          <w:highlight w:val="none"/>
        </w:rPr>
        <w:t>黑水县</w:t>
      </w:r>
      <w:r>
        <w:rPr>
          <w:rFonts w:hint="eastAsia" w:ascii="方正仿宋_GB2312" w:hAnsi="方正仿宋_GB2312" w:eastAsia="方正仿宋_GB2312" w:cs="方正仿宋_GB2312"/>
          <w:kern w:val="2"/>
          <w:sz w:val="32"/>
          <w:szCs w:val="32"/>
          <w:highlight w:val="none"/>
          <w:lang w:val="en-US" w:eastAsia="zh-CN"/>
        </w:rPr>
        <w:t>洛多乡</w:t>
      </w:r>
      <w:r>
        <w:rPr>
          <w:rFonts w:hint="eastAsia" w:ascii="方正仿宋_GB2312" w:hAnsi="方正仿宋_GB2312" w:eastAsia="方正仿宋_GB2312" w:cs="方正仿宋_GB2312"/>
          <w:kern w:val="2"/>
          <w:sz w:val="32"/>
          <w:szCs w:val="32"/>
          <w:highlight w:val="none"/>
        </w:rPr>
        <w:t>人民政府无下属二级核算单位，全</w:t>
      </w:r>
      <w:r>
        <w:rPr>
          <w:rFonts w:hint="eastAsia" w:ascii="方正仿宋_GB2312" w:hAnsi="方正仿宋_GB2312" w:eastAsia="方正仿宋_GB2312" w:cs="方正仿宋_GB2312"/>
          <w:kern w:val="2"/>
          <w:sz w:val="32"/>
          <w:szCs w:val="32"/>
          <w:highlight w:val="none"/>
          <w:lang w:val="en-US" w:eastAsia="zh-CN"/>
        </w:rPr>
        <w:t>乡</w:t>
      </w:r>
      <w:r>
        <w:rPr>
          <w:rFonts w:hint="eastAsia" w:ascii="方正仿宋_GB2312" w:hAnsi="方正仿宋_GB2312" w:eastAsia="方正仿宋_GB2312" w:cs="方正仿宋_GB2312"/>
          <w:kern w:val="2"/>
          <w:sz w:val="32"/>
          <w:szCs w:val="32"/>
          <w:highlight w:val="none"/>
        </w:rPr>
        <w:t>共辖</w:t>
      </w:r>
      <w:r>
        <w:rPr>
          <w:rFonts w:hint="eastAsia" w:ascii="方正仿宋_GB2312" w:hAnsi="方正仿宋_GB2312" w:eastAsia="方正仿宋_GB2312" w:cs="方正仿宋_GB2312"/>
          <w:kern w:val="2"/>
          <w:sz w:val="32"/>
          <w:szCs w:val="32"/>
          <w:highlight w:val="none"/>
          <w:lang w:val="en-US" w:eastAsia="zh-CN"/>
        </w:rPr>
        <w:t>5</w:t>
      </w:r>
      <w:r>
        <w:rPr>
          <w:rFonts w:hint="eastAsia" w:ascii="方正仿宋_GB2312" w:hAnsi="方正仿宋_GB2312" w:eastAsia="方正仿宋_GB2312" w:cs="方正仿宋_GB2312"/>
          <w:kern w:val="2"/>
          <w:sz w:val="32"/>
          <w:szCs w:val="32"/>
          <w:highlight w:val="none"/>
        </w:rPr>
        <w:t>个行政村。</w:t>
      </w:r>
      <w:r>
        <w:rPr>
          <w:rFonts w:hint="eastAsia" w:ascii="方正仿宋_GB2312" w:hAnsi="方正仿宋_GB2312" w:eastAsia="方正仿宋_GB2312" w:cs="方正仿宋_GB2312"/>
          <w:kern w:val="2"/>
          <w:sz w:val="32"/>
          <w:szCs w:val="32"/>
          <w:highlight w:val="none"/>
          <w:lang w:val="en-US" w:eastAsia="zh-CN"/>
        </w:rPr>
        <w:t>洛多乡下设行政办公室5个：党政综合办公室、党建工作办公室、应急管理和综合行政执法办公室、社会治理事务和村镇管理办公室、生态经济发展和乡村振兴办公室。下设事业机构2个：便民和退役军人服务中心、农业农村和文化旅游服务中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（二）</w:t>
      </w:r>
      <w:r>
        <w:rPr>
          <w:rFonts w:hint="eastAsia" w:ascii="楷体_GB2312" w:hAnsi="楷体_GB2312" w:eastAsia="楷体_GB2312" w:cs="楷体_GB2312"/>
          <w:sz w:val="32"/>
          <w:szCs w:val="32"/>
        </w:rPr>
        <w:t>机构职能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_GB2312"/>
          <w:sz w:val="32"/>
          <w:szCs w:val="32"/>
        </w:rPr>
      </w:pPr>
      <w:r>
        <w:rPr>
          <w:rFonts w:hint="eastAsia" w:ascii="仿宋_GB2312" w:hAnsi="仿宋_GB2312" w:eastAsia="仿宋_GB2312" w:cs="仿宋_GB2312"/>
          <w:bCs/>
          <w:sz w:val="32"/>
          <w:szCs w:val="32"/>
          <w:highlight w:val="none"/>
        </w:rPr>
        <w:t>黑水县洛多乡人民政府是基层国家行政机关，行使本行政区域的政府行政效能，根据有关文件规</w:t>
      </w:r>
      <w:r>
        <w:rPr>
          <w:rFonts w:hint="eastAsia" w:ascii="仿宋_GB2312" w:hAnsi="仿宋_GB2312" w:eastAsia="仿宋_GB2312" w:cs="仿宋_GB2312"/>
          <w:bCs/>
          <w:sz w:val="32"/>
          <w:szCs w:val="32"/>
        </w:rPr>
        <w:t>定，主要职责是：宣传和贯彻执行上级各部门及本镇的各项政策、法规、决议等；讨论决定全镇经济建设和社会发展中的重大问题；加强党委自身建设和以党支部为核心的村级组织建设；按照干部管理权限，负责对本级镇村干部的教育、管理、培训、选拔和监督工作，并实现村级财务统一由镇代管；认真做好全镇综治维稳、经济发展、教育、文化、卫生、计划生育，环境、国土、安全生产监督管理。完成上级部门交办的其他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（三）人员概况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highlight w:val="none"/>
        </w:rPr>
        <w:t>洛多乡总编制</w:t>
      </w:r>
      <w:r>
        <w:rPr>
          <w:rFonts w:hint="eastAsia" w:ascii="方正仿宋_GB2312" w:hAnsi="方正仿宋_GB2312" w:eastAsia="方正仿宋_GB2312" w:cs="方正仿宋_GB2312"/>
          <w:sz w:val="32"/>
          <w:szCs w:val="32"/>
          <w:highlight w:val="none"/>
          <w:lang w:val="en-US" w:eastAsia="zh-CN"/>
        </w:rPr>
        <w:t>32</w:t>
      </w:r>
      <w:r>
        <w:rPr>
          <w:rFonts w:hint="eastAsia" w:ascii="方正仿宋_GB2312" w:hAnsi="方正仿宋_GB2312" w:eastAsia="方正仿宋_GB2312" w:cs="方正仿宋_GB2312"/>
          <w:sz w:val="32"/>
          <w:szCs w:val="32"/>
          <w:highlight w:val="none"/>
        </w:rPr>
        <w:t>名，其中：行政编制19名，事业编制</w:t>
      </w:r>
      <w:r>
        <w:rPr>
          <w:rFonts w:hint="eastAsia" w:ascii="方正仿宋_GB2312" w:hAnsi="方正仿宋_GB2312" w:eastAsia="方正仿宋_GB2312" w:cs="方正仿宋_GB2312"/>
          <w:sz w:val="32"/>
          <w:szCs w:val="32"/>
          <w:highlight w:val="none"/>
          <w:lang w:val="en-US" w:eastAsia="zh-CN"/>
        </w:rPr>
        <w:t>11</w:t>
      </w:r>
      <w:r>
        <w:rPr>
          <w:rFonts w:hint="eastAsia" w:ascii="方正仿宋_GB2312" w:hAnsi="方正仿宋_GB2312" w:eastAsia="方正仿宋_GB2312" w:cs="方正仿宋_GB2312"/>
          <w:sz w:val="32"/>
          <w:szCs w:val="32"/>
          <w:highlight w:val="none"/>
        </w:rPr>
        <w:t>名，工勤2名。在职人员总数</w:t>
      </w:r>
      <w:r>
        <w:rPr>
          <w:rFonts w:hint="eastAsia" w:ascii="方正仿宋_GB2312" w:hAnsi="方正仿宋_GB2312" w:eastAsia="方正仿宋_GB2312" w:cs="方正仿宋_GB2312"/>
          <w:sz w:val="32"/>
          <w:szCs w:val="32"/>
          <w:highlight w:val="none"/>
          <w:lang w:val="en-US" w:eastAsia="zh-CN"/>
        </w:rPr>
        <w:t>30</w:t>
      </w:r>
      <w:r>
        <w:rPr>
          <w:rFonts w:hint="eastAsia" w:ascii="方正仿宋_GB2312" w:hAnsi="方正仿宋_GB2312" w:eastAsia="方正仿宋_GB2312" w:cs="方正仿宋_GB2312"/>
          <w:sz w:val="32"/>
          <w:szCs w:val="32"/>
          <w:highlight w:val="none"/>
        </w:rPr>
        <w:t>人，其中：</w:t>
      </w:r>
      <w:r>
        <w:rPr>
          <w:rFonts w:hint="eastAsia" w:ascii="方正仿宋_GB2312" w:hAnsi="方正仿宋_GB2312" w:eastAsia="方正仿宋_GB2312" w:cs="方正仿宋_GB2312"/>
          <w:sz w:val="32"/>
          <w:szCs w:val="32"/>
          <w:highlight w:val="none"/>
          <w:lang w:val="en-US" w:eastAsia="zh-CN"/>
        </w:rPr>
        <w:t>行政</w:t>
      </w:r>
      <w:r>
        <w:rPr>
          <w:rFonts w:hint="eastAsia" w:ascii="方正仿宋_GB2312" w:hAnsi="方正仿宋_GB2312" w:eastAsia="方正仿宋_GB2312" w:cs="方正仿宋_GB2312"/>
          <w:sz w:val="32"/>
          <w:szCs w:val="32"/>
          <w:highlight w:val="none"/>
        </w:rPr>
        <w:t>1</w:t>
      </w:r>
      <w:r>
        <w:rPr>
          <w:rFonts w:hint="eastAsia" w:ascii="方正仿宋_GB2312" w:hAnsi="方正仿宋_GB2312" w:eastAsia="方正仿宋_GB2312" w:cs="方正仿宋_GB2312"/>
          <w:sz w:val="32"/>
          <w:szCs w:val="32"/>
          <w:highlight w:val="none"/>
          <w:lang w:val="en-US" w:eastAsia="zh-CN"/>
        </w:rPr>
        <w:t>9</w:t>
      </w:r>
      <w:r>
        <w:rPr>
          <w:rFonts w:hint="eastAsia" w:ascii="方正仿宋_GB2312" w:hAnsi="方正仿宋_GB2312" w:eastAsia="方正仿宋_GB2312" w:cs="方正仿宋_GB2312"/>
          <w:sz w:val="32"/>
          <w:szCs w:val="32"/>
          <w:highlight w:val="none"/>
        </w:rPr>
        <w:t>人</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事业单位</w:t>
      </w:r>
      <w:r>
        <w:rPr>
          <w:rFonts w:hint="eastAsia" w:ascii="方正仿宋_GB2312" w:hAnsi="方正仿宋_GB2312" w:eastAsia="方正仿宋_GB2312" w:cs="方正仿宋_GB2312"/>
          <w:sz w:val="32"/>
          <w:szCs w:val="32"/>
          <w:highlight w:val="none"/>
          <w:lang w:val="en-US" w:eastAsia="zh-CN"/>
        </w:rPr>
        <w:t>9</w:t>
      </w:r>
      <w:r>
        <w:rPr>
          <w:rFonts w:hint="eastAsia" w:ascii="方正仿宋_GB2312" w:hAnsi="方正仿宋_GB2312" w:eastAsia="方正仿宋_GB2312" w:cs="方正仿宋_GB2312"/>
          <w:sz w:val="32"/>
          <w:szCs w:val="32"/>
          <w:highlight w:val="none"/>
        </w:rPr>
        <w:t>人，行政工勤人员</w:t>
      </w:r>
      <w:r>
        <w:rPr>
          <w:rFonts w:hint="eastAsia" w:ascii="方正仿宋_GB2312" w:hAnsi="方正仿宋_GB2312" w:eastAsia="方正仿宋_GB2312" w:cs="方正仿宋_GB2312"/>
          <w:sz w:val="32"/>
          <w:szCs w:val="32"/>
          <w:highlight w:val="none"/>
          <w:lang w:val="en-US" w:eastAsia="zh-CN"/>
        </w:rPr>
        <w:t>2</w:t>
      </w:r>
      <w:r>
        <w:rPr>
          <w:rFonts w:hint="eastAsia" w:ascii="方正仿宋_GB2312" w:hAnsi="方正仿宋_GB2312" w:eastAsia="方正仿宋_GB2312" w:cs="方正仿宋_GB2312"/>
          <w:sz w:val="32"/>
          <w:szCs w:val="32"/>
          <w:highlight w:val="none"/>
        </w:rPr>
        <w:t>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二、部门财政资金收支情况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（一）部门财政资金收入情况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kern w:val="2"/>
          <w:sz w:val="32"/>
          <w:szCs w:val="32"/>
          <w:lang w:val="en-US" w:eastAsia="zh-CN" w:bidi="ar-SA"/>
        </w:rPr>
        <w:t>黑水县洛多乡人民政府2025年部门预算总收入1007.09万元，其中：一般公共预算财政拨款收入1007.09万元，占100%</w:t>
      </w:r>
      <w:r>
        <w:rPr>
          <w:rFonts w:hint="eastAsia" w:ascii="方正仿宋_GB2312" w:hAnsi="方正仿宋_GB2312" w:eastAsia="方正仿宋_GB2312" w:cs="方正仿宋_GB231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（二）部门财政资金支出情况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方正仿宋_GB2312" w:hAnsi="方正仿宋_GB2312" w:eastAsia="方正仿宋_GB2312" w:cs="方正仿宋_GB2312"/>
          <w:sz w:val="32"/>
          <w:szCs w:val="32"/>
          <w:lang w:val="en-US"/>
        </w:rPr>
      </w:pPr>
      <w:r>
        <w:rPr>
          <w:rFonts w:hint="eastAsia" w:ascii="方正仿宋_GB2312" w:hAnsi="方正仿宋_GB2312" w:eastAsia="方正仿宋_GB2312" w:cs="方正仿宋_GB2312"/>
          <w:kern w:val="2"/>
          <w:sz w:val="32"/>
          <w:szCs w:val="32"/>
          <w:lang w:val="en-US" w:eastAsia="zh-CN" w:bidi="ar-SA"/>
        </w:rPr>
        <w:t>2025年部门预算支出1007.09万元，其中：工资福利支</w:t>
      </w:r>
      <w:r>
        <w:rPr>
          <w:rFonts w:hint="eastAsia" w:ascii="方正仿宋_GB2312" w:hAnsi="方正仿宋_GB2312" w:eastAsia="方正仿宋_GB2312" w:cs="方正仿宋_GB2312"/>
          <w:kern w:val="2"/>
          <w:sz w:val="32"/>
          <w:szCs w:val="32"/>
          <w:highlight w:val="none"/>
          <w:lang w:val="en-US" w:eastAsia="zh-CN" w:bidi="ar-SA"/>
        </w:rPr>
        <w:t>出622.004万元（基</w:t>
      </w:r>
      <w:r>
        <w:rPr>
          <w:rFonts w:hint="eastAsia" w:ascii="方正仿宋_GB2312" w:hAnsi="方正仿宋_GB2312" w:eastAsia="方正仿宋_GB2312" w:cs="方正仿宋_GB2312"/>
          <w:kern w:val="2"/>
          <w:sz w:val="32"/>
          <w:szCs w:val="32"/>
          <w:lang w:val="en-US" w:eastAsia="zh-CN" w:bidi="ar-SA"/>
        </w:rPr>
        <w:t>本工资122.47万元、津贴补贴146.64万元、奖金101.12万元、绩效工资83.5万元、机关事业单位基本养老保险缴费55.6万元、职业年金缴费27.8万元、城镇职工医疗保险28.98万元、公务员医疗补助5.48万元、其他社会保障缴费1.49万元、住房公积金48.86万元）；商品和服务支出140.26万元（办公费48.78万元、手续费：0.12万元、电费3.94万元、邮电费8.97万元、差旅费17.61万元、维修维护费42.21万元、培训费0.53万元、劳务费6万元、公务用车维修运行费4.75万元、福利费1.1万元、其他交通费用1万元、其他商品和服务支出5.26万元。）；对个人和家庭的补助158.63万元（生活补助155.05万元、医疗费3.57万元、奖励金0.0072万元）。资本性支出86.19万元（办公设备购置3.44万元、基础设施维修建设82.75万元）</w:t>
      </w:r>
      <w:r>
        <w:rPr>
          <w:rFonts w:hint="eastAsia" w:ascii="方正仿宋_GB2312" w:hAnsi="方正仿宋_GB2312" w:cs="方正仿宋_GB2312"/>
          <w:kern w:val="2"/>
          <w:sz w:val="32"/>
          <w:szCs w:val="32"/>
          <w:lang w:val="en-US" w:eastAsia="zh-CN" w:bidi="ar-SA"/>
        </w:rPr>
        <w:t>。</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部门整体预算绩效管理情况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rPr>
      </w:pPr>
      <w:r>
        <w:rPr>
          <w:rFonts w:hint="eastAsia" w:ascii="仿宋_GB2312" w:hAnsi="仿宋" w:eastAsia="仿宋_GB2312" w:cs="仿宋_GB2312"/>
          <w:sz w:val="32"/>
          <w:szCs w:val="32"/>
        </w:rPr>
        <w:t>我单位绩效评价总分为95分。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zh-CN" w:eastAsia="zh-CN"/>
        </w:rPr>
      </w:pPr>
      <w:r>
        <w:rPr>
          <w:rFonts w:hint="eastAsia" w:ascii="楷体_GB2312" w:hAnsi="楷体_GB2312" w:eastAsia="楷体_GB2312" w:cs="楷体_GB2312"/>
          <w:sz w:val="32"/>
          <w:szCs w:val="32"/>
          <w:lang w:val="zh-CN" w:eastAsia="zh-CN"/>
        </w:rPr>
        <w:t>（一）部门预算总体绩效分析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1.履职效能。（得分：15分）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2025年以来，黑水县洛多乡人民政府提高政治站位，认真抓好党的二十大精神、省州全会精神的学习宣传贯彻落实，用习近平新时代中国特色社会主义思想武装头脑、指导实践、推动工作。2025年做好了如下几项重点工作：1.厚植生态本底，做强特色产业。推广生态养殖模式。重点推进种草养畜产业提质增效，通过引进优质牧草品种、推广科学养殖技术，创新实施“以草定畜、草畜配套”生态养殖模式。全年发放黑麦草种子2.2万公斤，复合肥22.5吨，网围栏4000米。提升抗灾保畜能力。组织126户农户开展饲草种植，完成草场改良900亩。申报储备饲草691吨，兑现饲草补贴14.8万元，牲畜越冬死亡率将下降6—9个百分点。2.狠抓项目建设，夯实发展支撑。若苏古村生产便桥工程完成100%，已投入使用。积极开展2025年村基础设施维修维护项目，投入资金24.8万元用于全乡道路等设施维修维护，目前已全部完成。干部周转房建设项目进展顺利，主体工程与简装已完成100%，目前待验收。所有项目均严格落实生态环境保护要求，做到建设与保护并重。3.健全监测机制，守住防返贫底线。严格落实“四个不摘”要求，常态化抓好动态监测，完成摸排省级行业部门信息推送7条，村组网格监测风险信息1条。纳入监测户1户，消除风险1户。脱贫户、监测户动态调整10条。强化帮扶措施落实，开发公益性岗位12个，小额信贷逾期催缴1户，外出务工交通补贴申报252人，发放21.9万元。申报产业奖补65人，金额9.8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2.预算管理。（得分：24分）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（1）预算编制质量：我乡部门严格按照州、县预算编制要求，按时完成基础信息、项目库的报送工作，完成基础信息的更新，按时完成预算编制并提交部门预算草案。（得分：8分）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（2）单位收入统筹：我乡无超出预算的统筹收入。（得分：4分）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（3）支出执行进度：我乡1至12月预算执行达标。（得分：5分）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（4）预算年终结余：我乡年终无预算结余情况。（得分：2分）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5）严控一般性支出：我乡严控“三公”经费、会议、培训、差旅、办节办展、办公设备购置、信息网络及软件购置更新、特别注意对预算编制准确性的把握，并严格按照要求进行预算执行调整。按时完成待批复提前细化。部门预算在财政部门批复后及时填报预算公示报表报财政审核在政府信息公开网上公示。（得分：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3.财务管理。（得分：10分）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（1）财务管理制度：建立和完善了财务管理相关的各项管理制度。（得分：4分）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（2）财务岗位设置：建立好出纳与会计之间的监督机制，‌确保财务岗位的设置能够满足供销社的日常运营需求，‌同时能够有效防止财务风险，‌提高财务管理效率。（得分：2分）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‌‌（3）资金使用规范：建立相关财务管理制度规定，‌确保资金的使用和资产管理严格遵循相关制度，‌以提高财务管理效率和透明度；同时对资金的使用有严谨的程序，确保资金的规范使用。（得分：4分）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4.资产管理。（得分：7分）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（1）人均资产变化率：我乡2025年有新增固定资产。（得分：3分）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（2）资产利用率：随着时代进步，办公类资产更新换代较快，我单位确有少数资产的利用率不高。（得分：1分）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（3）资产盘活率：我乡无闲置资产，且明确了具体责任人，完善了固定资产档案，严格报批、销毁等手续，做好资产登记工作，单位无任何资产流失现象。（得分：3分）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5.采购管理。（得分：6分）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（1）支持中小企业发展：我乡严格执行政府采购促进中小企业发展相关管理办法。（得分：3分）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（2）采购执行率：我乡严格采购执行率进行绩效分析。（得分：3分）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zh-CN" w:eastAsia="zh-CN"/>
        </w:rPr>
      </w:pPr>
      <w:r>
        <w:rPr>
          <w:rFonts w:hint="eastAsia" w:ascii="楷体_GB2312" w:hAnsi="楷体_GB2312" w:eastAsia="楷体_GB2312" w:cs="楷体_GB2312"/>
          <w:sz w:val="32"/>
          <w:szCs w:val="32"/>
          <w:lang w:val="zh-CN" w:eastAsia="zh-CN"/>
        </w:rPr>
        <w:t>（二）部门预算管理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_GB2312"/>
          <w:sz w:val="32"/>
          <w:szCs w:val="32"/>
        </w:rPr>
      </w:pPr>
      <w:r>
        <w:rPr>
          <w:rFonts w:hint="eastAsia" w:ascii="仿宋_GB2312" w:hAnsi="仿宋" w:eastAsia="仿宋_GB2312" w:cs="仿宋_GB2312"/>
          <w:sz w:val="32"/>
          <w:szCs w:val="32"/>
        </w:rPr>
        <w:t>包括部门绩效目标制定、目标完成、预算编制准确、支出控制、预算动态调整、执行进度、预算完成情况和违规记录等情况。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zh-CN" w:eastAsia="zh-CN"/>
        </w:rPr>
      </w:pPr>
      <w:r>
        <w:rPr>
          <w:rFonts w:hint="eastAsia" w:ascii="楷体_GB2312" w:hAnsi="楷体_GB2312" w:eastAsia="楷体_GB2312" w:cs="楷体_GB2312"/>
          <w:sz w:val="32"/>
          <w:szCs w:val="32"/>
          <w:lang w:val="zh-CN" w:eastAsia="zh-CN"/>
        </w:rPr>
        <w:t>（三）专项预算管理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我单位开展常年项目绩效分析。该类项目总数7个，涉及预算总金额208.17万元，1—12月预算执行总体进度为100.00%，其中：预算结余率大于10%的项目共计0个。</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阶段（一次性）项目绩效分析。该类项目总数3个，涉及预算总金额88.19万元，1—12月预算执行总体进度为100%，其中：预算结余率大于10%的项目共计0个。</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1.项目决策。（得分：12分）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（1）决策程序：我乡严格围绕决策程序进行，按规定履行评估论证以及申报程序。（得分：4分）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（2）目标设置：我乡预算任务与实际任务相同，预算资金与实际支付相符，绩效目标设置按照科学合理、规范完整、量化细化、预算匹配进行制定。（得分：4分）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（3）项目入库：我乡在规定时间内完成了项目入库。（得分：4分）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2.项目执行。（得分：9分）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（1）执行同向：我乡项目的实际列支内容与我单位制定的绩效目标设置相符。（得分：4分）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（2）项目调整：绩效评价体系是近几年才逐步开展，尽管我乡很重视，但是对于可能存在的项目调整暂无有效措施。（得分：1分）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执行结果：我乡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3.目标实现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（1）目标完成：我乡项目完成设置的绩效目标数量指标。（得分：4分）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（2）项目调整：我乡预算项目绩效目标数量指标与实际完成程度相符。（得分：4分）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执行结果：项目实际完成时间与计划完成时间相符，项目能够完成预期目标，实施结果与绩效目标相匹配，项目实际完成情况与预期总体绩效目标设置合理性的偏离度≤15%，绩效目标科学合理、规范完整、量化细化、预算匹配。（得分：3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zh-CN" w:eastAsia="zh-CN"/>
        </w:rPr>
      </w:pPr>
      <w:r>
        <w:rPr>
          <w:rFonts w:hint="eastAsia" w:ascii="方正仿宋_GB2312" w:hAnsi="方正仿宋_GB2312" w:eastAsia="方正仿宋_GB2312" w:cs="方正仿宋_GB2312"/>
          <w:sz w:val="32"/>
          <w:szCs w:val="32"/>
          <w:lang w:val="zh-CN" w:eastAsia="zh-CN"/>
        </w:rPr>
        <w:t>（四）结果应用情况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从自评情况来看，我乡部门预算支出在保障本单位工作运转、履行职能职责上整体情况良好，预算编制比较精确、合理；为认真落实落实中央八项规定精神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评价结论及建议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2312" w:hAnsi="方正楷体_GB2312" w:eastAsia="方正楷体_GB2312" w:cs="方正楷体_GB2312"/>
          <w:sz w:val="32"/>
          <w:szCs w:val="32"/>
          <w:lang w:val="zh-CN" w:eastAsia="zh-CN"/>
        </w:rPr>
      </w:pPr>
      <w:r>
        <w:rPr>
          <w:rFonts w:hint="eastAsia" w:ascii="方正楷体_GB2312" w:hAnsi="方正楷体_GB2312" w:eastAsia="方正楷体_GB2312" w:cs="方正楷体_GB2312"/>
          <w:sz w:val="32"/>
          <w:szCs w:val="32"/>
          <w:lang w:val="zh-CN" w:eastAsia="zh-CN"/>
        </w:rPr>
        <w:t>（一）评价结论</w:t>
      </w:r>
    </w:p>
    <w:p>
      <w:pPr>
        <w:pStyle w:val="10"/>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color w:val="000000"/>
          <w:kern w:val="0"/>
          <w:sz w:val="32"/>
          <w:szCs w:val="32"/>
          <w:shd w:val="clear" w:color="auto" w:fill="FFFFFF"/>
          <w:lang w:val="en-US" w:eastAsia="zh-CN" w:bidi="ar"/>
        </w:rPr>
        <w:t>洛多乡2025年度整体绩效评价综合得分为95分，本年度财政资金支出符合国家的政策，与实际需求高度相关，在项目实施过程中按实际需要实施，具有较好的经济效益和社会效益，项目实施较好。项目后期政策、资金、人员的落实，为项目可持续运行提供了较好的保障，具有高度持续性。我单位部门预算支出在保障本单位工作运转、履行职能职责上整体情况良好，整体上完成了年初设定的绩效目标，保障了我单位工作的正常运转，促进了我单位的事业发展，充分发挥了财政资金的经济效益和社会效益。洛多乡2025年度整体绩效评价综合得分为95分，本年度财政资金支出符合国家的政策，与实际需求高度相关，在项目实施过程中按实际需要实施，具有较好的经济效益和社会效益，项目实施较好。项目后期政策、资金、人员的落实，为项目可持续运行提供了较好的保障，具有高度持续性。我单位部门预算支出在保障本单位工作运转、履行职能职责上整体情况良好，整体上完成了年初设定的绩效目标，保障了我单位工作的正常运转，促进了我单位的事业发展，充分发挥了财政资金的经济效益和社会效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2312" w:hAnsi="方正楷体_GB2312" w:eastAsia="方正楷体_GB2312" w:cs="方正楷体_GB2312"/>
          <w:b w:val="0"/>
          <w:bCs w:val="0"/>
          <w:sz w:val="32"/>
          <w:szCs w:val="32"/>
          <w:lang w:val="zh-CN" w:eastAsia="zh-CN"/>
        </w:rPr>
      </w:pPr>
      <w:r>
        <w:rPr>
          <w:rFonts w:hint="eastAsia" w:ascii="方正楷体_GB2312" w:hAnsi="方正楷体_GB2312" w:eastAsia="方正楷体_GB2312" w:cs="方正楷体_GB2312"/>
          <w:b w:val="0"/>
          <w:bCs w:val="0"/>
          <w:sz w:val="32"/>
          <w:szCs w:val="32"/>
          <w:lang w:val="zh-CN" w:eastAsia="zh-CN"/>
        </w:rPr>
        <w:t>（二）存在问题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从绩效评价看，部门支出预算和绩效评价工作还存在部分项目无法用量化指标来进行考评的问题。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2312" w:hAnsi="方正楷体_GB2312" w:eastAsia="方正楷体_GB2312" w:cs="方正楷体_GB2312"/>
          <w:sz w:val="32"/>
          <w:szCs w:val="32"/>
          <w:lang w:val="zh-CN" w:eastAsia="zh-CN"/>
        </w:rPr>
      </w:pPr>
      <w:r>
        <w:rPr>
          <w:rFonts w:hint="eastAsia" w:ascii="方正楷体_GB2312" w:hAnsi="方正楷体_GB2312" w:eastAsia="方正楷体_GB2312" w:cs="方正楷体_GB2312"/>
          <w:sz w:val="32"/>
          <w:szCs w:val="32"/>
          <w:lang w:val="zh-CN" w:eastAsia="zh-CN"/>
        </w:rPr>
        <w:t>（三）改进建议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方正仿宋_GB2312" w:hAnsi="方正仿宋_GB2312" w:eastAsia="方正仿宋_GB2312" w:cs="方正仿宋_GB2312"/>
          <w:sz w:val="32"/>
          <w:szCs w:val="32"/>
          <w:lang w:val="en-US" w:eastAsia="zh-CN"/>
        </w:rPr>
        <w:t>建议加强对绩效评价工作的培训和指导，进一步优化项目绩效考核指标体系，做到合理性与可操作性的有机统一。</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 xml:space="preserve"> </w:t>
      </w:r>
    </w:p>
    <w:p>
      <w:pPr>
        <w:keepNext w:val="0"/>
        <w:keepLines w:val="0"/>
        <w:pageBreakBefore w:val="0"/>
        <w:kinsoku/>
        <w:wordWrap/>
        <w:overflowPunct/>
        <w:topLinePunct w:val="0"/>
        <w:autoSpaceDE/>
        <w:autoSpaceDN/>
        <w:bidi w:val="0"/>
        <w:spacing w:line="578" w:lineRule="exact"/>
        <w:jc w:val="left"/>
        <w:textAlignment w:val="auto"/>
        <w:rPr>
          <w:rFonts w:hint="eastAsia"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hAnsi="Times New Roman" w:eastAsia="黑体" w:cs="Times New Roman"/>
          <w:kern w:val="2"/>
          <w:sz w:val="32"/>
          <w:szCs w:val="24"/>
          <w:highlight w:val="none"/>
          <w:lang w:val="en-US" w:eastAsia="zh-CN" w:bidi="ar-SA"/>
        </w:rPr>
        <w:t>1</w:t>
      </w: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r>
        <w:rPr>
          <w:rFonts w:hint="eastAsia" w:ascii="Times New Roman" w:hAnsi="Times New Roman" w:eastAsia="方正小标宋简体" w:cs="Times New Roman"/>
          <w:i w:val="0"/>
          <w:color w:val="000000"/>
          <w:kern w:val="0"/>
          <w:sz w:val="44"/>
          <w:szCs w:val="44"/>
          <w:u w:val="none"/>
          <w:lang w:val="en-US" w:eastAsia="zh-CN" w:bidi="ar"/>
        </w:rPr>
        <w:t>部门预算绩效自评打分表</w:t>
      </w:r>
    </w:p>
    <w:tbl>
      <w:tblPr>
        <w:tblStyle w:val="6"/>
        <w:tblW w:w="10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4"/>
        <w:gridCol w:w="1462"/>
        <w:gridCol w:w="1665"/>
        <w:gridCol w:w="604"/>
        <w:gridCol w:w="5183"/>
        <w:gridCol w:w="540"/>
        <w:gridCol w:w="3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73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绩效评价指标分值</w:t>
            </w:r>
          </w:p>
        </w:tc>
        <w:tc>
          <w:tcPr>
            <w:tcW w:w="518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54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361"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4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18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540"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361"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履职效能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（15分）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预算编制与执行履职效果</w:t>
            </w:r>
          </w:p>
        </w:tc>
        <w:tc>
          <w:tcPr>
            <w:tcW w:w="604" w:type="dxa"/>
            <w:vMerge w:val="restart"/>
            <w:tcBorders>
              <w:top w:val="nil"/>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183"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部门整体绩效目标中选定3</w:t>
            </w:r>
            <w:r>
              <w:rPr>
                <w:rFonts w:hint="eastAsia" w:ascii="宋体" w:hAnsi="宋体" w:cs="宋体"/>
                <w:i w:val="0"/>
                <w:color w:val="000000"/>
                <w:kern w:val="0"/>
                <w:sz w:val="24"/>
                <w:szCs w:val="24"/>
                <w:u w:val="none"/>
                <w:lang w:val="en-US" w:eastAsia="zh-CN" w:bidi="ar"/>
              </w:rPr>
              <w:t>—</w:t>
            </w:r>
            <w:r>
              <w:rPr>
                <w:rFonts w:hint="eastAsia" w:ascii="宋体" w:hAnsi="宋体" w:eastAsia="宋体" w:cs="宋体"/>
                <w:i w:val="0"/>
                <w:color w:val="000000"/>
                <w:kern w:val="0"/>
                <w:sz w:val="24"/>
                <w:szCs w:val="24"/>
                <w:u w:val="none"/>
                <w:lang w:val="en-US" w:eastAsia="zh-CN" w:bidi="ar"/>
              </w:rPr>
              <w:t>5个核心职能目标，反映该项职能目标完成效果情况</w:t>
            </w:r>
          </w:p>
        </w:tc>
        <w:tc>
          <w:tcPr>
            <w:tcW w:w="54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46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社会服务与群众满意度</w:t>
            </w:r>
          </w:p>
        </w:tc>
        <w:tc>
          <w:tcPr>
            <w:tcW w:w="6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5183"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540"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46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政府采购</w:t>
            </w:r>
          </w:p>
        </w:tc>
        <w:tc>
          <w:tcPr>
            <w:tcW w:w="6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5183"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540"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46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产业发展和乡村振兴</w:t>
            </w:r>
          </w:p>
        </w:tc>
        <w:tc>
          <w:tcPr>
            <w:tcW w:w="604"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5183"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540"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（25分）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预算编制质量</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部门是否严格按要求编制年初部门预算，年初预算编制的科学性和准确性</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8</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单位收入统筹</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部门统筹自有收入程度</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支出执行进度</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部门1至6月、1至10月预算执行情况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5</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预算年终结余</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部门整体年终预算结余情况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严控一般性支出</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部门严控“三公”经费、会议、培训、差旅、办节办展、办公设备购置、信息网络及软件购置更新、课题经费等8项一般性支出情况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5</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财务管理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财务管理制度</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部门财务管理制度建立情况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财务岗位设置</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部门财务岗位设置是否符合相关财务管理制度要求</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资金使用规范</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部门资金使用是否符合相关财务管理制度规定</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人均资产变化率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部门人均资产变化情况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资产利用率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部门资产超最低使用年限情况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资产盘活率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部门闲置一年以上的资产盘活情况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采购管理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支持中小企业发展</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部门是否严格执行政府采购促进中小企业发展相关管理办法</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采购执行率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部门政府采购项目资金支付比例情况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（35分）</w:t>
            </w:r>
          </w:p>
        </w:tc>
        <w:tc>
          <w:tcPr>
            <w:tcW w:w="1462" w:type="dxa"/>
            <w:vMerge w:val="restart"/>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部门预算项目设立是否按规定履行评估论证、申报程序</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目标设置</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部门预算项目绩效目标与计划期内的任务量、预算安排的资金量匹配情况，绩效目标设置是否科学合理、规范完整、量化细化、预算匹配</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项目入库</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部门预算项目是否在规定时</w:t>
            </w:r>
            <w:r>
              <w:rPr>
                <w:rFonts w:hint="eastAsia" w:ascii="宋体" w:hAnsi="宋体" w:cs="宋体"/>
                <w:i w:val="0"/>
                <w:color w:val="000000"/>
                <w:kern w:val="0"/>
                <w:sz w:val="24"/>
                <w:szCs w:val="24"/>
                <w:u w:val="none"/>
                <w:lang w:val="en-US" w:eastAsia="zh-CN" w:bidi="ar"/>
              </w:rPr>
              <w:t>间内</w:t>
            </w:r>
            <w:r>
              <w:rPr>
                <w:rFonts w:hint="eastAsia" w:ascii="宋体" w:hAnsi="宋体" w:eastAsia="宋体" w:cs="宋体"/>
                <w:i w:val="0"/>
                <w:color w:val="000000"/>
                <w:kern w:val="0"/>
                <w:sz w:val="24"/>
                <w:szCs w:val="24"/>
                <w:u w:val="none"/>
                <w:lang w:val="en-US" w:eastAsia="zh-CN" w:bidi="ar"/>
              </w:rPr>
              <w:t>完成项目入库</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项目执行</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执行同向</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部门预算项目实际列支内容是否与绩效目标设置方向相符</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项目调整</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部门预算项目是否采取对应调整措施</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执行结果</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部门预算项目预算执行情况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目标实现</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（11分）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部门预算项目绩效目标数量指标完成情况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目标偏离</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部门预算项目绩效目标数量指标实现程度与预期目标的偏离情况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实现效果</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部门预算项目绩效目标效益指标实施效果</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312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被评价部门配合度</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hAnsi="Times New Roman" w:eastAsia="黑体" w:cs="Times New Roman"/>
          <w:kern w:val="2"/>
          <w:sz w:val="32"/>
          <w:szCs w:val="24"/>
          <w:highlight w:val="none"/>
          <w:lang w:val="en-US" w:eastAsia="zh-CN" w:bidi="ar-SA"/>
        </w:rPr>
        <w:t>2</w:t>
      </w:r>
    </w:p>
    <w:tbl>
      <w:tblPr>
        <w:tblStyle w:val="6"/>
        <w:tblW w:w="105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309"/>
        <w:gridCol w:w="851"/>
        <w:gridCol w:w="1035"/>
        <w:gridCol w:w="2370"/>
        <w:gridCol w:w="1004"/>
        <w:gridCol w:w="894"/>
        <w:gridCol w:w="1058"/>
        <w:gridCol w:w="926"/>
        <w:gridCol w:w="11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2" w:hRule="exact"/>
          <w:jc w:val="center"/>
        </w:trPr>
        <w:tc>
          <w:tcPr>
            <w:tcW w:w="10560"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default" w:ascii="Times New Roman" w:hAnsi="Times New Roman" w:eastAsia="黑体" w:cs="Times New Roman"/>
                <w:i w:val="0"/>
                <w:color w:val="000000"/>
                <w:sz w:val="28"/>
                <w:szCs w:val="28"/>
                <w:u w:val="none"/>
              </w:rPr>
            </w:pPr>
            <w:r>
              <w:rPr>
                <w:rFonts w:hint="default" w:ascii="Times New Roman" w:hAnsi="Times New Roman" w:eastAsia="方正小标宋简体" w:cs="Times New Roman"/>
                <w:i w:val="0"/>
                <w:color w:val="000000"/>
                <w:kern w:val="0"/>
                <w:sz w:val="44"/>
                <w:szCs w:val="44"/>
                <w:u w:val="none"/>
                <w:lang w:val="en-US" w:eastAsia="zh-CN" w:bidi="ar"/>
              </w:rPr>
              <w:t>部门整体绩效目标完成情况自评表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8"/>
                <w:szCs w:val="28"/>
                <w:u w:val="none"/>
              </w:rPr>
            </w:pPr>
            <w:r>
              <w:rPr>
                <w:rFonts w:hint="default" w:ascii="Times New Roman" w:hAnsi="Times New Roman" w:eastAsia="宋体" w:cs="Times New Roman"/>
                <w:i w:val="0"/>
                <w:color w:val="000000"/>
                <w:kern w:val="0"/>
                <w:sz w:val="28"/>
                <w:szCs w:val="28"/>
                <w:u w:val="none"/>
                <w:lang w:val="en-US" w:eastAsia="zh-CN" w:bidi="ar"/>
              </w:rPr>
              <w:t>（202</w:t>
            </w:r>
            <w:r>
              <w:rPr>
                <w:rFonts w:hint="eastAsia" w:ascii="Times New Roman" w:hAnsi="Times New Roman" w:eastAsia="宋体" w:cs="Times New Roman"/>
                <w:i w:val="0"/>
                <w:color w:val="000000"/>
                <w:kern w:val="0"/>
                <w:sz w:val="28"/>
                <w:szCs w:val="28"/>
                <w:u w:val="none"/>
                <w:lang w:val="en-US" w:eastAsia="zh-CN" w:bidi="ar"/>
              </w:rPr>
              <w:t>5</w:t>
            </w:r>
            <w:r>
              <w:rPr>
                <w:rFonts w:hint="default" w:ascii="Times New Roman" w:hAnsi="Times New Roman" w:eastAsia="宋体" w:cs="Times New Roman"/>
                <w:i w:val="0"/>
                <w:color w:val="000000"/>
                <w:kern w:val="0"/>
                <w:sz w:val="28"/>
                <w:szCs w:val="28"/>
                <w:u w:val="none"/>
                <w:lang w:val="en-US" w:eastAsia="zh-CN" w:bidi="ar"/>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10560" w:type="dxa"/>
            <w:gridSpan w:val="9"/>
            <w:tcBorders>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center"/>
              <w:outlineLvl w:val="9"/>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3195"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部门名称</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lang w:val="en-US" w:eastAsia="zh-CN"/>
              </w:rPr>
              <w:t>黑水县洛多乡</w:t>
            </w:r>
            <w:r>
              <w:rPr>
                <w:rFonts w:hint="eastAsia" w:ascii="Times New Roman" w:hAnsi="Times New Roman" w:eastAsia="宋体" w:cs="Times New Roman"/>
                <w:i w:val="0"/>
                <w:color w:val="000000"/>
                <w:sz w:val="24"/>
                <w:szCs w:val="24"/>
                <w:u w:val="none"/>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年度部门整体支出预算</w:t>
            </w: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资金总额</w:t>
            </w:r>
          </w:p>
        </w:tc>
        <w:tc>
          <w:tcPr>
            <w:tcW w:w="337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财政拨款</w:t>
            </w:r>
          </w:p>
        </w:tc>
        <w:tc>
          <w:tcPr>
            <w:tcW w:w="399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 w:eastAsia="仿宋" w:cs="仿宋"/>
                <w:kern w:val="2"/>
                <w:sz w:val="32"/>
                <w:szCs w:val="32"/>
                <w:lang w:val="en-US" w:eastAsia="zh-CN" w:bidi="ar-SA"/>
              </w:rPr>
              <w:t>1007.09</w:t>
            </w:r>
            <w:r>
              <w:rPr>
                <w:rFonts w:hint="eastAsia" w:ascii="仿宋" w:hAnsi="Calibri" w:eastAsia="仿宋" w:cs="仿宋"/>
                <w:kern w:val="2"/>
                <w:sz w:val="32"/>
                <w:szCs w:val="32"/>
                <w:lang w:val="en-US" w:eastAsia="zh-CN" w:bidi="ar-SA"/>
              </w:rPr>
              <w:t>万元</w:t>
            </w:r>
          </w:p>
        </w:tc>
        <w:tc>
          <w:tcPr>
            <w:tcW w:w="337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 w:eastAsia="仿宋" w:cs="仿宋"/>
                <w:kern w:val="2"/>
                <w:sz w:val="32"/>
                <w:szCs w:val="32"/>
                <w:lang w:val="en-US" w:eastAsia="zh-CN" w:bidi="ar-SA"/>
              </w:rPr>
              <w:t>1007.09</w:t>
            </w:r>
            <w:r>
              <w:rPr>
                <w:rFonts w:hint="eastAsia" w:ascii="仿宋" w:hAnsi="Calibri" w:eastAsia="仿宋" w:cs="仿宋"/>
                <w:kern w:val="2"/>
                <w:sz w:val="32"/>
                <w:szCs w:val="32"/>
                <w:lang w:val="en-US" w:eastAsia="zh-CN" w:bidi="ar-SA"/>
              </w:rPr>
              <w:t>万元</w:t>
            </w:r>
          </w:p>
        </w:tc>
        <w:tc>
          <w:tcPr>
            <w:tcW w:w="399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 w:eastAsia="仿宋" w:cs="仿宋"/>
                <w:kern w:val="2"/>
                <w:sz w:val="32"/>
                <w:szCs w:val="32"/>
                <w:lang w:val="en-US" w:eastAsia="zh-CN" w:bidi="ar-SA"/>
              </w:rPr>
              <w:t>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年度总体</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w:t>
            </w:r>
          </w:p>
        </w:tc>
        <w:tc>
          <w:tcPr>
            <w:tcW w:w="925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黑水县洛多乡人民政府是基层国家行政机关，行使本行政区域的政府行政效能，根据有关文件规定，主要职责是：宣传和贯彻执行上级各部门及本乡的各项政策、法规、决议等；讨论决定全乡经济建设和社会发展中的重大问题；加强党委自身建设和以党支部为核心的村级组织建设；按照干部管理权限，负责对本级乡村干部的教育、管理、培训、选拔和监督工作，并实现村级财务统一由乡代管；认真做好全乡综治维稳、经济发展、教育、文化、卫生、计划生育，环境、国土、安全生产监督管理工作。完成上级部门交办的其他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1309"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年度主要</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w:t>
            </w: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任务名称</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主要内容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1.基本支出：定额日常公用经费</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办公费48.78万元、手续费：0.12</w:t>
            </w:r>
            <w:r>
              <w:rPr>
                <w:rFonts w:hint="eastAsia" w:cs="Times New Roman"/>
                <w:i w:val="0"/>
                <w:color w:val="000000"/>
                <w:sz w:val="24"/>
                <w:szCs w:val="24"/>
                <w:u w:val="none"/>
                <w:lang w:val="en-US" w:eastAsia="zh-CN"/>
              </w:rPr>
              <w:t>万元</w:t>
            </w:r>
            <w:r>
              <w:rPr>
                <w:rFonts w:hint="eastAsia" w:ascii="Times New Roman" w:hAnsi="Times New Roman" w:eastAsia="宋体" w:cs="Times New Roman"/>
                <w:i w:val="0"/>
                <w:color w:val="000000"/>
                <w:sz w:val="24"/>
                <w:szCs w:val="24"/>
                <w:u w:val="none"/>
                <w:lang w:val="en-US" w:eastAsia="zh-CN"/>
              </w:rPr>
              <w:t>、电费3.94万元、邮电费8.97万元、差旅费17.61万元、维修维护费42.21万元、培训费0.53万元、劳务费6万元、公务用车维修运行费4.75万元、福利费1.1万元、其他交通费用1万元、其他商品和服务支出5.26万元。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2.基本支出：保障人员经费按时发放缴纳</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在职人员</w:t>
            </w:r>
            <w:r>
              <w:rPr>
                <w:rFonts w:hint="eastAsia" w:ascii="Times New Roman" w:hAnsi="Times New Roman" w:cs="Times New Roman"/>
                <w:i w:val="0"/>
                <w:color w:val="000000"/>
                <w:sz w:val="24"/>
                <w:szCs w:val="24"/>
                <w:u w:val="none"/>
                <w:lang w:val="en-US" w:eastAsia="zh-CN"/>
              </w:rPr>
              <w:t>31</w:t>
            </w:r>
            <w:r>
              <w:rPr>
                <w:rFonts w:hint="default" w:ascii="Times New Roman" w:hAnsi="Times New Roman" w:eastAsia="宋体" w:cs="Times New Roman"/>
                <w:i w:val="0"/>
                <w:color w:val="000000"/>
                <w:sz w:val="24"/>
                <w:szCs w:val="24"/>
                <w:u w:val="none"/>
                <w:lang w:val="en-US" w:eastAsia="zh-CN"/>
              </w:rPr>
              <w:t>人工资</w:t>
            </w:r>
            <w:r>
              <w:rPr>
                <w:rFonts w:hint="eastAsia" w:ascii="Times New Roman" w:hAnsi="Times New Roman" w:eastAsia="宋体" w:cs="Times New Roman"/>
                <w:i w:val="0"/>
                <w:color w:val="000000"/>
                <w:sz w:val="24"/>
                <w:szCs w:val="24"/>
                <w:u w:val="none"/>
                <w:lang w:val="en-US" w:eastAsia="zh-CN"/>
              </w:rPr>
              <w:t>和单位保险缴费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3.基本支出：</w:t>
            </w:r>
            <w:r>
              <w:rPr>
                <w:rFonts w:hint="eastAsia" w:ascii="Times New Roman" w:hAnsi="Times New Roman" w:eastAsia="宋体" w:cs="Times New Roman"/>
                <w:i w:val="0"/>
                <w:color w:val="000000"/>
                <w:sz w:val="24"/>
                <w:szCs w:val="24"/>
                <w:u w:val="none"/>
                <w:lang w:val="en-US" w:eastAsia="zh-CN"/>
              </w:rPr>
              <w:t>年度考核与绩效</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保障在职</w:t>
            </w:r>
            <w:r>
              <w:rPr>
                <w:rFonts w:hint="eastAsia" w:ascii="Times New Roman" w:hAnsi="Times New Roman" w:cs="Times New Roman"/>
                <w:i w:val="0"/>
                <w:color w:val="000000"/>
                <w:sz w:val="24"/>
                <w:szCs w:val="24"/>
                <w:u w:val="none"/>
                <w:lang w:val="en-US" w:eastAsia="zh-CN"/>
              </w:rPr>
              <w:t>31</w:t>
            </w:r>
            <w:r>
              <w:rPr>
                <w:rFonts w:hint="eastAsia" w:ascii="Times New Roman" w:hAnsi="Times New Roman" w:eastAsia="宋体" w:cs="Times New Roman"/>
                <w:i w:val="0"/>
                <w:color w:val="000000"/>
                <w:sz w:val="24"/>
                <w:szCs w:val="24"/>
                <w:u w:val="none"/>
                <w:lang w:val="en-US" w:eastAsia="zh-CN"/>
              </w:rPr>
              <w:t>人的</w:t>
            </w:r>
            <w:r>
              <w:rPr>
                <w:rFonts w:hint="eastAsia" w:cs="Times New Roman"/>
                <w:i w:val="0"/>
                <w:color w:val="000000"/>
                <w:sz w:val="24"/>
                <w:szCs w:val="24"/>
                <w:u w:val="none"/>
                <w:lang w:val="en-US" w:eastAsia="zh-CN"/>
              </w:rPr>
              <w:t>目标</w:t>
            </w:r>
            <w:r>
              <w:rPr>
                <w:rFonts w:hint="eastAsia" w:ascii="Times New Roman" w:hAnsi="Times New Roman" w:eastAsia="宋体" w:cs="Times New Roman"/>
                <w:i w:val="0"/>
                <w:color w:val="000000"/>
                <w:sz w:val="24"/>
                <w:szCs w:val="24"/>
                <w:u w:val="none"/>
                <w:lang w:val="en-US" w:eastAsia="zh-CN"/>
              </w:rPr>
              <w:t>对象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90"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4.项目支出：</w:t>
            </w:r>
            <w:r>
              <w:rPr>
                <w:rFonts w:hint="eastAsia" w:ascii="Times New Roman" w:hAnsi="Times New Roman" w:eastAsia="宋体" w:cs="Times New Roman"/>
                <w:i w:val="0"/>
                <w:color w:val="000000"/>
                <w:sz w:val="24"/>
                <w:szCs w:val="24"/>
                <w:u w:val="none"/>
                <w:lang w:val="en-US" w:eastAsia="zh-CN"/>
              </w:rPr>
              <w:t>关于黑水县洛多乡若苏古村俄沃组生产便桥项目</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本项目旨在黑水县洛多乡若苏古村俄沃组新建一座简支梁桥，桥长24m、桥面宽5.5m，单车道。项目建设涵盖桥梁设计、施工，与村民沟通协调，资金合理管控，完工后村民维护管理培训以及施工过程中的环境保护等内容。建设工期为8个月（不含前期工作），从2025年4月至2025年11月，估算总投资约110万元，资金来源为2025年乡村振兴有效衔接资金，采用设计</w:t>
            </w:r>
            <w:r>
              <w:rPr>
                <w:rFonts w:hint="eastAsia" w:cs="Times New Roman"/>
                <w:i w:val="0"/>
                <w:color w:val="000000"/>
                <w:sz w:val="24"/>
                <w:szCs w:val="24"/>
                <w:u w:val="none"/>
                <w:lang w:val="en-US" w:eastAsia="zh-CN"/>
              </w:rPr>
              <w:t>－</w:t>
            </w:r>
            <w:r>
              <w:rPr>
                <w:rFonts w:hint="eastAsia" w:ascii="Times New Roman" w:hAnsi="Times New Roman" w:eastAsia="宋体" w:cs="Times New Roman"/>
                <w:i w:val="0"/>
                <w:color w:val="000000"/>
                <w:sz w:val="24"/>
                <w:szCs w:val="24"/>
                <w:u w:val="none"/>
                <w:lang w:val="en-US" w:eastAsia="zh-CN"/>
              </w:rPr>
              <w:t xml:space="preserve"> 招标 - 建造（DBB）的传统项目管理模式实施。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5</w:t>
            </w:r>
            <w:r>
              <w:rPr>
                <w:rFonts w:hint="default" w:ascii="Times New Roman" w:hAnsi="Times New Roman" w:eastAsia="宋体" w:cs="Times New Roman"/>
                <w:i w:val="0"/>
                <w:color w:val="000000"/>
                <w:sz w:val="24"/>
                <w:szCs w:val="24"/>
                <w:u w:val="none"/>
                <w:lang w:val="en-US" w:eastAsia="zh-CN"/>
              </w:rPr>
              <w:t>.项目支出：</w:t>
            </w:r>
            <w:r>
              <w:rPr>
                <w:rFonts w:hint="eastAsia" w:ascii="Times New Roman" w:hAnsi="Times New Roman" w:eastAsia="宋体" w:cs="Times New Roman"/>
                <w:i w:val="0"/>
                <w:color w:val="000000"/>
                <w:sz w:val="24"/>
                <w:szCs w:val="24"/>
                <w:u w:val="none"/>
                <w:lang w:val="en-US" w:eastAsia="zh-CN"/>
              </w:rPr>
              <w:t>乡镇武装工作经费</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lang w:val="en-US" w:eastAsia="zh-CN"/>
              </w:rPr>
              <w:t>本项目的主要</w:t>
            </w:r>
            <w:r>
              <w:rPr>
                <w:rFonts w:hint="eastAsia" w:cs="Times New Roman"/>
                <w:i w:val="0"/>
                <w:color w:val="000000"/>
                <w:sz w:val="24"/>
                <w:szCs w:val="24"/>
                <w:u w:val="none"/>
                <w:lang w:val="en-US" w:eastAsia="zh-CN"/>
              </w:rPr>
              <w:t>内容</w:t>
            </w:r>
            <w:r>
              <w:rPr>
                <w:rFonts w:hint="eastAsia" w:ascii="Times New Roman" w:hAnsi="Times New Roman" w:eastAsia="宋体" w:cs="Times New Roman"/>
                <w:i w:val="0"/>
                <w:color w:val="000000"/>
                <w:sz w:val="24"/>
                <w:szCs w:val="24"/>
                <w:u w:val="none"/>
                <w:lang w:val="en-US" w:eastAsia="zh-CN"/>
              </w:rPr>
              <w:t>涉及2024年、2025年本单位乡镇武装工作经费5万元，主要用于“三室一库”基层武装阵地建设</w:t>
            </w:r>
            <w:r>
              <w:rPr>
                <w:rFonts w:hint="default" w:ascii="Times New Roman" w:hAnsi="Times New Roman" w:eastAsia="宋体" w:cs="Times New Roman"/>
                <w:i w:val="0"/>
                <w:color w:val="000000"/>
                <w:sz w:val="24"/>
                <w:szCs w:val="24"/>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年度绩效指标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一级指标</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二级指标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三级指标</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绩效指标性质</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绩效指标值</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绩效度量单位</w:t>
            </w:r>
          </w:p>
        </w:tc>
        <w:tc>
          <w:tcPr>
            <w:tcW w:w="926" w:type="dxa"/>
            <w:tcBorders>
              <w:top w:val="single" w:color="000000" w:sz="4" w:space="0"/>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权重</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实际完成</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97"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产出指标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1035"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数量指标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发放职工工资保险人数</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31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人</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10</w:t>
            </w:r>
          </w:p>
        </w:tc>
        <w:tc>
          <w:tcPr>
            <w:tcW w:w="1113" w:type="dxa"/>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lang w:val="en-US"/>
              </w:rPr>
            </w:pPr>
            <w:r>
              <w:rPr>
                <w:rFonts w:hint="eastAsia" w:ascii="宋体" w:hAnsi="宋体" w:eastAsia="宋体" w:cs="宋体"/>
                <w:i w:val="0"/>
                <w:color w:val="000000"/>
                <w:kern w:val="0"/>
                <w:sz w:val="18"/>
                <w:szCs w:val="18"/>
                <w:u w:val="none"/>
                <w:lang w:val="en-US" w:eastAsia="zh-CN" w:bidi="ar"/>
              </w:rPr>
              <w:t>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47"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完成阶段性项目5个</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个</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2"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2辆公车的</w:t>
            </w:r>
            <w:r>
              <w:rPr>
                <w:rFonts w:ascii="宋体" w:hAnsi="宋体" w:eastAsia="宋体" w:cs="宋体"/>
                <w:i w:val="0"/>
                <w:color w:val="000000"/>
                <w:kern w:val="0"/>
                <w:sz w:val="18"/>
                <w:szCs w:val="18"/>
                <w:u w:val="none"/>
                <w:lang w:val="en-US" w:eastAsia="zh-CN" w:bidi="ar"/>
              </w:rPr>
              <w:t>运行维护费</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个</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kern w:val="0"/>
                <w:sz w:val="18"/>
                <w:szCs w:val="1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质量指标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项目完工率</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100</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时效指标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工资保险完成时间及项目完成时间</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12</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月</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效益指标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1035"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社会效益指标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进一步提升各村</w:t>
            </w:r>
            <w:r>
              <w:rPr>
                <w:rFonts w:hint="eastAsia" w:ascii="宋体" w:hAnsi="宋体" w:eastAsia="宋体" w:cs="宋体"/>
                <w:i w:val="0"/>
                <w:color w:val="000000"/>
                <w:kern w:val="0"/>
                <w:sz w:val="18"/>
                <w:szCs w:val="18"/>
                <w:u w:val="none"/>
                <w:lang w:val="en-US" w:eastAsia="zh-CN" w:bidi="ar"/>
              </w:rPr>
              <w:t>环境</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sz w:val="18"/>
                <w:szCs w:val="18"/>
                <w:u w:val="none"/>
                <w:lang w:val="en-US" w:eastAsia="zh-CN"/>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13</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个</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15</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kern w:val="0"/>
                <w:sz w:val="18"/>
                <w:szCs w:val="18"/>
                <w:u w:val="none"/>
                <w:lang w:val="en-US" w:eastAsia="zh-CN" w:bidi="ar"/>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提升职工工作效率、营造良好工作环境</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定性</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优</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default" w:ascii="宋体" w:hAnsi="宋体" w:eastAsia="宋体" w:cs="宋体"/>
                <w:i w:val="0"/>
                <w:color w:val="000000"/>
                <w:kern w:val="2"/>
                <w:sz w:val="18"/>
                <w:szCs w:val="18"/>
                <w:u w:val="none"/>
                <w:lang w:val="en-US" w:eastAsia="zh-CN" w:bidi="ar-SA"/>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w:t>
            </w:r>
            <w:r>
              <w:rPr>
                <w:rFonts w:ascii="宋体" w:hAnsi="宋体" w:eastAsia="宋体" w:cs="宋体"/>
                <w:i w:val="0"/>
                <w:color w:val="000000"/>
                <w:kern w:val="0"/>
                <w:sz w:val="18"/>
                <w:szCs w:val="18"/>
                <w:u w:val="none"/>
                <w:lang w:val="en-US" w:eastAsia="zh-CN" w:bidi="ar"/>
              </w:rPr>
              <w:t>5</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满意度指标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惠及</w:t>
            </w:r>
            <w:r>
              <w:rPr>
                <w:rFonts w:hint="eastAsia" w:ascii="宋体" w:hAnsi="宋体" w:eastAsia="宋体" w:cs="宋体"/>
                <w:i w:val="0"/>
                <w:color w:val="000000"/>
                <w:kern w:val="0"/>
                <w:sz w:val="18"/>
                <w:szCs w:val="18"/>
                <w:u w:val="none"/>
                <w:lang w:val="en-US" w:eastAsia="zh-CN" w:bidi="ar"/>
              </w:rPr>
              <w:t>乡机关、村民等人员</w:t>
            </w:r>
            <w:r>
              <w:rPr>
                <w:rFonts w:ascii="宋体" w:hAnsi="宋体" w:eastAsia="宋体" w:cs="宋体"/>
                <w:i w:val="0"/>
                <w:color w:val="000000"/>
                <w:kern w:val="0"/>
                <w:sz w:val="18"/>
                <w:szCs w:val="18"/>
                <w:u w:val="none"/>
                <w:lang w:val="en-US" w:eastAsia="zh-CN" w:bidi="ar"/>
              </w:rPr>
              <w:t>满意度</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98</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98</w:t>
            </w:r>
          </w:p>
        </w:tc>
      </w:tr>
    </w:tbl>
    <w:p>
      <w:pPr>
        <w:spacing w:line="580" w:lineRule="exact"/>
        <w:ind w:firstLine="480" w:firstLineChars="200"/>
        <w:rPr>
          <w:rFonts w:hint="default" w:ascii="仿宋_GB2312" w:hAnsi="仿宋" w:eastAsia="仿宋_GB2312" w:cs="仿宋_GB2312"/>
          <w:sz w:val="32"/>
          <w:szCs w:val="32"/>
          <w:lang w:val="en-US" w:eastAsia="zh-CN"/>
        </w:rPr>
      </w:pPr>
      <w:r>
        <w:rPr>
          <w:rFonts w:hint="default" w:ascii="Times New Roman" w:hAnsi="Times New Roman" w:eastAsia="黑体" w:cs="Times New Roman"/>
          <w:sz w:val="24"/>
          <w:szCs w:val="24"/>
          <w:highlight w:val="none"/>
          <w:lang w:val="en-US" w:eastAsia="zh-CN"/>
        </w:rPr>
        <w:br w:type="page"/>
      </w:r>
    </w:p>
    <w:p>
      <w:pPr>
        <w:spacing w:line="580" w:lineRule="exact"/>
        <w:ind w:firstLine="640" w:firstLineChars="200"/>
        <w:rPr>
          <w:rFonts w:hint="eastAsia" w:ascii="仿宋_GB2312" w:hAnsi="仿宋" w:eastAsia="仿宋_GB2312" w:cs="仿宋_GB2312"/>
          <w:sz w:val="32"/>
          <w:szCs w:val="32"/>
          <w:lang w:val="en-US" w:eastAsia="zh-CN"/>
        </w:rPr>
      </w:pPr>
    </w:p>
    <w:p>
      <w:pPr>
        <w:spacing w:line="580" w:lineRule="exact"/>
        <w:ind w:firstLine="640" w:firstLineChars="200"/>
        <w:rPr>
          <w:rFonts w:ascii="仿宋_GB2312" w:hAnsi="仿宋_GB2312" w:eastAsia="仿宋_GB2312" w:cs="仿宋_GB2312"/>
          <w:sz w:val="32"/>
          <w:szCs w:val="32"/>
        </w:rPr>
      </w:pPr>
    </w:p>
    <w:p>
      <w:pPr>
        <w:widowControl/>
        <w:jc w:val="left"/>
        <w:rPr>
          <w:rFonts w:ascii="仿宋_GB2312" w:hAnsi="仿宋_GB2312" w:eastAsia="仿宋_GB2312" w:cs="仿宋_GB2312"/>
          <w:sz w:val="32"/>
          <w:szCs w:val="32"/>
        </w:rPr>
      </w:pPr>
    </w:p>
    <w:bookmarkEnd w:id="1"/>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2312">
    <w:altName w:val="方正仿宋_GBK"/>
    <w:panose1 w:val="02000000000000000000"/>
    <w:charset w:val="86"/>
    <w:family w:val="auto"/>
    <w:pitch w:val="default"/>
    <w:sig w:usb0="00000000" w:usb1="00000000" w:usb2="00000012" w:usb3="00000000" w:csb0="00040001" w:csb1="00000000"/>
  </w:font>
  <w:font w:name="Cambria">
    <w:altName w:val="Noto Sans Syriac Eastern"/>
    <w:panose1 w:val="02040503050406030204"/>
    <w:charset w:val="00"/>
    <w:family w:val="roman"/>
    <w:pitch w:val="default"/>
    <w:sig w:usb0="00000000" w:usb1="00000000" w:usb2="00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楷体_GB2312">
    <w:altName w:val="楷体"/>
    <w:panose1 w:val="02000000000000000000"/>
    <w:charset w:val="86"/>
    <w:family w:val="auto"/>
    <w:pitch w:val="default"/>
    <w:sig w:usb0="00000000" w:usb1="00000000" w:usb2="00000012" w:usb3="00000000" w:csb0="00040001" w:csb1="00000000"/>
  </w:font>
  <w:font w:name="方正仿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FDF3A9"/>
    <w:multiLevelType w:val="singleLevel"/>
    <w:tmpl w:val="C3FDF3A9"/>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wNTIzOTVmMTE1MjFiZGE0OWIzMWU5NTEyZTliYmIifQ=="/>
  </w:docVars>
  <w:rsids>
    <w:rsidRoot w:val="00491B22"/>
    <w:rsid w:val="00291808"/>
    <w:rsid w:val="00491B22"/>
    <w:rsid w:val="0052390C"/>
    <w:rsid w:val="10C10D6E"/>
    <w:rsid w:val="23F5689F"/>
    <w:rsid w:val="34EB1F43"/>
    <w:rsid w:val="359B6620"/>
    <w:rsid w:val="36435EC2"/>
    <w:rsid w:val="37775226"/>
    <w:rsid w:val="3777782C"/>
    <w:rsid w:val="43EB7E23"/>
    <w:rsid w:val="45DD674B"/>
    <w:rsid w:val="46E6047B"/>
    <w:rsid w:val="4DD97D2F"/>
    <w:rsid w:val="52324A0B"/>
    <w:rsid w:val="56306F6D"/>
    <w:rsid w:val="56590FCB"/>
    <w:rsid w:val="5F775267"/>
    <w:rsid w:val="5FBB5347"/>
    <w:rsid w:val="60D032A5"/>
    <w:rsid w:val="6DFF4314"/>
    <w:rsid w:val="70565192"/>
    <w:rsid w:val="7079109E"/>
    <w:rsid w:val="794C5FB4"/>
    <w:rsid w:val="7CC9AF76"/>
    <w:rsid w:val="DFFEEB9B"/>
    <w:rsid w:val="EEDFA8C8"/>
    <w:rsid w:val="EF7F153B"/>
    <w:rsid w:val="FFEB4D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_GB2312" w:cs="Times New Roman"/>
      <w:kern w:val="2"/>
      <w:sz w:val="32"/>
      <w:szCs w:val="24"/>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toa heading"/>
    <w:basedOn w:val="1"/>
    <w:next w:val="1"/>
    <w:qFormat/>
    <w:uiPriority w:val="0"/>
    <w:pPr>
      <w:spacing w:before="120"/>
    </w:pPr>
    <w:rPr>
      <w:rFonts w:ascii="Cambria" w:hAnsi="Cambria" w:eastAsia="宋体" w:cs="Times New Roman"/>
      <w:sz w:val="24"/>
      <w:lang w:bidi="ar-SA"/>
    </w:rPr>
  </w:style>
  <w:style w:type="paragraph" w:styleId="4">
    <w:name w:val="footer"/>
    <w:basedOn w:val="1"/>
    <w:link w:val="9"/>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8"/>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8">
    <w:name w:val="页眉 Char"/>
    <w:basedOn w:val="7"/>
    <w:link w:val="5"/>
    <w:semiHidden/>
    <w:qFormat/>
    <w:uiPriority w:val="99"/>
    <w:rPr>
      <w:sz w:val="18"/>
      <w:szCs w:val="18"/>
    </w:rPr>
  </w:style>
  <w:style w:type="character" w:customStyle="1" w:styleId="9">
    <w:name w:val="页脚 Char"/>
    <w:basedOn w:val="7"/>
    <w:link w:val="4"/>
    <w:semiHidden/>
    <w:qFormat/>
    <w:uiPriority w:val="99"/>
    <w:rPr>
      <w:sz w:val="18"/>
      <w:szCs w:val="18"/>
    </w:rPr>
  </w:style>
  <w:style w:type="paragraph" w:customStyle="1" w:styleId="10">
    <w:name w:val="正文2"/>
    <w:basedOn w:val="1"/>
    <w:next w:val="1"/>
    <w:unhideWhenUsed/>
    <w:qFormat/>
    <w:uiPriority w:val="99"/>
    <w:pPr>
      <w:spacing w:beforeLines="0" w:afterLines="0"/>
    </w:pPr>
    <w:rPr>
      <w:rFonts w:hint="eastAsia"/>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12</Pages>
  <Words>5834</Words>
  <Characters>6190</Characters>
  <Lines>2</Lines>
  <Paragraphs>1</Paragraphs>
  <TotalTime>2</TotalTime>
  <ScaleCrop>false</ScaleCrop>
  <LinksUpToDate>false</LinksUpToDate>
  <CharactersWithSpaces>6194</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2019-08-21T01:06:00Z</dcterms:created>
  <dc:creator>Sky123.Org</dc:creator>
  <cp:lastModifiedBy>user</cp:lastModifiedBy>
  <dcterms:modified xsi:type="dcterms:W3CDTF">2026-10-22T10:36:33Z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E2964823775B4F06A5E9F12DA9343782_13</vt:lpwstr>
  </property>
  <property fmtid="{D5CDD505-2E9C-101B-9397-08002B2CF9AE}" pid="4" name="KSOTemplateDocerSaveRecord">
    <vt:lpwstr>eyJoZGlkIjoiYmMxZWViYzY2OTBkMWNmMDZlNjI2NmUwYzQyZTk2ZTMiLCJ1c2VySWQiOiIxMTM5OTQ5NTAyIn0=</vt:lpwstr>
  </property>
</Properties>
</file>