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F1DC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Style w:val="7"/>
          <w:rFonts w:hint="eastAsia" w:ascii="方正小标宋_GBK" w:hAnsi="方正小标宋_GBK" w:eastAsia="方正小标宋_GBK" w:cs="方正小标宋_GBK"/>
          <w:sz w:val="44"/>
          <w:szCs w:val="44"/>
        </w:rPr>
      </w:pPr>
      <w:r>
        <w:rPr>
          <w:rStyle w:val="7"/>
          <w:rFonts w:hint="eastAsia" w:ascii="方正小标宋_GBK" w:hAnsi="方正小标宋_GBK" w:eastAsia="方正小标宋_GBK" w:cs="方正小标宋_GBK"/>
          <w:sz w:val="44"/>
          <w:szCs w:val="44"/>
        </w:rPr>
        <w:t>国务院办公厅关于严格规范涉企行政检查</w:t>
      </w:r>
    </w:p>
    <w:p w14:paraId="342C23A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方正小标宋_GBK" w:hAnsi="方正小标宋_GBK" w:eastAsia="方正小标宋_GBK" w:cs="方正小标宋_GBK"/>
          <w:sz w:val="44"/>
          <w:szCs w:val="44"/>
        </w:rPr>
      </w:pPr>
      <w:r>
        <w:rPr>
          <w:rStyle w:val="7"/>
          <w:rFonts w:hint="eastAsia" w:ascii="方正小标宋_GBK" w:hAnsi="方正小标宋_GBK" w:eastAsia="方正小标宋_GBK" w:cs="方正小标宋_GBK"/>
          <w:sz w:val="44"/>
          <w:szCs w:val="44"/>
        </w:rPr>
        <w:t>的意见</w:t>
      </w:r>
    </w:p>
    <w:p w14:paraId="3798241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国办发〔2024〕54号</w:t>
      </w:r>
    </w:p>
    <w:p w14:paraId="3ACC6E1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color w:val="333333"/>
          <w:sz w:val="32"/>
          <w:szCs w:val="32"/>
        </w:rPr>
      </w:pPr>
    </w:p>
    <w:p w14:paraId="0479247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各省、自治区、直辖市人民政府，国务院各部委、各直属机构：</w:t>
      </w:r>
    </w:p>
    <w:p w14:paraId="148D7AB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检查是行政执法主体履行行政管理职责的重要方式，对引导规范企业合法经营、预防纠正违法行为具有重要作用。为贯彻落实党中央关于进一步规范涉企执法的决策部署，严格规范涉企行政检查，坚决遏制乱检查</w:t>
      </w:r>
      <w:bookmarkStart w:id="0" w:name="_GoBack"/>
      <w:bookmarkEnd w:id="0"/>
      <w:r>
        <w:rPr>
          <w:rFonts w:hint="eastAsia" w:ascii="仿宋_GB2312" w:hAnsi="仿宋_GB2312" w:eastAsia="仿宋_GB2312" w:cs="仿宋_GB2312"/>
          <w:color w:val="auto"/>
          <w:sz w:val="32"/>
          <w:szCs w:val="32"/>
        </w:rPr>
        <w:t>，切实减轻企业负担，经国务院同意，现提出以下意见。</w:t>
      </w:r>
    </w:p>
    <w:p w14:paraId="2D82CA8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z w:val="32"/>
          <w:szCs w:val="32"/>
        </w:rPr>
      </w:pPr>
      <w:r>
        <w:rPr>
          <w:rStyle w:val="7"/>
          <w:rFonts w:hint="eastAsia" w:ascii="黑体" w:hAnsi="黑体" w:eastAsia="黑体" w:cs="黑体"/>
          <w:b w:val="0"/>
          <w:bCs/>
          <w:sz w:val="32"/>
          <w:szCs w:val="32"/>
        </w:rPr>
        <w:t>一、总体要求</w:t>
      </w:r>
    </w:p>
    <w:p w14:paraId="0E0B97E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坚持以习近平新时代中国特色社会主义思想为指导，深入学习贯彻习近平法治思想，全面贯彻党的二十大和二十届二中、三中全会精神，针对行政检查事项多、频次高、随意性大，以及任性检查、运动式检查、以各种名义变相检查等突出问题，加强依法行政，确保行政检查于法有据、严格规范、公正文明、精准高效，进一步优化营商环境。</w:t>
      </w:r>
    </w:p>
    <w:p w14:paraId="0F36B5E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二、明确行政检查主体，严禁不具备主体资格的组织实施行政检查</w:t>
      </w:r>
    </w:p>
    <w:p w14:paraId="2057119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72" w:firstLineChars="200"/>
        <w:textAlignment w:val="auto"/>
        <w:rPr>
          <w:spacing w:val="8"/>
        </w:rPr>
      </w:pPr>
      <w:r>
        <w:rPr>
          <w:rFonts w:hint="eastAsia" w:ascii="仿宋_GB2312" w:hAnsi="仿宋_GB2312" w:eastAsia="仿宋_GB2312" w:cs="仿宋_GB2312"/>
          <w:color w:val="000000"/>
          <w:spacing w:val="8"/>
          <w:sz w:val="32"/>
          <w:szCs w:val="32"/>
        </w:rPr>
        <w:t>实施行政检查的主体必须具备法定资格。具有行政执法权的行政机关必须在法定职责范围内实施行政检查；法律、法规授权的具有管理公共事务职能的组织必须在法定授权范围内实施行政检查；受委托组织必须在委托范围内实施行政检查。除上述主体外，任何组织和个人不得实施行政检查。行政检查主体资格要依法确认并向社会公告。严禁政府议事协调机构以各种名义实施行政检查；严禁检验检测机构、科研院所等第三方实施行政检查；严禁外包给中介机构实施行政检查；严禁未取得执法证件的执法辅助人员、网格员、临时工等人员实施行政检查。</w:t>
      </w:r>
    </w:p>
    <w:p w14:paraId="105853D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三、清理并公布行政检查事项，从源头上遏制乱检查</w:t>
      </w:r>
    </w:p>
    <w:p w14:paraId="13639B0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color w:val="000000"/>
          <w:spacing w:val="8"/>
          <w:sz w:val="32"/>
          <w:szCs w:val="32"/>
        </w:rPr>
        <w:t>有关主管部门要严格落实权责清单制度，梳理本领域现有的涉企行政检查事项并实行动态管理，对没有法定依据的要坚决清理，对法定依据发生变化的要及时调整，对没有实际成效的要予以取消。行政检查事项要按照权责透明、用权公开的要求向社会公布，接受企业和社会监督。行政检查事项未经公布的，不得实施。</w:t>
      </w:r>
    </w:p>
    <w:p w14:paraId="435F7FB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四、合理确定行政检查方式，最大限度减少入企检查频次</w:t>
      </w:r>
    </w:p>
    <w:p w14:paraId="0B9A597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color w:val="000000"/>
          <w:spacing w:val="8"/>
          <w:sz w:val="32"/>
          <w:szCs w:val="32"/>
        </w:rPr>
        <w:t>大力推进精准检查，防止重复检查、多头检查。能合并实施行政检查的，不得重复检查；能联合实施行政检查的，不得多头检查；能通过书面核查、信息共享、智慧监管等方式监管的，不得入企实施现场检查。严控入企检查人员数量，优化“综合查一次”、“双随机、一公开”抽查，推行简单事项“一表通查”。除有法定依据外，不得将入企检查作为行政许可、行政给付等行政行为的前提条件。2025年6月底前，国务院有关主管部门要建立本领域分级分类检查制度；有关主管部门要公布同一行政机关对同一企业实施行政检查的年度频次上限。行政检查频次要纳入行政执法统计年报。根据投诉举报、转办交办、数据监测等线索确需实施行政检查，或者应企业申请实施行政检查的，可以不受频次上限限制，但明显超过合理频次的，行政执法监督机关要及时跟踪监督。探索建立涉企行政执法案件经济影响评估制度，依法降低行政执法特别是行政检查对企业的负面影响。</w:t>
      </w:r>
    </w:p>
    <w:p w14:paraId="4609254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五、严格行政检查标准、程序，杜绝随意检查</w:t>
      </w:r>
    </w:p>
    <w:p w14:paraId="7683D2B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国务院有关主管部门要梳理本领域现有的行政检查标准并于2025年6月底前公布。不同领域行政检查标准相互冲突的，有关主管部门要按照规定提请本级政府或者上一级行政机关进行协调，避免企业无所适从。</w:t>
      </w:r>
    </w:p>
    <w:p w14:paraId="62F054DE">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实施行政检查前，要制定检查方案并报行政执法主体负责人批准，不得仅由内设机构负责人批准。情况紧急、需要当场实施的，要及时报告并补办手续。实施行政检查时，要出具行政检查通知书。加快推行“扫码入企”，将行政检查主体、人员、内容、结果等数据实时上传至信息系统。执法人员要主动出示执法证件，严禁以其他证件代替执法证件实施行政检查；人民警察要出示人民警察证件。除法律另有规定外，执法人员不得少于两人。入企检查要制作现场检查笔录，必要时进行音像记录。行政检查结束后，要将行政检查结果及时告知企业。坚持过罚相当，严格落实行政裁量权基准制度，更多采用柔性执法方式，对依法可以采用提醒、告知、劝阻等方式处理的，根据包容审慎原则不罚或者免罚，对问题突出的案事例要予以通报曝光。国务院行政执法监督机构要在2025年4月底前制定统一的行政检查文书基本格式标准，并向社会公布。涉企行政检查以属地管辖为原则，国务院有关主管部门要在2025年12月底前建立健全行政检查异地协助机制，明确相关规则，严禁违规实施异地检查。</w:t>
      </w:r>
    </w:p>
    <w:p w14:paraId="711A8C4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六、严格控制专项检查，避免“走过场”、运动式检查</w:t>
      </w:r>
    </w:p>
    <w:p w14:paraId="191D5A3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color w:val="000000"/>
          <w:spacing w:val="8"/>
          <w:sz w:val="32"/>
          <w:szCs w:val="32"/>
        </w:rPr>
        <w:t>对某一地区、领域的突出问题，可以依法部署专项检查。专项检查要符合监管的客观需要，经评估确需部署的，要严格控制专项检查的范围、内容和时限等，坚决杜绝“一人生病，大家吃药”的全覆盖、无差别检查。专项检查要实行年度数量控制，事先拟订检查计划，经县级以上政府或者实行垂直管理的上一级行政机关批准后按照规定备案，并向社会公布。检查事项涉及两个以上部门的，有关主管部门要联合拟订检查计划，避免多头、重复部署。因潜在风险大、可能造成严重不良后果，确需紧急部署专项检查的，要及时修改检查计划并备案。专项检查要严格按照行政检查的标准、程序实施，务求实效，防止“走过场”。</w:t>
      </w:r>
    </w:p>
    <w:p w14:paraId="6D835812">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七、规范行政检查行为，防止逐利检查、任性检查</w:t>
      </w:r>
    </w:p>
    <w:p w14:paraId="2C7F9B8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72" w:firstLineChars="200"/>
        <w:textAlignment w:val="auto"/>
        <w:rPr>
          <w:spacing w:val="8"/>
        </w:rPr>
      </w:pPr>
      <w:r>
        <w:rPr>
          <w:rFonts w:hint="eastAsia" w:ascii="仿宋_GB2312" w:hAnsi="仿宋_GB2312" w:eastAsia="仿宋_GB2312" w:cs="仿宋_GB2312"/>
          <w:color w:val="000000"/>
          <w:spacing w:val="8"/>
          <w:sz w:val="32"/>
          <w:szCs w:val="32"/>
        </w:rPr>
        <w:t>涉企行政检查要做到“五个严禁”</w:t>
      </w:r>
      <w:r>
        <w:rPr>
          <w:rFonts w:hint="eastAsia" w:ascii="仿宋_GB2312" w:hAnsi="仿宋_GB2312" w:eastAsia="仿宋_GB2312" w:cs="仿宋_GB2312"/>
          <w:color w:val="000000"/>
          <w:spacing w:val="8"/>
          <w:sz w:val="32"/>
          <w:szCs w:val="32"/>
          <w:lang w:eastAsia="zh-CN"/>
        </w:rPr>
        <w:t>、</w:t>
      </w:r>
      <w:r>
        <w:rPr>
          <w:rFonts w:hint="eastAsia" w:ascii="仿宋_GB2312" w:hAnsi="仿宋_GB2312" w:eastAsia="仿宋_GB2312" w:cs="仿宋_GB2312"/>
          <w:color w:val="000000"/>
          <w:spacing w:val="8"/>
          <w:sz w:val="32"/>
          <w:szCs w:val="32"/>
        </w:rPr>
        <w:t>“八个不得”。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w:t>
      </w:r>
    </w:p>
    <w:p w14:paraId="76EFD98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八、压实规范管理责任，加强行政检查的执法监督</w:t>
      </w:r>
    </w:p>
    <w:p w14:paraId="25F49BC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72" w:firstLineChars="20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color w:val="000000"/>
          <w:spacing w:val="8"/>
          <w:sz w:val="32"/>
          <w:szCs w:val="32"/>
        </w:rPr>
        <w:t>各级政府及有关主管部门要认真贯彻《中共中央办公厅、国务院办公厅关于加强行政执法协调监督工作体系建设的意见》，严格落实各项要求，切实负起责任，加强对涉企行政检查的规范管理。行政执法主体要在政府网站统一公布依法应当公开的行政检查相关事项，并严格按照规定实施行政检查。违反规定实施行政检查的，企业有权拒绝接受检查，有权投诉举报。行政执法监督机关要认真履行监督职责，加强行政执法人员培训，切实转变行政执法人员“卸责式检查”的错误观念，创新涉企行政检查监督方式，推广“监督+服务”模式，实现常态化监督。要有机贯通各类监督方式，形成整体监督合力。</w:t>
      </w:r>
    </w:p>
    <w:p w14:paraId="439B551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九、强化数字技术赋能，确保执法监督精准高效</w:t>
      </w:r>
    </w:p>
    <w:p w14:paraId="58582D9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color w:val="000000"/>
          <w:spacing w:val="8"/>
          <w:sz w:val="32"/>
          <w:szCs w:val="32"/>
        </w:rPr>
        <w:t>国务院行政执法监督机构要加快完成全国行政执法监督信息系统建设，有关主管部门要积极协同，打通平台，破除壁垒。要全面、统一、及时归集行政检查相关执法数据，以及按照规定备案或者公布的行政检查事项、依据、标准、计划、频次等信息，对行政检查进行全程监督。要运用人工智能、大数据进行统计分析，快速预警多头检查、重复检查、高频次检查等行为，对普遍、高发问题进行及时监督。要通过信息系统收集企业对行政检查的意见建议，关注企业和社会反映强烈的突出问题，对行政执法主体受理和处理企业投诉举报情况进行重点监督。要建立健全行政执法监督与12345政务服务便民热线信息共享机制，同时发挥好工商联等在企业反映问题线索方面的作用。</w:t>
      </w:r>
    </w:p>
    <w:p w14:paraId="2062025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黑体" w:hAnsi="黑体" w:eastAsia="黑体" w:cs="黑体"/>
          <w:b w:val="0"/>
          <w:bCs/>
          <w:spacing w:val="8"/>
          <w:sz w:val="32"/>
          <w:szCs w:val="32"/>
        </w:rPr>
      </w:pPr>
      <w:r>
        <w:rPr>
          <w:rStyle w:val="7"/>
          <w:rFonts w:hint="eastAsia" w:ascii="黑体" w:hAnsi="黑体" w:eastAsia="黑体" w:cs="黑体"/>
          <w:b w:val="0"/>
          <w:bCs/>
          <w:sz w:val="32"/>
          <w:szCs w:val="32"/>
        </w:rPr>
        <w:t>十、严肃责任追究，加大对乱检查的查处力度</w:t>
      </w:r>
    </w:p>
    <w:p w14:paraId="14177FB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各级行政执法监督机关对不具备行政执法主体资格实施检查、未按照公布的行政检查事项和标准实施检查、未按照规定程序实施检查、擅自部署专项检查、超过行政检查年度频次上限实施检查，以及违反“五个严禁”、“八个不得”要求乱检查的，要发现一起查处一起，及时责令改正；对行政执法主体负责人或者相关责任人，进行公开约谈；对企业反映强烈、社会影响恶劣的，直接督办并予以通报曝光；对涉嫌违纪或者职务违法犯罪的，依法移送纪检监察机关。同时，要建立健全行政检查责任追究、尽职免予问责机制，细化相关情形和程序。</w:t>
      </w:r>
    </w:p>
    <w:p w14:paraId="2CF113C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各地区、各部门要认真落实党中央、国务院决策部署，按照中央统筹、省负主责、市县抓落实的要求，加强部门协同配合，加大宣传培训力度，大力推进工作落实，将规范管理涉企行政检查作为政府督查和行政执法监督工作的重要内容，既要防止检查过多和执法扰企，又要保证必要的检查有效开展，并及时总结经验做法，将重要情况和问题报送司法部。司法部作为国务院行政执法监督机构，要加强综合协调和指导监督，跟踪工作进展，重大事项及时请示报告。</w:t>
      </w:r>
    </w:p>
    <w:p w14:paraId="46E724B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color w:val="000000"/>
          <w:lang w:val="en-US" w:eastAsia="zh-CN"/>
        </w:rPr>
      </w:pPr>
    </w:p>
    <w:p w14:paraId="3BC4FF7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color w:val="000000"/>
          <w:lang w:val="en-US" w:eastAsia="zh-CN"/>
        </w:rPr>
      </w:pPr>
    </w:p>
    <w:p w14:paraId="714E453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color w:val="000000"/>
          <w:sz w:val="32"/>
          <w:szCs w:val="32"/>
          <w:lang w:val="en-US" w:eastAsia="zh-CN"/>
        </w:rPr>
      </w:pPr>
      <w:r>
        <w:rPr>
          <w:rFonts w:hint="eastAsia"/>
          <w:color w:val="000000"/>
          <w:lang w:val="en-US" w:eastAsia="zh-CN"/>
        </w:rPr>
        <w:t xml:space="preserve">                                     </w:t>
      </w:r>
      <w:r>
        <w:rPr>
          <w:rFonts w:hint="eastAsia" w:ascii="仿宋_GB2312" w:hAnsi="仿宋_GB2312" w:eastAsia="仿宋_GB2312" w:cs="仿宋_GB2312"/>
          <w:color w:val="000000"/>
          <w:sz w:val="32"/>
          <w:szCs w:val="32"/>
          <w:lang w:val="en-US" w:eastAsia="zh-CN"/>
        </w:rPr>
        <w:t xml:space="preserve"> </w:t>
      </w:r>
    </w:p>
    <w:p w14:paraId="79655D1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国务院办公厅</w:t>
      </w:r>
    </w:p>
    <w:p w14:paraId="57BEBD28">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2024年12月30日</w:t>
      </w:r>
    </w:p>
    <w:p w14:paraId="4A07924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（此件公开发布）</w:t>
      </w:r>
    </w:p>
    <w:p w14:paraId="119E1A21">
      <w:pPr>
        <w:keepNext w:val="0"/>
        <w:keepLines w:val="0"/>
        <w:pageBreakBefore w:val="0"/>
        <w:kinsoku/>
        <w:wordWrap/>
        <w:overflowPunct/>
        <w:topLinePunct w:val="0"/>
        <w:autoSpaceDE/>
        <w:autoSpaceDN/>
        <w:bidi w:val="0"/>
        <w:adjustRightInd/>
        <w:snapToGrid/>
        <w:spacing w:beforeAutospacing="0" w:afterAutospacing="0" w:line="560" w:lineRule="exact"/>
        <w:textAlignment w:val="auto"/>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F9A7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F5DB2C">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1F5DB2C">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A66B72"/>
    <w:rsid w:val="15121A08"/>
    <w:rsid w:val="2CB82A3D"/>
    <w:rsid w:val="40A66B72"/>
    <w:rsid w:val="473A2575"/>
    <w:rsid w:val="4D000563"/>
    <w:rsid w:val="509624EF"/>
    <w:rsid w:val="522B768A"/>
    <w:rsid w:val="53C9715A"/>
    <w:rsid w:val="55546EF7"/>
    <w:rsid w:val="607365FE"/>
    <w:rsid w:val="6155027F"/>
    <w:rsid w:val="66DE2AC5"/>
    <w:rsid w:val="69286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3384</Words>
  <Characters>3410</Characters>
  <Lines>0</Lines>
  <Paragraphs>0</Paragraphs>
  <TotalTime>11</TotalTime>
  <ScaleCrop>false</ScaleCrop>
  <LinksUpToDate>false</LinksUpToDate>
  <CharactersWithSpaces>3410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2025-03-19T01:57:00Z</dcterms:created>
  <dc:creator>LENOVO</dc:creator>
  <cp:lastModifiedBy>哦呀-坚泽</cp:lastModifiedBy>
  <dcterms:modified xsi:type="dcterms:W3CDTF">2025-04-17T03:01:23Z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64E53C35A821439788520E6A5E0C231C_13</vt:lpwstr>
  </property>
  <property fmtid="{D5CDD505-2E9C-101B-9397-08002B2CF9AE}" pid="4" name="KSOTemplateDocerSaveRecord">
    <vt:lpwstr>eyJoZGlkIjoiM2E4Yzk4OGRiYmI5YjkyMTVmMThkMGNkYTcwNmU2ZjYiLCJ1c2VySWQiOiIyOTg0ODUzODUifQ==</vt:lpwstr>
  </property>
</Properties>
</file>