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tLeast"/>
        <w:rPr>
          <w:rFonts w:hint="default" w:ascii="仿宋_GB2312" w:hAnsi="宋体" w:eastAsia="仿宋_GB2312" w:cs="宋体"/>
          <w:color w:val="333333"/>
          <w:kern w:val="0"/>
          <w:sz w:val="32"/>
          <w:szCs w:val="32"/>
          <w:lang w:val="en-US" w:eastAsia="zh-CN"/>
        </w:rPr>
      </w:pPr>
      <w:r>
        <w:rPr>
          <w:rFonts w:hint="eastAsia" w:ascii="仿宋_GB2312" w:hAnsi="宋体" w:eastAsia="仿宋_GB2312" w:cs="宋体"/>
          <w:color w:val="333333"/>
          <w:kern w:val="0"/>
          <w:sz w:val="32"/>
          <w:szCs w:val="32"/>
          <w:lang w:val="en-US" w:eastAsia="zh-CN"/>
        </w:rPr>
        <w:t>附件：1-3</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中共黑水县委社会工作部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社区工作者薪酬资金</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专项预算绩效自评报告</w:t>
      </w:r>
    </w:p>
    <w:p>
      <w:pPr>
        <w:rPr>
          <w:rFonts w:hint="eastAsia" w:ascii="仿宋_GB2312" w:hAnsi="仿宋_GB2312" w:eastAsia="仿宋_GB2312" w:cs="仿宋_GB2312"/>
          <w:sz w:val="32"/>
          <w:szCs w:val="32"/>
        </w:rPr>
      </w:pPr>
    </w:p>
    <w:p>
      <w:pPr>
        <w:ind w:firstLine="640" w:firstLineChars="200"/>
        <w:rPr>
          <w:rFonts w:hint="eastAsia" w:ascii="黑体" w:hAnsi="黑体" w:eastAsia="黑体" w:cs="黑体"/>
          <w:sz w:val="32"/>
          <w:szCs w:val="32"/>
        </w:rPr>
      </w:pPr>
      <w:r>
        <w:rPr>
          <w:rFonts w:hint="eastAsia" w:ascii="黑体" w:hAnsi="黑体" w:eastAsia="黑体" w:cs="黑体"/>
          <w:sz w:val="32"/>
          <w:szCs w:val="32"/>
        </w:rPr>
        <w:t>一、项目概况</w:t>
      </w:r>
    </w:p>
    <w:p>
      <w:pPr>
        <w:ind w:firstLine="642"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（一）设立背景及基本情况。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深入贯彻落实中央及省市关于加强基层治理体系和治理能力现代化建设的决策部署，稳定社区工作者队伍、提升基层服务效能，依据社区工作者薪酬资金管理等政策文件，设立社区工作者薪酬资金专项预算。本项目主管部门为 中共黑水县委社会工作部，核心职能是统筹全区社区工作者薪酬政策制定、资金预算申报、发放监管及队伍建设管理，保障社区工作者薪酬按时足额发放，夯实基层治理人才基础。</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项目主要内容为：2025 年 8-12 月，为全区3个社区、7 名在岗社区工作者发放基本工资及缴纳 “五险一金”，覆盖社区党建、民生服务、矛盾调解、应急处置、网格管理等全岗位履职薪酬保障。</w:t>
      </w:r>
    </w:p>
    <w:p>
      <w:pPr>
        <w:ind w:firstLine="642"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（二）实施目的及支持方向。</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1.资金管理办法制定情况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明确资金申报、审核、拨付、监管全流程规范，建立 “乡镇核定、财政拨付、社工部发放” 的闭环管理机制，确保资金专款专用、合规高效。</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2.实施目的及主要工作任务</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实施目的：保障社区工作者合法薪酬权益，稳定基层工作队伍，激发社区工作者干事创业积极性，提升社区治理与服务群众能力，筑牢基层治理 “</w:t>
      </w:r>
      <w:r>
        <w:rPr>
          <w:rFonts w:hint="default" w:ascii="仿宋_GB2312" w:hAnsi="仿宋_GB2312" w:eastAsia="仿宋_GB2312" w:cs="仿宋_GB2312"/>
          <w:sz w:val="32"/>
          <w:szCs w:val="32"/>
        </w:rPr>
        <w:t>“最后一公里”</w:t>
      </w:r>
      <w:r>
        <w:rPr>
          <w:rFonts w:hint="eastAsia" w:ascii="仿宋_GB2312" w:hAnsi="仿宋_GB2312" w:eastAsia="仿宋_GB2312" w:cs="仿宋_GB2312"/>
          <w:sz w:val="32"/>
          <w:szCs w:val="32"/>
        </w:rPr>
        <w:t>。</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主要工作任务：精准核定社区工作者薪酬标准，按时完成 8-12 月薪酬核算、申报、拨付及发放；同步完成 “五险一金” 代扣代缴；开展薪酬发放公示与政策答疑，保障资金发放公开透明。</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3.项目支持方向</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聚焦民生保障类核心方向，重点支持社区工作者基础薪酬保障，覆盖社区党建引领、便民服务、矛盾化解、安全维稳、网格治理等基层治理全领域，确保薪酬资金精准投向基层服务岗位。</w:t>
      </w:r>
    </w:p>
    <w:p>
      <w:pPr>
        <w:ind w:firstLine="642"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（三）预算安排及分配管理。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1.预算安排情况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2025 年 8-12 月社区工作者薪酬资金专项预算总额 17.23 万元，其中：工资12.15万元、“五险一金” 单位缴纳部分 5.08 万元，全部为财政一般公共预算资金，无结转结余及其他资金来源。</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2.资金分配原则及考虑因素</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分配原则：坚持 “依法依规、精准核定、公开透明”，严格按照社区工作者岗位等级、工作年限、职业资格等级核定薪酬，杜绝平均主义与违规发放。</w:t>
      </w:r>
    </w:p>
    <w:p>
      <w:pPr>
        <w:ind w:firstLine="642"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（四）项目绩效目标设置。</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1.绩效目标设置情况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整体目标：2025 年 8-12 月，100% 完成社区工作者薪酬发放，保障队伍稳定，社区服务群众满意度≥90%，基层治理效能显著提升。</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区域目标：各社区薪酬发放及时率 100%、合规率 100%，无拖欠、无错发；社区工作者在岗率100%，无因薪酬问题导致的人员流失。</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数量指标：发放薪酬覆盖 7名社区工作者，职业资格津贴发放覆盖率 100%；</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质量指标：薪酬核算准确率 100%，“五险一金” 缴纳合规率 100%；</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时效指标：每月 15 日前完成上月薪酬发放，无逾期；</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效益指标：社区工作者队伍稳定率≥99%，群众诉求办结率≥95%。</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2.自评工作开展情况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成立由社工部组成的绩效自评工作组，明确评价指标、方法、流程。选取全县 1个社区（占比 33%）开展实地踏勘，查阅薪酬发放台账、群众反馈资料全面推进自评工作。</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二、评价实施</w:t>
      </w:r>
    </w:p>
    <w:p>
      <w:pPr>
        <w:ind w:firstLine="642"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（一）评价目的。</w:t>
      </w:r>
      <w:r>
        <w:rPr>
          <w:rFonts w:hint="eastAsia" w:ascii="仿宋_GB2312" w:hAnsi="仿宋_GB2312" w:eastAsia="仿宋_GB2312" w:cs="仿宋_GB2312"/>
          <w:sz w:val="32"/>
          <w:szCs w:val="32"/>
        </w:rPr>
        <w:t>全面核查 2025 年 8-12 月社区工作者薪酬资金预算执行、资金使用合规性、绩效目标完成情况，客观评价资金使用效益，总结经验、查找问题，为优化薪酬政策、提升资金管理水平、强化基层队伍建设提供决策依据。</w:t>
      </w:r>
    </w:p>
    <w:p>
      <w:pPr>
        <w:ind w:firstLine="642"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（二）预设问题及评价重点。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1.预设问题</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薪酬资金预算执行是否到位，有无超支、截留、挪用情况？薪酬发放是否精准合规，有无错发、漏发、拖欠问题？资金使用是否达到稳定队伍、提升服务效能的预期目标？</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2.评价重点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围绕 “决策、管理、实施、结果” 全流程，重点评价：预算编制科学性、资金分配精准性、发放流程合规性、绩效目标完成度、队伍稳定与服务效益，聚焦民生保障类专用指标，核查对象精准性、标准合理性、群众满意度。</w:t>
      </w:r>
    </w:p>
    <w:p>
      <w:pPr>
        <w:ind w:firstLine="642"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（三）评价选点。</w:t>
      </w:r>
      <w:r>
        <w:rPr>
          <w:rFonts w:hint="eastAsia" w:ascii="仿宋_GB2312" w:hAnsi="仿宋_GB2312" w:eastAsia="仿宋_GB2312" w:cs="仿宋_GB2312"/>
          <w:sz w:val="32"/>
          <w:szCs w:val="32"/>
        </w:rPr>
        <w:t>西部里社区。</w:t>
      </w:r>
    </w:p>
    <w:p>
      <w:pPr>
        <w:ind w:firstLine="642"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（四）评价方法。</w:t>
      </w:r>
      <w:r>
        <w:rPr>
          <w:rFonts w:hint="eastAsia" w:ascii="仿宋_GB2312" w:hAnsi="仿宋_GB2312" w:eastAsia="仿宋_GB2312" w:cs="仿宋_GB2312"/>
          <w:sz w:val="32"/>
          <w:szCs w:val="32"/>
        </w:rPr>
        <w:t>综合运用多种评价方法，确保自评客观全面：</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案卷研究法：查阅薪酬预算文件、发放台账、社保缴纳凭证、公示记录等资料，核查资金使用合规性；</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实地勘察法：赴选取社区实地核查薪酬发放流程、台账管理、政策执行情况，访谈社区负责人；</w:t>
      </w:r>
    </w:p>
    <w:p>
      <w:pPr>
        <w:ind w:firstLine="642"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（五）评价组织。</w:t>
      </w:r>
      <w:r>
        <w:rPr>
          <w:rFonts w:hint="eastAsia" w:ascii="仿宋_GB2312" w:hAnsi="仿宋_GB2312" w:eastAsia="仿宋_GB2312" w:cs="仿宋_GB2312"/>
          <w:sz w:val="32"/>
          <w:szCs w:val="32"/>
        </w:rPr>
        <w:t>成立专项绩效自评工作组，组长由社工部分管领导担任，成员包各股室业务骨干，职责分工如下：</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组长：统筹自评工作，审核自评报告，协调解决重大问题；</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各股室业务骨干：负责预算执行、资金拨付合规性核查；负责薪酬标准、社保缴纳合规性审核；负责资料收集、实地踏勘、问卷分析、报告撰写，统筹自评全流程。</w:t>
      </w:r>
    </w:p>
    <w:p>
      <w:pPr>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三、绩效分析</w:t>
      </w:r>
      <w:r>
        <w:rPr>
          <w:rFonts w:hint="eastAsia" w:ascii="仿宋_GB2312" w:hAnsi="仿宋_GB2312" w:eastAsia="仿宋_GB2312" w:cs="仿宋_GB2312"/>
          <w:sz w:val="32"/>
          <w:szCs w:val="32"/>
        </w:rPr>
        <w:tab/>
      </w:r>
    </w:p>
    <w:p>
      <w:pPr>
        <w:ind w:firstLine="642"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（一）通用指标绩效分析。指标分值54分，自评得分53分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1.项目决策。指标分值18分，自评得分18分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决策程序：决策程序的规范性直接影响项目绩效基础。若严格遵循 “申请 - 审核 - 审批 - 备案” 全流程，且有多方参与、集体研讨记录，决策科学性更高；反之，流程缺失、单人主导决策易导致方向偏差，增加项目风险，拉低整体绩效水平，需重点核查程序完整性与执行刚性。指标分值6分，自评得分6分。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规划论证：项目规划论证符合</w:t>
      </w:r>
      <w:r>
        <w:rPr>
          <w:rFonts w:hint="default" w:ascii="仿宋_GB2312" w:hAnsi="仿宋_GB2312" w:eastAsia="仿宋_GB2312" w:cs="仿宋_GB2312"/>
          <w:sz w:val="32"/>
          <w:szCs w:val="32"/>
        </w:rPr>
        <w:t>中央、省委</w:t>
      </w:r>
      <w:r>
        <w:rPr>
          <w:rFonts w:hint="eastAsia" w:ascii="仿宋_GB2312" w:hAnsi="仿宋_GB2312" w:eastAsia="仿宋_GB2312" w:cs="仿宋_GB2312"/>
          <w:sz w:val="32"/>
          <w:szCs w:val="32"/>
        </w:rPr>
        <w:t>要求，项目绩效目标设置科学合理，项目资金与项目总体规划、相关行业事业发展相匹配，聚焦重大任务、重点领域、重点环节和重点项目。指标分值6分，自评得分6分。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资金投向：项目资金是与项目总体规划、相关行业事业发展相匹配，聚焦重大任务、重点领域、重点环节和重点项目。体现“</w:t>
      </w:r>
      <w:r>
        <w:rPr>
          <w:rFonts w:hint="default" w:ascii="仿宋_GB2312" w:hAnsi="仿宋_GB2312" w:eastAsia="仿宋_GB2312" w:cs="仿宋_GB2312"/>
          <w:sz w:val="32"/>
          <w:szCs w:val="32"/>
        </w:rPr>
        <w:t>集中力量办大事</w:t>
      </w:r>
      <w:r>
        <w:rPr>
          <w:rFonts w:hint="eastAsia" w:ascii="仿宋_GB2312" w:hAnsi="仿宋_GB2312" w:eastAsia="仿宋_GB2312" w:cs="仿宋_GB2312"/>
          <w:sz w:val="32"/>
          <w:szCs w:val="32"/>
        </w:rPr>
        <w:t>”原则，避免“撒胡椒面”。指标分值6分，自评得分6分。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2.项目管理。指标分值18分，自评得分17分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制度办法：项目制度办法体系健全、要素完备。资金管理办法等管理制度体系健全完善，不存在管理制度缺失、管理办法过期情况。指标分值2分，自评得分2分。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分配管理：项目资金分配因素选取、权重设置、区域分布，项目管理、审批符合管理要求，管资金、项目、政策管绩效，项目绩效监管按要求开展，对下指导有力有效。指标分值10分，自评得分10分。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绩效监管:明确要求“事前评估”、“事中监控”、“事后评价”，层层把控，使人人“懂理念、会分析”。并严抓项目决策是否科学的“牛鼻子”，力求项目决策科学。让项目“目标科学、全面”才能“拎得清”，“跟踪及时、严格”才能“管得准”，避免偏离轨道造成的损耗成本、影响质量、效率低下。“花钱必问效，无效必问责”，单位将绩效理念融入预算编制、执行、监督全过程，抓好项目效益是否提升的“落脚点”，发挥绩效评价导向作用，通过奖优惩劣，确保被评价单位把每一笔钱都用在刀刃上、紧要处，力求项目效益提升。指标分值6分，自评得分5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3.项目实施。指标分值9分，自评得分9分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预算执行:项目预算资金17.23万元，支付17.23万元。指标分值6分，自评得分6分。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资金使用:项目资金使用、拨付符合国家财经法规、财务管理制度及有关专项资金管理制度办法规定和审批程序，不存在超范围、超标准、超进度使用专项资金，不存在资金损失浪费、长期沉淀、截留、挤占、挪用、虚列支出等情况。指标分值3分，自评得分3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4.项目结果。指标分值9分，自评得分9分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目标完成：资金项目内容与具体实施内容相符的、申报目标是合理可行。项目运行成本、管理效率、履职效能、社会效应、可持续发展能力和服务对象满意度等方面均取得良好成果，预算绩效实现全覆盖。</w:t>
      </w:r>
      <w:r>
        <w:rPr>
          <w:rFonts w:hint="default" w:ascii="仿宋_GB2312" w:hAnsi="仿宋_GB2312" w:eastAsia="仿宋_GB2312" w:cs="仿宋_GB2312"/>
          <w:sz w:val="32"/>
          <w:szCs w:val="32"/>
        </w:rPr>
        <w:t>截止到</w:t>
      </w:r>
      <w:r>
        <w:rPr>
          <w:rFonts w:hint="eastAsia" w:ascii="仿宋_GB2312" w:hAnsi="仿宋_GB2312" w:eastAsia="仿宋_GB2312" w:cs="仿宋_GB2312"/>
          <w:sz w:val="32"/>
          <w:szCs w:val="32"/>
        </w:rPr>
        <w:t>2025年底完成项目资金拨付。指标分值6分，自评得分6分。</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完成时效：资金项目按照目标任务已于2025年底完成。指标分值3分，自评得分3分。</w:t>
      </w:r>
    </w:p>
    <w:p>
      <w:pPr>
        <w:ind w:firstLine="642"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（二）专用指标绩效分析。指标分值30分，自评得分30分</w:t>
      </w:r>
    </w:p>
    <w:p>
      <w:pPr>
        <w:ind w:firstLine="640" w:firstLineChars="200"/>
        <w:rPr>
          <w:rFonts w:hint="default" w:ascii="仿宋_GB2312" w:hAnsi="仿宋_GB2312" w:eastAsia="仿宋_GB2312" w:cs="仿宋_GB2312"/>
          <w:sz w:val="32"/>
          <w:szCs w:val="32"/>
        </w:rPr>
      </w:pPr>
      <w:r>
        <w:rPr>
          <w:rFonts w:hint="eastAsia" w:ascii="仿宋_GB2312" w:hAnsi="仿宋_GB2312" w:eastAsia="仿宋_GB2312" w:cs="仿宋_GB2312"/>
          <w:sz w:val="32"/>
          <w:szCs w:val="32"/>
        </w:rPr>
        <w:t>1.区域均衡性：各社区薪酬标准统一、发放流程一致，无区域差异、无歧视性分配，各社区社工薪酬保障均衡。指标分值10分，自评得分10分</w:t>
      </w:r>
      <w:r>
        <w:rPr>
          <w:rFonts w:hint="default" w:ascii="仿宋_GB2312" w:hAnsi="仿宋_GB2312" w:eastAsia="仿宋_GB2312" w:cs="仿宋_GB2312"/>
          <w:sz w:val="32"/>
          <w:szCs w:val="32"/>
        </w:rPr>
        <w:t>。</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2.对象精准性：精准核定在岗社区工作者身份、岗位、无冒领、错领薪酬，职业资格津贴仅发放至持证人员，对象精准率 100%。指标分值10分，自评得分10分。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3.标准合理性：薪酬标准参照社工工资设定，工资、津贴比例合理，符合基层工作实际，激励作用明显。指标分值5分，自评得分5分。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4.群众满意度：发放居民问卷51 份，社区服务满意度 96%；发放社工问卷 7 份，薪酬满意度 96%，均高于目标值。指标分值5分，自评得分5分。</w:t>
      </w:r>
    </w:p>
    <w:p>
      <w:pPr>
        <w:ind w:firstLine="642"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（三）个性指标绩效分析。指标分值16分，自评得分16分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1.队伍稳定率：目标值≥99%，实际100%，完成率100%。指标分值5分，自评得分5分。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2.持证社工占比提升：目标值1名，实际2名，完成率100%。指标分值5分，自评得分5分。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3.基层治理成效：社区矛盾调解成功率 90%，高于目标值。指标分值6分，自评得分6分。</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四、评价结论</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自评得分99分，2025 年 8-12 月社区工作者薪酬资金专项预算执行规范、资金使用合规，绩效目标基本完成。项目有效保障了全县7名社区工作者薪酬权益，队伍稳定率达 100%，无因薪酬问题导致的人员流失；社区服务群众满意度达 96%，基层治理效能显著提升，充分发挥了薪酬资金的民生保障与激励作用。但在监管信息化等方面仍存在不足，需进一步优化提升。</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五、存在主要问题</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1.监管手段信息化滞后：薪酬发放、绩效考评仍以纸质台账为主，缺乏信息化监管系统，数据统计与核查效率偏低；</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2.政策宣传覆盖面不足：部分社区工作者对薪酬构成、津贴申领政策了解不全面，政策答疑频次不足；</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3.个别社区台账管理不规范：少数社区薪酬发放公示记录等资料归档不及时，资料完整性有待加强。</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六、改进建议</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1.针对监管手段信息化滞后：搭建社区工作者薪酬管理信息化平台，实现薪酬核算、发放、监管、数据统计全流程线上化，提高资金管理效率与透明度；</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2.针对政策宣传覆盖面不足：每年开展 1 次薪酬政策专题宣传，通过社区公告、工作群、入户宣传等方式，全覆盖解读薪酬构成、津贴申领、畅通政策答疑渠道；</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3.针对个别社区台账管理不规范：制定统一的薪酬资金台账管理标准，明确资料归档时限与要求，每半年开展 1 次台账专项督查，督促社区规范管理、及时归档。</w:t>
      </w:r>
    </w:p>
    <w:p>
      <w:pPr>
        <w:pStyle w:val="2"/>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方正小标宋_GBK" w:eastAsia="方正小标宋_GBK" w:cs="方正小标宋_GBK"/>
          <w:b w:val="0"/>
          <w:bCs w:val="0"/>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方正小标宋_GBK" w:eastAsia="方正小标宋_GBK" w:cs="方正小标宋_GBK"/>
          <w:b w:val="0"/>
          <w:bCs w:val="0"/>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关于省级财政民政事业补助资金项目</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方正小标宋_GBK" w:eastAsia="方正小标宋_GBK" w:cs="方正小标宋_GBK"/>
          <w:b w:val="0"/>
          <w:bCs w:val="0"/>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专项预算绩效自评报告</w:t>
      </w:r>
    </w:p>
    <w:p>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b w:val="0"/>
          <w:bCs w:val="0"/>
          <w:sz w:val="32"/>
          <w:szCs w:val="32"/>
          <w:highlight w:val="none"/>
          <w:lang w:val="zh-CN"/>
        </w:rPr>
      </w:pPr>
      <w:r>
        <w:rPr>
          <w:rFonts w:hint="default" w:ascii="Times New Roman" w:hAnsi="Times New Roman" w:eastAsia="黑体" w:cs="Times New Roman"/>
          <w:b w:val="0"/>
          <w:bCs w:val="0"/>
          <w:sz w:val="32"/>
          <w:szCs w:val="32"/>
          <w:highlight w:val="none"/>
        </w:rPr>
        <w:t>一、</w:t>
      </w:r>
      <w:r>
        <w:rPr>
          <w:rFonts w:hint="default" w:ascii="Times New Roman" w:hAnsi="Times New Roman" w:eastAsia="黑体" w:cs="Times New Roman"/>
          <w:b w:val="0"/>
          <w:bCs w:val="0"/>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仿宋_GB2312" w:cs="Times New Roman"/>
          <w:b/>
          <w:bCs/>
          <w:color w:val="auto"/>
          <w:kern w:val="0"/>
          <w:sz w:val="32"/>
          <w:szCs w:val="32"/>
          <w:highlight w:val="none"/>
          <w:u w:val="none"/>
          <w:shd w:val="clear" w:color="auto" w:fill="FFFFFF"/>
          <w:lang w:val="zh-CN"/>
        </w:rPr>
      </w:pPr>
      <w:r>
        <w:rPr>
          <w:rFonts w:hint="default" w:ascii="Times New Roman" w:hAnsi="Times New Roman" w:eastAsia="楷体_GB2312" w:cs="Times New Roman"/>
          <w:b/>
          <w:bCs/>
          <w:color w:val="auto"/>
          <w:sz w:val="32"/>
          <w:szCs w:val="32"/>
          <w:highlight w:val="none"/>
          <w:u w:val="none"/>
          <w:lang w:val="zh-CN"/>
        </w:rPr>
        <w:t>（一）设立背景及基本情况。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仿宋_GB2312" w:cs="Times New Roman"/>
          <w:b w:val="0"/>
          <w:bCs w:val="0"/>
          <w:color w:val="auto"/>
          <w:kern w:val="0"/>
          <w:sz w:val="32"/>
          <w:szCs w:val="32"/>
          <w:highlight w:val="none"/>
          <w:u w:val="none"/>
          <w:shd w:val="clear" w:color="auto" w:fill="FFFFFF"/>
          <w:lang w:val="zh-CN"/>
        </w:rPr>
        <w:t>近年来，我县社区在上级部门的大力支持下，社区建设的整体风貌得到极大改善，社区服务与管理日趋完善，服务水平明显提高。随着人民群众需求的日益增加，社区(村)承担的公共事务及服务工作量日趋增长，社区综合服务力量较弱，专业社会组织发展迟缓，目前仅有1家社工服务机构和志愿服务组织开展活动,苦于专业力量薄弱,对于社工服务工作推动显得吃力。加之自然灾害频发多发，综合服务基础设施易受损,县、乡(镇)、村三级社工服务体系雏形初现但还不完善，社工服务站(室)不规范，难以有力支持基层社会治理、乡村振兴等社会事务。根据《四川省民政厅四川省财政厅关于印发〈城乡社区治理优化提升行动方案(2023-2025年)〉的通知》(川民发〔2022〕169号)文件要求，由县委社工部、县财政局联合申报城乡社区治理优化提升项目资金,项目分为“补短板”“提能力”两个子项目，其中:1.维古乡俄市坝村“补短板”项目。补充完善维古乡俄市坝村党群服务中心部分附属设施建设，并建设社会工作室，同时通过购买服务实施专业社会工作服务,实施“维老相伴”专业社工服务;2.黑水县沙石多镇昌德村综合服务“提能力”项目。规范化建设沙石多镇镇级社工站,沙石多镇昌德村村级社工室,分批次梯级实现县乡村三级社工平台运转运行，推动全县三级社会工作服务体系构建。项目主管部门为县委社工部，负责确定项目实施方向，督导项目实施进度和成效。</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bCs/>
          <w:color w:val="auto"/>
          <w:sz w:val="32"/>
          <w:szCs w:val="32"/>
          <w:highlight w:val="none"/>
          <w:u w:val="none"/>
          <w:lang w:val="en-US" w:eastAsia="zh-CN"/>
        </w:rPr>
      </w:pPr>
      <w:r>
        <w:rPr>
          <w:rFonts w:hint="default" w:ascii="Times New Roman" w:hAnsi="Times New Roman" w:eastAsia="楷体_GB2312" w:cs="Times New Roman"/>
          <w:b/>
          <w:bCs/>
          <w:color w:val="auto"/>
          <w:sz w:val="32"/>
          <w:szCs w:val="32"/>
          <w:highlight w:val="none"/>
          <w:u w:val="none"/>
          <w:lang w:val="zh-CN"/>
        </w:rPr>
        <w:t>（二）</w:t>
      </w:r>
      <w:r>
        <w:rPr>
          <w:rFonts w:hint="default" w:ascii="Times New Roman" w:hAnsi="Times New Roman" w:eastAsia="楷体_GB2312" w:cs="Times New Roman"/>
          <w:b/>
          <w:bCs/>
          <w:color w:val="auto"/>
          <w:sz w:val="32"/>
          <w:szCs w:val="32"/>
          <w:highlight w:val="none"/>
          <w:u w:val="none"/>
          <w:lang w:val="en-US" w:eastAsia="zh-CN"/>
        </w:rPr>
        <w:t>实施目的及支持方向。</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pPr>
      <w:r>
        <w:rPr>
          <w:rFonts w:hint="eastAsia" w:ascii="Times New Roman" w:cs="Times New Roman"/>
          <w:b/>
          <w:bCs/>
          <w:color w:val="auto"/>
          <w:kern w:val="0"/>
          <w:sz w:val="32"/>
          <w:szCs w:val="32"/>
          <w:highlight w:val="none"/>
          <w:u w:val="none"/>
          <w:shd w:val="clear" w:color="auto" w:fill="FFFFFF"/>
          <w:lang w:val="en-US" w:eastAsia="zh-CN"/>
        </w:rPr>
        <w:t>1.</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实施目的：</w:t>
      </w: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通过项目资金支持，旨在应对基层社工服务力量薄弱、服务体系不完善的问题，推动城乡社区治理优化提升。具体包括：通过“补短板”子项目，补充社区服务设施，为老年人等重点群体提供精准化关爱服务；通过“提能力”子项目，规范化建设社工站（室），提升社区综合服务、产业赋能、社区治理及社工专业能力。</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仿宋_GB2312" w:cs="Times New Roman"/>
          <w:b/>
          <w:bCs/>
          <w:color w:val="auto"/>
          <w:kern w:val="0"/>
          <w:sz w:val="32"/>
          <w:szCs w:val="32"/>
          <w:highlight w:val="none"/>
          <w:u w:val="none"/>
          <w:shd w:val="clear" w:color="auto" w:fill="FFFFFF"/>
          <w:lang w:val="en-US" w:eastAsia="zh-CN"/>
        </w:rPr>
      </w:pPr>
      <w:r>
        <w:rPr>
          <w:rFonts w:hint="eastAsia" w:ascii="Times New Roman" w:cs="Times New Roman"/>
          <w:b/>
          <w:bCs/>
          <w:color w:val="auto"/>
          <w:kern w:val="0"/>
          <w:sz w:val="32"/>
          <w:szCs w:val="32"/>
          <w:highlight w:val="none"/>
          <w:u w:val="none"/>
          <w:shd w:val="clear" w:color="auto" w:fill="FFFFFF"/>
          <w:lang w:val="en-US" w:eastAsia="zh-CN"/>
        </w:rPr>
        <w:t>2.</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主要工作任务：</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“补短板”项目（维古乡）：开展“维老相伴”老人关爱服务，包括为老人建立健康档案、提供义诊、助洁、助浴、义剪等生活照料，实施适老化改造，开展社区关爱及小组活动。</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“提能力”项目（沙石多镇昌德村）：开展“彩林邻里节”等社区融合活动，实施文旅产业赋能培训，组建社区自治组织（彩林主理人），开展“彩林家园共建行动”等环境治理活动，并提升社工专业服务水平。</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b w:val="0"/>
          <w:bCs w:val="0"/>
          <w:sz w:val="32"/>
          <w:szCs w:val="32"/>
          <w:lang w:val="zh-CN"/>
        </w:rPr>
      </w:pPr>
      <w:r>
        <w:rPr>
          <w:rFonts w:hint="eastAsia" w:ascii="Times New Roman" w:cs="Times New Roman"/>
          <w:b/>
          <w:bCs/>
          <w:color w:val="auto"/>
          <w:kern w:val="0"/>
          <w:sz w:val="32"/>
          <w:szCs w:val="32"/>
          <w:highlight w:val="none"/>
          <w:u w:val="none"/>
          <w:shd w:val="clear" w:color="auto" w:fill="FFFFFF"/>
          <w:lang w:val="en-US" w:eastAsia="zh-CN"/>
        </w:rPr>
        <w:t>3.</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支持方向：</w:t>
      </w: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资金主要用于</w:t>
      </w:r>
      <w:r>
        <w:rPr>
          <w:rFonts w:hint="eastAsia" w:ascii="Times New Roman" w:cs="Times New Roman"/>
          <w:b w:val="0"/>
          <w:bCs w:val="0"/>
          <w:color w:val="auto"/>
          <w:kern w:val="0"/>
          <w:sz w:val="32"/>
          <w:szCs w:val="32"/>
          <w:highlight w:val="none"/>
          <w:u w:val="none"/>
          <w:shd w:val="clear" w:color="auto" w:fill="FFFFFF"/>
          <w:lang w:val="en-US" w:eastAsia="zh-CN"/>
        </w:rPr>
        <w:t>社区综合服务设施规范化建设，</w:t>
      </w: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相关服务阵地（社工站/室</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）的规范化建设与氛围营造，以及支持购买专业社会工作服务，开展社区服务、社区治理、产业赋能、社会救助、为老服务等具体活动。</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eastAsia="zh-CN"/>
        </w:rPr>
        <w:t>（三）</w:t>
      </w:r>
      <w:r>
        <w:rPr>
          <w:rFonts w:hint="default" w:ascii="Times New Roman" w:hAnsi="Times New Roman" w:eastAsia="楷体_GB2312" w:cs="Times New Roman"/>
          <w:b/>
          <w:bCs/>
          <w:color w:val="auto"/>
          <w:sz w:val="32"/>
          <w:szCs w:val="32"/>
          <w:highlight w:val="none"/>
          <w:u w:val="none"/>
          <w:lang w:val="en-US" w:eastAsia="zh-CN"/>
        </w:rPr>
        <w:t>预算安排及分配管理</w:t>
      </w:r>
      <w:r>
        <w:rPr>
          <w:rFonts w:hint="default" w:ascii="Times New Roman" w:hAnsi="Times New Roman" w:eastAsia="楷体_GB2312" w:cs="Times New Roman"/>
          <w:b/>
          <w:bCs/>
          <w:color w:val="auto"/>
          <w:sz w:val="32"/>
          <w:szCs w:val="32"/>
          <w:highlight w:val="none"/>
          <w:u w:val="none"/>
          <w:lang w:val="zh-CN" w:eastAsia="zh-CN"/>
        </w:rPr>
        <w:t>。</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项目年度资金总额为70万元，全部为省级财政补助资金。资金分配充分考虑不同区域社区治理的差异化需求，其中：“补短板”项目（维古乡俄市坝村）安排资金30万元，用于党群服务中心硬件改造（18万元）和购买为老社工服务（12万元）；“提能力”项目（沙石多镇昌德村）安排资金40万元，用于镇、村两级社工站（室）氛围营造（12万元）和购买综合社工服务（28万元）。资金通过因素法分配，直接拨付至项目实施乡镇，专项用于既定服务内容。</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eastAsia="zh-CN"/>
        </w:rPr>
        <w:t>（四）项目绩效目标设置。</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项目依据《中共四川省委社会工作部关于确定成都市成华区等101个县(市、区)实施2024年城乡社区治理优化提升行动项目的通知》(川社工发〔2025〕1号)立项实施。年度总体目标为：在试点区域组织实施城乡社区治理优化提升行动，推动为民服务直达末梢、基层治理效能不断增强，城乡社区治理服务水平实现整体提升。具体绩效目标包括：完成1个“补短板”工程项目和1个“提能力”工程项目建设，项目验收合格率达到100%，城乡社区综合服务能力提升达标率≥90%，服务对象满意度≥90%，并有效提升基层治理效能</w:t>
      </w:r>
      <w:r>
        <w:rPr>
          <w:rFonts w:hint="eastAsia" w:ascii="仿宋_GB2312" w:hAnsi="仿宋_GB2312" w:eastAsia="仿宋_GB2312" w:cs="仿宋_GB2312"/>
          <w:b w:val="0"/>
          <w:bCs w:val="0"/>
          <w:color w:val="auto"/>
          <w:kern w:val="0"/>
          <w:sz w:val="32"/>
          <w:szCs w:val="32"/>
          <w:highlight w:val="none"/>
          <w:u w:val="none"/>
          <w:shd w:val="clear" w:color="auto" w:fill="FFFFFF"/>
          <w:lang w:val="zh-CN" w:eastAsia="zh-CN"/>
        </w:rPr>
        <w:t>，</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项目自评工作已按计划启动。</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b w:val="0"/>
          <w:bCs w:val="0"/>
          <w:sz w:val="32"/>
          <w:szCs w:val="32"/>
          <w:highlight w:val="none"/>
          <w:lang w:eastAsia="zh-CN"/>
        </w:rPr>
      </w:pPr>
      <w:r>
        <w:rPr>
          <w:rFonts w:hint="default" w:ascii="Times New Roman" w:hAnsi="Times New Roman" w:eastAsia="黑体" w:cs="Times New Roman"/>
          <w:b w:val="0"/>
          <w:bCs w:val="0"/>
          <w:sz w:val="32"/>
          <w:szCs w:val="32"/>
          <w:highlight w:val="none"/>
        </w:rPr>
        <w:t>二、</w:t>
      </w:r>
      <w:r>
        <w:rPr>
          <w:rFonts w:hint="default" w:ascii="Times New Roman" w:hAnsi="Times New Roman" w:eastAsia="黑体" w:cs="Times New Roman"/>
          <w:b w:val="0"/>
          <w:bCs w:val="0"/>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（一）评价目的。</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通过项目绩效自评，旨在全面、客观地评估省级财政民政事业补助资金的使用效益，总结“补短板”与“提能力”两个子项目的实施成效与经验，系统梳理项目在决策、管理、实施及结果产出各环节的实际情况，发现存在的问题与不足，为后续优化预算安排、完善项目管理、提升政策效能提供依据，确保财政资金发挥应有作用。</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（二）预设问题及评价重点。</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本次自评预设问题包括：项目决策是否符合政策要求？资金管理是否规范有效？项目任务是否按计划完成？服务目标是否达成？群众是否满意？评价重点将围绕资金使用的合规性、项目执行进度、服务目标完成度、服务对象满意度以及项目对基层社会治理和民生改善的实际效果展开。</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（三）评价选点。</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根据要求，本次评价选取黑水县作为核心评价点，并重点对项目实施地</w:t>
      </w:r>
      <w:r>
        <w:rPr>
          <w:rFonts w:hint="eastAsia" w:ascii="仿宋_GB2312" w:hAnsi="仿宋_GB2312" w:eastAsia="仿宋_GB2312" w:cs="仿宋_GB2312"/>
          <w:b w:val="0"/>
          <w:bCs w:val="0"/>
          <w:color w:val="auto"/>
          <w:kern w:val="0"/>
          <w:sz w:val="32"/>
          <w:szCs w:val="32"/>
          <w:highlight w:val="none"/>
          <w:u w:val="none"/>
          <w:shd w:val="clear" w:color="auto" w:fill="FFFFFF"/>
          <w:lang w:val="zh-CN" w:eastAsia="zh-CN"/>
        </w:rPr>
        <w:t>：</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沙石多镇昌德村（“提能力”项目点）和维古乡俄市坝村（“补短板”项目点）进行实地踏勘。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（四）评价方法。</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根据项目情况和评价重点，采用单位自评法作为该项目评价方法，主要通过收集项目执行单位的总结报告、活动记录、服务台账、图片资料等，并结合必要的实地查看、访谈等方式，对项目绩效进行综合评价。</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（五）评价组织。</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评价工作由县委社会工作部牵头组织，成立项目绩效自评工作组。工作组由部内相关业务科室人员、财务人员构成。职责分工包括：负责制定自评</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指标</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、收集与分析项目资料、进行实地核查、汇总分析数据、撰写自评报告等。</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b w:val="0"/>
          <w:bCs w:val="0"/>
          <w:color w:val="auto"/>
          <w:sz w:val="32"/>
          <w:szCs w:val="32"/>
          <w:highlight w:val="none"/>
          <w:u w:val="none"/>
          <w:lang w:val="zh-CN"/>
        </w:rPr>
      </w:pPr>
      <w:r>
        <w:rPr>
          <w:rFonts w:hint="default" w:ascii="Times New Roman" w:hAnsi="Times New Roman" w:eastAsia="黑体" w:cs="Times New Roman"/>
          <w:b w:val="0"/>
          <w:bCs w:val="0"/>
          <w:color w:val="auto"/>
          <w:sz w:val="32"/>
          <w:szCs w:val="32"/>
          <w:highlight w:val="none"/>
          <w:u w:val="none"/>
        </w:rPr>
        <w:t>三、</w:t>
      </w:r>
      <w:r>
        <w:rPr>
          <w:rFonts w:hint="default" w:ascii="Times New Roman" w:hAnsi="Times New Roman" w:eastAsia="黑体" w:cs="Times New Roman"/>
          <w:b w:val="0"/>
          <w:bCs w:val="0"/>
          <w:color w:val="auto"/>
          <w:sz w:val="32"/>
          <w:szCs w:val="32"/>
          <w:highlight w:val="none"/>
          <w:u w:val="none"/>
          <w:lang w:eastAsia="zh-CN"/>
        </w:rPr>
        <w:t>绩效分析</w:t>
      </w:r>
      <w:r>
        <w:rPr>
          <w:rFonts w:hint="default" w:ascii="Times New Roman" w:hAnsi="Times New Roman" w:cs="Times New Roman"/>
          <w:b w:val="0"/>
          <w:bCs w:val="0"/>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根据项目预算绩效评价指标体系“通用指标”“专用指标”“个性指标”涉及二、三级指标进行逐项绩效分析并评分</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bCs/>
          <w:color w:val="auto"/>
          <w:sz w:val="32"/>
          <w:szCs w:val="32"/>
          <w:highlight w:val="none"/>
          <w:u w:val="none"/>
          <w:lang w:val="en-US" w:eastAsia="zh-CN"/>
        </w:rPr>
      </w:pPr>
      <w:r>
        <w:rPr>
          <w:rFonts w:hint="default" w:ascii="Times New Roman" w:hAnsi="Times New Roman" w:eastAsia="楷体_GB2312" w:cs="Times New Roman"/>
          <w:b/>
          <w:bCs/>
          <w:color w:val="auto"/>
          <w:sz w:val="32"/>
          <w:szCs w:val="32"/>
          <w:highlight w:val="none"/>
          <w:u w:val="none"/>
          <w:lang w:val="zh-CN"/>
        </w:rPr>
        <w:t>（一）</w:t>
      </w:r>
      <w:r>
        <w:rPr>
          <w:rFonts w:hint="default" w:ascii="Times New Roman" w:hAnsi="Times New Roman" w:eastAsia="楷体_GB2312" w:cs="Times New Roman"/>
          <w:b/>
          <w:bCs/>
          <w:color w:val="auto"/>
          <w:sz w:val="32"/>
          <w:szCs w:val="32"/>
          <w:highlight w:val="none"/>
          <w:u w:val="none"/>
          <w:lang w:val="en-US" w:eastAsia="zh-CN"/>
        </w:rPr>
        <w:t>通用指标</w:t>
      </w:r>
      <w:r>
        <w:rPr>
          <w:rFonts w:hint="default" w:ascii="Times New Roman" w:hAnsi="Times New Roman" w:eastAsia="楷体_GB2312" w:cs="Times New Roman"/>
          <w:b/>
          <w:bCs/>
          <w:color w:val="auto"/>
          <w:sz w:val="32"/>
          <w:szCs w:val="32"/>
          <w:highlight w:val="none"/>
          <w:u w:val="none"/>
          <w:lang w:val="zh-CN"/>
        </w:rPr>
        <w:t>绩效分析。指标分值54分，自评得分54分</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bCs/>
          <w:color w:val="auto"/>
          <w:sz w:val="32"/>
          <w:szCs w:val="32"/>
          <w:lang w:eastAsia="zh-CN"/>
        </w:rPr>
      </w:pPr>
      <w:r>
        <w:rPr>
          <w:rFonts w:hint="default" w:ascii="Times New Roman" w:hAnsi="Times New Roman" w:eastAsia="楷体_GB2312" w:cs="Times New Roman"/>
          <w:b/>
          <w:bCs/>
          <w:color w:val="auto"/>
          <w:sz w:val="32"/>
          <w:szCs w:val="32"/>
          <w:lang w:val="en-US" w:eastAsia="zh-CN"/>
        </w:rPr>
        <w:t>1.</w:t>
      </w:r>
      <w:r>
        <w:rPr>
          <w:rFonts w:hint="default" w:ascii="Times New Roman" w:hAnsi="Times New Roman" w:eastAsia="楷体_GB2312" w:cs="Times New Roman"/>
          <w:b/>
          <w:bCs/>
          <w:color w:val="auto"/>
          <w:sz w:val="32"/>
          <w:szCs w:val="32"/>
          <w:lang w:eastAsia="zh-CN"/>
        </w:rPr>
        <w:t>项目决策。指标分值18分，自评得分18分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决策程序：项目依据省级《城乡社区治理优化提升行动方案(2023-2025年)》及相关通知文件申报，决策程序严密，符合上级政策要求，聚焦基层社会治理短板。指标分值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规划论证：项目设计包含“补短板”与“提能力”两个方向，针对老年关爱和社区综合服务能力提升，规划具有针对性，与本地实际需求紧密结合，绩效目标设置科学合理。指标分值6分，自评得分6分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资金投向：资金投向明确，聚焦于社区服务设施补充、社工站（室）规范化建设及购买专业社工服务，与项目总体规划、社区治理事业发展高度匹配，属于民生保障和基层治理重点领域。指标分值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bCs/>
          <w:color w:val="auto"/>
          <w:sz w:val="32"/>
          <w:szCs w:val="32"/>
          <w:lang w:eastAsia="zh-CN"/>
        </w:rPr>
      </w:pPr>
      <w:r>
        <w:rPr>
          <w:rFonts w:hint="default" w:ascii="Times New Roman" w:hAnsi="Times New Roman" w:eastAsia="楷体_GB2312" w:cs="Times New Roman"/>
          <w:b/>
          <w:bCs/>
          <w:color w:val="auto"/>
          <w:sz w:val="32"/>
          <w:szCs w:val="32"/>
          <w:lang w:val="en-US" w:eastAsia="zh-CN"/>
        </w:rPr>
        <w:t>2.</w:t>
      </w:r>
      <w:r>
        <w:rPr>
          <w:rFonts w:hint="default" w:ascii="Times New Roman" w:hAnsi="Times New Roman" w:eastAsia="楷体_GB2312" w:cs="Times New Roman"/>
          <w:b/>
          <w:bCs/>
          <w:color w:val="auto"/>
          <w:sz w:val="32"/>
          <w:szCs w:val="32"/>
          <w:lang w:eastAsia="zh-CN"/>
        </w:rPr>
        <w:t>项目管理。指标分值18分，自评得分1</w:t>
      </w:r>
      <w:r>
        <w:rPr>
          <w:rFonts w:hint="eastAsia" w:eastAsia="楷体_GB2312" w:cs="Times New Roman"/>
          <w:b/>
          <w:bCs/>
          <w:color w:val="auto"/>
          <w:sz w:val="32"/>
          <w:szCs w:val="32"/>
          <w:lang w:val="en-US" w:eastAsia="zh-CN"/>
        </w:rPr>
        <w:t>5</w:t>
      </w:r>
      <w:r>
        <w:rPr>
          <w:rFonts w:hint="default" w:ascii="Times New Roman" w:hAnsi="Times New Roman" w:eastAsia="楷体_GB2312" w:cs="Times New Roman"/>
          <w:b/>
          <w:bCs/>
          <w:color w:val="auto"/>
          <w:sz w:val="32"/>
          <w:szCs w:val="32"/>
          <w:lang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制度办法：项目执行有明确的购买服务协议，执行单位制定了详细的服务计划与推进表，管理制度体系健全、要素完备。指标分值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分配管理：资金通过因素法分配至两个乡镇，用于硬件建设和购买服务，分配因素选取（需求紧迫性、基础条件）合理，审批拨付流程符合管理要求。指标分值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绩效监管：项目执行过程中接受了专业督导和中期评估，表明已按要求开展绩效监管与指导，对下指导有力有效。指标分值6分，自评得分6分</w:t>
      </w:r>
    </w:p>
    <w:p>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3.项目实施。指标分值</w:t>
      </w:r>
      <w:r>
        <w:rPr>
          <w:rFonts w:hint="eastAsia" w:eastAsia="楷体_GB2312" w:cs="Times New Roman"/>
          <w:b/>
          <w:bCs/>
          <w:color w:val="auto"/>
          <w:sz w:val="32"/>
          <w:szCs w:val="32"/>
          <w:lang w:val="en-US" w:eastAsia="zh-CN"/>
        </w:rPr>
        <w:t>9</w:t>
      </w:r>
      <w:r>
        <w:rPr>
          <w:rFonts w:hint="default" w:ascii="Times New Roman" w:hAnsi="Times New Roman" w:eastAsia="楷体_GB2312" w:cs="Times New Roman"/>
          <w:b/>
          <w:bCs/>
          <w:color w:val="auto"/>
          <w:sz w:val="32"/>
          <w:szCs w:val="32"/>
          <w:lang w:val="en-US" w:eastAsia="zh-CN"/>
        </w:rPr>
        <w:t>分，自评得分</w:t>
      </w:r>
      <w:r>
        <w:rPr>
          <w:rFonts w:hint="eastAsia" w:eastAsia="楷体_GB2312" w:cs="Times New Roman"/>
          <w:b/>
          <w:bCs/>
          <w:color w:val="auto"/>
          <w:sz w:val="32"/>
          <w:szCs w:val="32"/>
          <w:lang w:val="en-US" w:eastAsia="zh-CN"/>
        </w:rPr>
        <w:t>9</w:t>
      </w:r>
      <w:r>
        <w:rPr>
          <w:rFonts w:hint="default" w:ascii="Times New Roman" w:hAnsi="Times New Roman" w:eastAsia="楷体_GB2312" w:cs="Times New Roman"/>
          <w:b/>
          <w:bCs/>
          <w:color w:val="auto"/>
          <w:sz w:val="32"/>
          <w:szCs w:val="32"/>
          <w:lang w:val="en-US"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预算执行：从阶段性报告看，各项服务活动已按计划启动并部分完成，资金按进度拨付，预算执行情况良好。指标分值6分，自评得分6分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资金使用：根据报告，资金用于开展具体的社区活动、培训、慰问、服务及硬件建设等，符合项目支持方向，使用合规。指标分值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4.项目结果。指标分值9分，自评得分</w:t>
      </w:r>
      <w:r>
        <w:rPr>
          <w:rFonts w:hint="eastAsia" w:eastAsia="楷体_GB2312" w:cs="Times New Roman"/>
          <w:b/>
          <w:bCs/>
          <w:color w:val="auto"/>
          <w:sz w:val="32"/>
          <w:szCs w:val="32"/>
          <w:lang w:val="en-US" w:eastAsia="zh-CN"/>
        </w:rPr>
        <w:t>6</w:t>
      </w:r>
      <w:r>
        <w:rPr>
          <w:rFonts w:hint="default" w:ascii="Times New Roman" w:hAnsi="Times New Roman" w:eastAsia="楷体_GB2312" w:cs="Times New Roman"/>
          <w:b/>
          <w:bCs/>
          <w:color w:val="auto"/>
          <w:sz w:val="32"/>
          <w:szCs w:val="32"/>
          <w:lang w:val="en-US"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目标完成：阶段性目标完成度较高。两个子项目均已完成硬件建设/氛围营造并投入使用，购买服务部分亦全面启动，开展了大量社区活动与服务，基本实现预期阶段性目标。指标分值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4</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完成时效：硬件建设部分已按计划于6月底前完成。购买服务部分自8月起正式开展，目前各项活动正按年度推进计划执行，总体进度符合预期。指标分值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bCs/>
          <w:color w:val="auto"/>
          <w:sz w:val="32"/>
          <w:szCs w:val="32"/>
          <w:highlight w:val="none"/>
          <w:u w:val="none"/>
          <w:lang w:val="zh-CN"/>
        </w:rPr>
      </w:pPr>
      <w:r>
        <w:rPr>
          <w:rFonts w:hint="default" w:ascii="Times New Roman" w:hAnsi="Times New Roman" w:eastAsia="楷体_GB2312" w:cs="Times New Roman"/>
          <w:b/>
          <w:bCs/>
          <w:color w:val="auto"/>
          <w:sz w:val="32"/>
          <w:szCs w:val="32"/>
          <w:highlight w:val="none"/>
          <w:u w:val="none"/>
          <w:lang w:val="zh-CN" w:eastAsia="zh-CN"/>
        </w:rPr>
        <w:t>（二）</w:t>
      </w:r>
      <w:r>
        <w:rPr>
          <w:rFonts w:hint="default" w:ascii="Times New Roman" w:hAnsi="Times New Roman" w:eastAsia="楷体_GB2312" w:cs="Times New Roman"/>
          <w:b/>
          <w:bCs/>
          <w:color w:val="auto"/>
          <w:sz w:val="32"/>
          <w:szCs w:val="32"/>
          <w:highlight w:val="none"/>
          <w:u w:val="none"/>
          <w:lang w:val="en-US" w:eastAsia="zh-CN"/>
        </w:rPr>
        <w:t>专用指标</w:t>
      </w:r>
      <w:r>
        <w:rPr>
          <w:rFonts w:hint="default" w:ascii="Times New Roman" w:hAnsi="Times New Roman" w:eastAsia="楷体_GB2312" w:cs="Times New Roman"/>
          <w:b/>
          <w:bCs/>
          <w:color w:val="auto"/>
          <w:sz w:val="32"/>
          <w:szCs w:val="32"/>
          <w:highlight w:val="none"/>
          <w:u w:val="none"/>
          <w:lang w:val="zh-CN" w:eastAsia="zh-CN"/>
        </w:rPr>
        <w:t>绩效分析。指标分值30分，自评得分</w:t>
      </w:r>
      <w:r>
        <w:rPr>
          <w:rFonts w:hint="eastAsia" w:hAnsi="Times New Roman" w:eastAsia="楷体_GB2312" w:cs="Times New Roman"/>
          <w:b/>
          <w:bCs/>
          <w:color w:val="auto"/>
          <w:sz w:val="32"/>
          <w:szCs w:val="32"/>
          <w:highlight w:val="none"/>
          <w:u w:val="none"/>
          <w:lang w:val="en-US" w:eastAsia="zh-CN"/>
        </w:rPr>
        <w:t>30</w:t>
      </w:r>
      <w:r>
        <w:rPr>
          <w:rFonts w:hint="default" w:ascii="Times New Roman" w:hAnsi="Times New Roman" w:eastAsia="楷体_GB2312" w:cs="Times New Roman"/>
          <w:b/>
          <w:bCs/>
          <w:color w:val="auto"/>
          <w:sz w:val="32"/>
          <w:szCs w:val="32"/>
          <w:highlight w:val="none"/>
          <w:u w:val="none"/>
          <w:lang w:val="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本项目资金主要用于民生保障，因此重点参考“民生保障类”指标。</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区域均衡性：项目覆盖了维古乡和沙石多镇两个不同区域，分别关注老年群体和综合社区服务，在县域内体现了对不同群体、不同地域需求的均衡关注。指标分值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对象精准性：“补短板”项目精准对焦维古乡60岁以上居家养老老人，并完成97人全覆盖建档；“提能力”项目服务覆盖昌德村等5个行政村村民及旅游从业者，资金支持对象精准，符合支持范围。指标分值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标准合理性：资金通过购买服务协议约定标准执行，硬件建设部分已验收付款，服务部分按进度拨付，补贴标准符合协议规定并及时兑现。指标分值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5</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5</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4.</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群众满意度：报告反映“活动满意度较高”，且“彩林邻里节”有效激活社区活力，间接反映了群众的认可。需通过更系统的满意度调查获取直接数据。指标分值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5</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5</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bCs/>
          <w:color w:val="auto"/>
          <w:sz w:val="32"/>
          <w:szCs w:val="32"/>
          <w:highlight w:val="none"/>
          <w:u w:val="none"/>
          <w:lang w:val="zh-CN" w:eastAsia="zh-CN"/>
        </w:rPr>
      </w:pPr>
      <w:r>
        <w:rPr>
          <w:rFonts w:hint="default" w:ascii="Times New Roman" w:hAnsi="Times New Roman" w:eastAsia="楷体_GB2312" w:cs="Times New Roman"/>
          <w:b/>
          <w:bCs/>
          <w:color w:val="auto"/>
          <w:sz w:val="32"/>
          <w:szCs w:val="32"/>
          <w:highlight w:val="none"/>
          <w:u w:val="none"/>
          <w:lang w:val="zh-CN" w:eastAsia="zh-CN"/>
        </w:rPr>
        <w:t>（三）</w:t>
      </w:r>
      <w:r>
        <w:rPr>
          <w:rFonts w:hint="default" w:ascii="Times New Roman" w:hAnsi="Times New Roman" w:eastAsia="楷体_GB2312" w:cs="Times New Roman"/>
          <w:b/>
          <w:bCs/>
          <w:color w:val="auto"/>
          <w:sz w:val="32"/>
          <w:szCs w:val="32"/>
          <w:highlight w:val="none"/>
          <w:u w:val="none"/>
          <w:lang w:val="en-US" w:eastAsia="zh-CN"/>
        </w:rPr>
        <w:t>个性指标</w:t>
      </w:r>
      <w:r>
        <w:rPr>
          <w:rFonts w:hint="default" w:ascii="Times New Roman" w:hAnsi="Times New Roman" w:eastAsia="楷体_GB2312" w:cs="Times New Roman"/>
          <w:b/>
          <w:bCs/>
          <w:color w:val="auto"/>
          <w:sz w:val="32"/>
          <w:szCs w:val="32"/>
          <w:highlight w:val="none"/>
          <w:u w:val="none"/>
          <w:lang w:val="zh-CN" w:eastAsia="zh-CN"/>
        </w:rPr>
        <w:t>绩效分析。指标分值16分，自评得分16分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社区综合服务设施达标：“补短板”项目硬件改造部分已完工并投入使用，社区综合服务设施得到补充和完善，初步达标。指标分值5分，自评得分5分。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三级社工体系建设：“提能力”项目已完成镇、村两级社工站（室）的规范化氛围营造，为完善县-乡-村三级社工服务体系奠定了阵地基础。指标分值5分，自评得分5分。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基层治理效能提升水平：通过培育“彩林主理人”自治组织、开展“家园共建”行动、提供为老关爱服务等，项目在激发社区内生动力、改善村容村貌、关爱特殊群体方面已显现成效，基层治理效能得到提升。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b w:val="0"/>
          <w:bCs w:val="0"/>
          <w:color w:val="auto"/>
          <w:sz w:val="32"/>
          <w:szCs w:val="32"/>
          <w:highlight w:val="none"/>
          <w:u w:val="none"/>
        </w:rPr>
      </w:pPr>
      <w:r>
        <w:rPr>
          <w:rFonts w:hint="default" w:ascii="Times New Roman" w:hAnsi="Times New Roman" w:eastAsia="黑体" w:cs="Times New Roman"/>
          <w:b w:val="0"/>
          <w:bCs w:val="0"/>
          <w:color w:val="auto"/>
          <w:sz w:val="32"/>
          <w:szCs w:val="32"/>
          <w:highlight w:val="none"/>
          <w:u w:val="none"/>
          <w:lang w:eastAsia="zh-CN"/>
        </w:rPr>
        <w:t>四</w:t>
      </w:r>
      <w:r>
        <w:rPr>
          <w:rFonts w:hint="default" w:ascii="Times New Roman" w:hAnsi="Times New Roman" w:eastAsia="黑体" w:cs="Times New Roman"/>
          <w:b w:val="0"/>
          <w:bCs w:val="0"/>
          <w:color w:val="auto"/>
          <w:sz w:val="32"/>
          <w:szCs w:val="32"/>
          <w:highlight w:val="none"/>
          <w:u w:val="none"/>
        </w:rPr>
        <w:t>、评价结论</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本项目决策科学，管理规范，实施有序，资金使用合规。截至评价时点，项目硬件建设任务已完成，购买的社会工作服务已全面铺开并取得阶段性显著成效：“补短板”项目扎实开展了为老服务，有效回应了老年人多元需求；“提能力”项目在社区融合、产业赋能、社区治理等方面取得了初步成效，品牌活动与自治组织培育初见成果。项目在精准服务对象、链接社会资源、培育内生力量、夯实服务阵地等方面表现突出。经综合评定，本项目绩效自评总得分为9</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7</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b w:val="0"/>
          <w:bCs w:val="0"/>
          <w:color w:val="auto"/>
          <w:sz w:val="32"/>
          <w:szCs w:val="32"/>
          <w:highlight w:val="none"/>
          <w:u w:val="none"/>
          <w:lang w:eastAsia="zh-CN"/>
        </w:rPr>
      </w:pPr>
      <w:r>
        <w:rPr>
          <w:rFonts w:hint="default" w:ascii="Times New Roman" w:hAnsi="Times New Roman" w:cs="Times New Roman"/>
          <w:b w:val="0"/>
          <w:bCs w:val="0"/>
          <w:color w:val="auto"/>
          <w:sz w:val="32"/>
          <w:szCs w:val="32"/>
          <w:highlight w:val="none"/>
          <w:u w:val="none"/>
          <w:lang w:eastAsia="zh-CN"/>
        </w:rPr>
        <w:t>五、</w:t>
      </w:r>
      <w:r>
        <w:rPr>
          <w:rFonts w:hint="default" w:ascii="Times New Roman" w:hAnsi="Times New Roman" w:eastAsia="黑体" w:cs="Times New Roman"/>
          <w:b w:val="0"/>
          <w:bCs w:val="0"/>
          <w:color w:val="auto"/>
          <w:sz w:val="32"/>
          <w:szCs w:val="32"/>
          <w:highlight w:val="none"/>
          <w:u w:val="none"/>
          <w:lang w:eastAsia="zh-CN"/>
        </w:rPr>
        <w:t>存在主要问题</w:t>
      </w:r>
    </w:p>
    <w:p>
      <w:pPr>
        <w:pStyle w:val="3"/>
        <w:pageBreakBefore w:val="0"/>
        <w:numPr>
          <w:ilvl w:val="0"/>
          <w:numId w:val="0"/>
        </w:numPr>
        <w:kinsoku/>
        <w:wordWrap/>
        <w:overflowPunct/>
        <w:topLinePunct w:val="0"/>
        <w:autoSpaceDE/>
        <w:autoSpaceDN/>
        <w:bidi w:val="0"/>
        <w:adjustRightInd/>
        <w:spacing w:line="600" w:lineRule="exact"/>
        <w:ind w:firstLine="642"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（一）</w:t>
      </w:r>
      <w:r>
        <w:rPr>
          <w:rFonts w:hint="default" w:ascii="Times New Roman" w:hAnsi="楷体_GB2312" w:eastAsia="楷体_GB2312" w:cs="楷体_GB2312"/>
          <w:b/>
          <w:bCs/>
          <w:kern w:val="0"/>
          <w:position w:val="0"/>
          <w:sz w:val="32"/>
          <w:szCs w:val="32"/>
          <w:highlight w:val="none"/>
          <w:lang w:val="en-US" w:eastAsia="zh-CN" w:bidi="ar-SA"/>
        </w:rPr>
        <w:t>可持续性与长效机制建设处于初期</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培育的社区自治组织和志愿者队伍，其长期运作机制和可持续发展能力仍需在项目后期及结束后持续观察和巩固。</w:t>
      </w:r>
    </w:p>
    <w:p>
      <w:pPr>
        <w:pStyle w:val="3"/>
        <w:pageBreakBefore w:val="0"/>
        <w:numPr>
          <w:ilvl w:val="0"/>
          <w:numId w:val="0"/>
        </w:numPr>
        <w:kinsoku/>
        <w:wordWrap/>
        <w:overflowPunct/>
        <w:topLinePunct w:val="0"/>
        <w:autoSpaceDE/>
        <w:autoSpaceDN/>
        <w:bidi w:val="0"/>
        <w:adjustRightInd/>
        <w:spacing w:line="600" w:lineRule="exact"/>
        <w:ind w:firstLine="642"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（二）</w:t>
      </w:r>
      <w:r>
        <w:rPr>
          <w:rFonts w:hint="default" w:ascii="Times New Roman" w:hAnsi="楷体_GB2312" w:eastAsia="楷体_GB2312" w:cs="楷体_GB2312"/>
          <w:b/>
          <w:bCs/>
          <w:kern w:val="0"/>
          <w:position w:val="0"/>
          <w:sz w:val="32"/>
          <w:szCs w:val="32"/>
          <w:highlight w:val="none"/>
          <w:lang w:val="en-US" w:eastAsia="zh-CN" w:bidi="ar-SA"/>
        </w:rPr>
        <w:t>项目绩效量化数据不够全面</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pPr>
      <w:r>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现有总结报告侧重于活动描述与定性成效，部分核心绩效指标（如群众满意度具体数值、服务带来的具体改变数据等）的量化支撑有待加强，以便更精确衡量资金效益。</w:t>
      </w:r>
    </w:p>
    <w:p>
      <w:pPr>
        <w:pStyle w:val="3"/>
        <w:pageBreakBefore w:val="0"/>
        <w:numPr>
          <w:ilvl w:val="0"/>
          <w:numId w:val="0"/>
        </w:numPr>
        <w:kinsoku/>
        <w:wordWrap/>
        <w:overflowPunct/>
        <w:topLinePunct w:val="0"/>
        <w:autoSpaceDE/>
        <w:autoSpaceDN/>
        <w:bidi w:val="0"/>
        <w:adjustRightInd/>
        <w:spacing w:line="600" w:lineRule="exact"/>
        <w:ind w:firstLine="642"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（三）</w:t>
      </w:r>
      <w:r>
        <w:rPr>
          <w:rFonts w:hint="default" w:ascii="Times New Roman" w:hAnsi="楷体_GB2312" w:eastAsia="楷体_GB2312" w:cs="楷体_GB2312"/>
          <w:b/>
          <w:bCs/>
          <w:kern w:val="0"/>
          <w:position w:val="0"/>
          <w:sz w:val="32"/>
          <w:szCs w:val="32"/>
          <w:highlight w:val="none"/>
          <w:lang w:val="en-US" w:eastAsia="zh-CN" w:bidi="ar-SA"/>
        </w:rPr>
        <w:t>部分计划任务尚在进行中</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pPr>
      <w:r>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根据项目推进</w:t>
      </w:r>
      <w:r>
        <w:rPr>
          <w:rFonts w:hint="eastAsia"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计划</w:t>
      </w:r>
      <w:r>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，两个子项目均有部分活动（如后续的培训、参访、小组活动、产业赋能培训等）</w:t>
      </w:r>
      <w:r>
        <w:rPr>
          <w:rFonts w:hint="eastAsia"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预计</w:t>
      </w:r>
      <w:r>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在后续月份开展，项目的完整成效需待全部任务完成后综合评估。</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b w:val="0"/>
          <w:bCs w:val="0"/>
          <w:color w:val="auto"/>
          <w:kern w:val="0"/>
          <w:position w:val="3"/>
          <w:sz w:val="32"/>
          <w:szCs w:val="32"/>
          <w:highlight w:val="none"/>
          <w:u w:val="none"/>
          <w:lang w:val="zh-CN" w:eastAsia="zh-CN" w:bidi="ar-SA"/>
        </w:rPr>
      </w:pPr>
      <w:r>
        <w:rPr>
          <w:rFonts w:hint="default" w:ascii="Times New Roman" w:hAnsi="Times New Roman" w:eastAsia="黑体" w:cs="Times New Roman"/>
          <w:b w:val="0"/>
          <w:bCs w:val="0"/>
          <w:color w:val="auto"/>
          <w:kern w:val="0"/>
          <w:position w:val="3"/>
          <w:sz w:val="32"/>
          <w:szCs w:val="32"/>
          <w:highlight w:val="none"/>
          <w:u w:val="none"/>
          <w:lang w:val="zh-CN" w:eastAsia="zh-CN" w:bidi="ar-SA"/>
        </w:rPr>
        <w:t>六、改进建议</w:t>
      </w:r>
    </w:p>
    <w:p>
      <w:pPr>
        <w:pStyle w:val="3"/>
        <w:pageBreakBefore w:val="0"/>
        <w:numPr>
          <w:ilvl w:val="0"/>
          <w:numId w:val="0"/>
        </w:numPr>
        <w:kinsoku/>
        <w:wordWrap/>
        <w:overflowPunct/>
        <w:topLinePunct w:val="0"/>
        <w:autoSpaceDE/>
        <w:autoSpaceDN/>
        <w:bidi w:val="0"/>
        <w:adjustRightInd/>
        <w:spacing w:line="600" w:lineRule="exact"/>
        <w:ind w:firstLine="642"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（一）</w:t>
      </w:r>
      <w:r>
        <w:rPr>
          <w:rFonts w:hint="default" w:ascii="Times New Roman" w:hAnsi="楷体_GB2312" w:eastAsia="楷体_GB2312" w:cs="楷体_GB2312"/>
          <w:b/>
          <w:bCs/>
          <w:kern w:val="0"/>
          <w:position w:val="0"/>
          <w:sz w:val="32"/>
          <w:szCs w:val="32"/>
          <w:highlight w:val="none"/>
          <w:lang w:val="en-US" w:eastAsia="zh-CN" w:bidi="ar-SA"/>
        </w:rPr>
        <w:t xml:space="preserve"> </w:t>
      </w:r>
      <w:bookmarkStart w:id="0" w:name="_Hlk110546638"/>
      <w:r>
        <w:rPr>
          <w:rFonts w:hint="default" w:ascii="Times New Roman" w:hAnsi="楷体_GB2312" w:eastAsia="楷体_GB2312" w:cs="楷体_GB2312"/>
          <w:b/>
          <w:bCs/>
          <w:kern w:val="0"/>
          <w:position w:val="0"/>
          <w:sz w:val="32"/>
          <w:szCs w:val="32"/>
          <w:highlight w:val="none"/>
          <w:lang w:val="en-US" w:eastAsia="zh-CN" w:bidi="ar-SA"/>
        </w:rPr>
        <w:t>深化服务与巩固成果</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在项目后期加强对社区自治组织和志愿者队伍的赋能与督导，协助其建立长效运作机制。</w:t>
      </w:r>
    </w:p>
    <w:p>
      <w:pPr>
        <w:pStyle w:val="3"/>
        <w:pageBreakBefore w:val="0"/>
        <w:numPr>
          <w:ilvl w:val="0"/>
          <w:numId w:val="0"/>
        </w:numPr>
        <w:kinsoku/>
        <w:wordWrap/>
        <w:overflowPunct/>
        <w:topLinePunct w:val="0"/>
        <w:autoSpaceDE/>
        <w:autoSpaceDN/>
        <w:bidi w:val="0"/>
        <w:adjustRightInd/>
        <w:spacing w:line="600" w:lineRule="exact"/>
        <w:ind w:firstLine="642" w:firstLineChars="200"/>
        <w:textAlignment w:val="auto"/>
        <w:rPr>
          <w:rFonts w:hint="eastAsia"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（二）强化绩效数据监测</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在后续项目执行与评估中，系统设计并收集关键绩效指标数据，如服务对象满意度问卷、具体行为改变案例等，为绩效评价提供坚实的数据基础。</w:t>
      </w:r>
    </w:p>
    <w:p>
      <w:pPr>
        <w:pStyle w:val="3"/>
        <w:pageBreakBefore w:val="0"/>
        <w:numPr>
          <w:ilvl w:val="0"/>
          <w:numId w:val="0"/>
        </w:numPr>
        <w:kinsoku/>
        <w:wordWrap/>
        <w:overflowPunct/>
        <w:topLinePunct w:val="0"/>
        <w:autoSpaceDE/>
        <w:autoSpaceDN/>
        <w:bidi w:val="0"/>
        <w:adjustRightInd/>
        <w:spacing w:line="600" w:lineRule="exact"/>
        <w:ind w:firstLine="642"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（三）</w:t>
      </w:r>
      <w:r>
        <w:rPr>
          <w:rFonts w:hint="default" w:ascii="Times New Roman" w:hAnsi="楷体_GB2312" w:eastAsia="楷体_GB2312" w:cs="楷体_GB2312"/>
          <w:b/>
          <w:bCs/>
          <w:kern w:val="0"/>
          <w:position w:val="0"/>
          <w:sz w:val="32"/>
          <w:szCs w:val="32"/>
          <w:highlight w:val="none"/>
          <w:lang w:val="en-US" w:eastAsia="zh-CN" w:bidi="ar-SA"/>
        </w:rPr>
        <w:t>加强全过程管理</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严格按照项目推进表完成剩余任务，并加强过程督导。在项目结束时，开展全面、系统的末期评估，对照初期设定的所有绩效目标，综合评价项目整体成效与资金使用效益，总结经验，形成可推广模式。</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pPr>
        <w:pStyle w:val="3"/>
        <w:pageBreakBefore w:val="0"/>
        <w:numPr>
          <w:ilvl w:val="0"/>
          <w:numId w:val="0"/>
        </w:numPr>
        <w:kinsoku/>
        <w:wordWrap/>
        <w:overflowPunct/>
        <w:topLinePunct w:val="0"/>
        <w:autoSpaceDE/>
        <w:autoSpaceDN/>
        <w:bidi w:val="0"/>
        <w:adjustRightInd/>
        <w:spacing w:line="600" w:lineRule="exact"/>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公务用车采购</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专项预算绩效自评报告</w:t>
      </w:r>
    </w:p>
    <w:p>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 xml:space="preserve">1.设立背景：随着行政履职需求提升，原有公务用车使用年限超 </w:t>
      </w:r>
      <w:r>
        <w:rPr>
          <w:rFonts w:hint="eastAsia" w:ascii="仿宋_GB2312" w:hAnsi="仿宋_GB2312" w:cs="仿宋_GB2312"/>
          <w:b w:val="0"/>
          <w:bCs/>
          <w:sz w:val="32"/>
          <w:szCs w:val="32"/>
          <w:lang w:val="en-US" w:eastAsia="zh-CN"/>
        </w:rPr>
        <w:t>13</w:t>
      </w:r>
      <w:r>
        <w:rPr>
          <w:rFonts w:hint="eastAsia" w:ascii="仿宋_GB2312" w:hAnsi="仿宋_GB2312" w:eastAsia="仿宋_GB2312" w:cs="仿宋_GB2312"/>
          <w:b w:val="0"/>
          <w:bCs/>
          <w:sz w:val="32"/>
          <w:szCs w:val="32"/>
          <w:lang w:val="zh-CN"/>
        </w:rPr>
        <w:t xml:space="preserve"> 年</w:t>
      </w:r>
      <w:r>
        <w:rPr>
          <w:rFonts w:hint="eastAsia" w:ascii="仿宋_GB2312" w:hAnsi="仿宋_GB2312" w:cs="仿宋_GB2312"/>
          <w:b w:val="0"/>
          <w:bCs/>
          <w:sz w:val="32"/>
          <w:szCs w:val="32"/>
          <w:lang w:val="en-US" w:eastAsia="zh-CN"/>
        </w:rPr>
        <w:t>10月</w:t>
      </w:r>
      <w:r>
        <w:rPr>
          <w:rFonts w:hint="eastAsia" w:ascii="仿宋_GB2312" w:hAnsi="仿宋_GB2312" w:eastAsia="仿宋_GB2312" w:cs="仿宋_GB2312"/>
          <w:b w:val="0"/>
          <w:bCs/>
          <w:sz w:val="32"/>
          <w:szCs w:val="32"/>
          <w:lang w:val="zh-CN"/>
        </w:rPr>
        <w:t>、行驶里程累计超</w:t>
      </w:r>
      <w:r>
        <w:rPr>
          <w:rFonts w:hint="eastAsia" w:ascii="仿宋_GB2312" w:hAnsi="仿宋_GB2312" w:cs="仿宋_GB2312"/>
          <w:b w:val="0"/>
          <w:bCs/>
          <w:sz w:val="32"/>
          <w:szCs w:val="32"/>
          <w:lang w:val="en-US" w:eastAsia="zh-CN"/>
        </w:rPr>
        <w:t>规定范围</w:t>
      </w:r>
      <w:r>
        <w:rPr>
          <w:rFonts w:hint="eastAsia" w:ascii="仿宋_GB2312" w:hAnsi="仿宋_GB2312" w:eastAsia="仿宋_GB2312" w:cs="仿宋_GB2312"/>
          <w:b w:val="0"/>
          <w:bCs/>
          <w:sz w:val="32"/>
          <w:szCs w:val="32"/>
          <w:lang w:val="zh-CN"/>
        </w:rPr>
        <w:t>，存在安全隐患且维修成本激增，为保障信访维稳、基层调研、应急处置等核心工作高效开展，依据公务用车配备更新相关规定，设立公务用车采购专项。</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2.立项依据：依据《党政机关公务用车管理办法》</w:t>
      </w:r>
      <w:r>
        <w:rPr>
          <w:rFonts w:hint="eastAsia" w:ascii="仿宋_GB2312" w:hAnsi="仿宋_GB2312" w:cs="仿宋_GB2312"/>
          <w:b w:val="0"/>
          <w:bCs/>
          <w:sz w:val="32"/>
          <w:szCs w:val="32"/>
          <w:lang w:val="zh-CN"/>
        </w:rPr>
        <w:t>，</w:t>
      </w:r>
      <w:r>
        <w:rPr>
          <w:rFonts w:hint="eastAsia" w:ascii="仿宋_GB2312" w:hAnsi="仿宋_GB2312" w:eastAsia="仿宋_GB2312" w:cs="仿宋_GB2312"/>
          <w:b w:val="0"/>
          <w:bCs/>
          <w:sz w:val="32"/>
          <w:szCs w:val="32"/>
          <w:lang w:val="zh-CN"/>
        </w:rPr>
        <w:t>经财政部门审核立项。</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3.主要内容：采购符合新能源及低排放标准的公务用车，同步完成车辆登记上牌、保险购置、驾驶员培训及车辆运维制度建设。</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4.主管部门职能：县级机关事务管理局（公务用车主管部门）负责统筹公务用车采购规划、预算申报、招标采购、调配管理及监督考核，保障车辆资源合理配置。</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1.资金管理办法：</w:t>
      </w:r>
      <w:r>
        <w:rPr>
          <w:rFonts w:hint="eastAsia" w:ascii="仿宋_GB2312" w:hAnsi="仿宋_GB2312" w:cs="仿宋_GB2312"/>
          <w:sz w:val="32"/>
          <w:szCs w:val="32"/>
          <w:lang w:val="en-US" w:eastAsia="zh-CN"/>
        </w:rPr>
        <w:t>根据相关文件精神规定</w:t>
      </w:r>
      <w:r>
        <w:rPr>
          <w:rFonts w:hint="eastAsia" w:ascii="仿宋_GB2312" w:hAnsi="仿宋_GB2312" w:eastAsia="仿宋_GB2312" w:cs="仿宋_GB2312"/>
          <w:sz w:val="32"/>
          <w:szCs w:val="32"/>
        </w:rPr>
        <w:t>明确资金使用范围、采购流程、支付节点、绩效评价等要求，确保资金专款专用、采购过程合规透明。</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2.实施目的：更新老化公务用车，优化公务用车结构，提升行政履职保障能力，降低车辆运维成本，践行绿色低碳出行理念，提高公务出行效率。</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3.主要工作任务：全年采购公务用车 </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rPr>
        <w:t>辆</w:t>
      </w:r>
      <w:r>
        <w:rPr>
          <w:rFonts w:hint="eastAsia" w:ascii="仿宋_GB2312" w:hAnsi="仿宋_GB2312" w:cs="仿宋_GB2312"/>
          <w:sz w:val="32"/>
          <w:szCs w:val="32"/>
          <w:lang w:eastAsia="zh-CN"/>
        </w:rPr>
        <w:t>，</w:t>
      </w:r>
      <w:r>
        <w:rPr>
          <w:rFonts w:hint="eastAsia" w:ascii="仿宋_GB2312" w:hAnsi="仿宋_GB2312" w:eastAsia="仿宋_GB2312" w:cs="仿宋_GB2312"/>
          <w:sz w:val="32"/>
          <w:szCs w:val="32"/>
        </w:rPr>
        <w:t>完成车辆交付及配套手续办理。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4.支持方向</w:t>
      </w:r>
      <w:r>
        <w:rPr>
          <w:rFonts w:hint="eastAsia" w:ascii="仿宋_GB2312" w:hAnsi="仿宋_GB2312" w:eastAsia="仿宋_GB2312" w:cs="仿宋_GB2312"/>
          <w:b w:val="0"/>
          <w:bCs w:val="0"/>
          <w:sz w:val="32"/>
          <w:szCs w:val="32"/>
        </w:rPr>
        <w:t>：重点投向公务用车采购、车辆购置附加费缴纳、保险及上牌服务、驾驶</w:t>
      </w:r>
      <w:r>
        <w:rPr>
          <w:rFonts w:hint="eastAsia" w:ascii="仿宋_GB2312" w:hAnsi="仿宋_GB2312" w:eastAsia="仿宋_GB2312" w:cs="仿宋_GB2312"/>
          <w:sz w:val="32"/>
          <w:szCs w:val="32"/>
        </w:rPr>
        <w:t>员培训、车辆运维管理系统建设等领域。</w:t>
      </w:r>
    </w:p>
    <w:p>
      <w:pPr>
        <w:ind w:firstLine="642" w:firstLineChars="200"/>
        <w:rPr>
          <w:rFonts w:hint="eastAsia" w:ascii="仿宋_GB2312" w:hAnsi="仿宋_GB2312" w:eastAsia="仿宋_GB2312" w:cs="仿宋_GB2312"/>
          <w:b w:val="0"/>
          <w:bCs w:val="0"/>
          <w:sz w:val="32"/>
          <w:szCs w:val="32"/>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r>
        <w:rPr>
          <w:rFonts w:hint="eastAsia" w:ascii="仿宋_GB2312" w:hAnsi="仿宋_GB2312" w:eastAsia="仿宋_GB2312" w:cs="仿宋_GB2312"/>
          <w:b w:val="0"/>
          <w:bCs w:val="0"/>
          <w:sz w:val="32"/>
          <w:szCs w:val="32"/>
        </w:rPr>
        <w:t xml:space="preserve">2025 年公务用车采购专项预算总额 </w:t>
      </w:r>
      <w:r>
        <w:rPr>
          <w:rFonts w:hint="eastAsia" w:ascii="仿宋_GB2312" w:hAnsi="仿宋_GB2312" w:cs="仿宋_GB2312"/>
          <w:b w:val="0"/>
          <w:bCs w:val="0"/>
          <w:sz w:val="32"/>
          <w:szCs w:val="32"/>
          <w:lang w:val="en-US" w:eastAsia="zh-CN"/>
        </w:rPr>
        <w:t>24.80</w:t>
      </w:r>
      <w:r>
        <w:rPr>
          <w:rFonts w:hint="eastAsia" w:ascii="仿宋_GB2312" w:hAnsi="仿宋_GB2312" w:eastAsia="仿宋_GB2312" w:cs="仿宋_GB2312"/>
          <w:b w:val="0"/>
          <w:bCs w:val="0"/>
          <w:sz w:val="32"/>
          <w:szCs w:val="32"/>
        </w:rPr>
        <w:t>万元，全部为一般公共预算资金，无配套资金。</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ind w:firstLine="640" w:firstLineChars="200"/>
        <w:rPr>
          <w:rFonts w:hint="eastAsia" w:ascii="仿宋_GB2312" w:hAnsi="仿宋_GB2312" w:eastAsia="仿宋_GB2312" w:cs="仿宋_GB2312"/>
          <w:b w:val="0"/>
          <w:bCs w:val="0"/>
          <w:sz w:val="32"/>
          <w:szCs w:val="32"/>
          <w:lang w:val="zh-CN" w:eastAsia="zh-CN"/>
        </w:rPr>
      </w:pPr>
      <w:r>
        <w:rPr>
          <w:rFonts w:hint="eastAsia" w:ascii="仿宋_GB2312" w:hAnsi="仿宋_GB2312" w:eastAsia="仿宋_GB2312" w:cs="仿宋_GB2312"/>
          <w:b w:val="0"/>
          <w:bCs w:val="0"/>
          <w:sz w:val="32"/>
          <w:szCs w:val="32"/>
          <w:lang w:val="zh-CN" w:eastAsia="zh-CN"/>
        </w:rPr>
        <w:t xml:space="preserve">1.整体目标：完成 </w:t>
      </w: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lang w:val="zh-CN" w:eastAsia="zh-CN"/>
        </w:rPr>
        <w:t>辆公务用车采购交付。</w:t>
      </w:r>
    </w:p>
    <w:p>
      <w:pPr>
        <w:ind w:firstLine="640" w:firstLineChars="200"/>
        <w:rPr>
          <w:rFonts w:hint="default" w:ascii="Times New Roman" w:hAnsi="Times New Roman" w:eastAsia="楷体_GB2312" w:cs="Times New Roman"/>
          <w:b/>
          <w:color w:val="auto"/>
          <w:sz w:val="32"/>
          <w:szCs w:val="32"/>
          <w:highlight w:val="none"/>
          <w:u w:val="none"/>
          <w:lang w:val="zh-CN" w:eastAsia="zh-CN"/>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lang w:val="zh-CN" w:eastAsia="zh-CN"/>
        </w:rPr>
        <w:t>.自评开展情况：成立由</w:t>
      </w:r>
      <w:r>
        <w:rPr>
          <w:rFonts w:hint="eastAsia" w:ascii="仿宋_GB2312" w:hAnsi="仿宋_GB2312" w:eastAsia="仿宋_GB2312" w:cs="仿宋_GB2312"/>
          <w:b w:val="0"/>
          <w:bCs w:val="0"/>
          <w:sz w:val="32"/>
          <w:szCs w:val="32"/>
          <w:lang w:val="en-US" w:eastAsia="zh-CN"/>
        </w:rPr>
        <w:t>我部</w:t>
      </w:r>
      <w:r>
        <w:rPr>
          <w:rFonts w:hint="eastAsia" w:ascii="仿宋_GB2312" w:hAnsi="仿宋_GB2312" w:eastAsia="仿宋_GB2312" w:cs="仿宋_GB2312"/>
          <w:b w:val="0"/>
          <w:bCs w:val="0"/>
          <w:sz w:val="32"/>
          <w:szCs w:val="32"/>
          <w:lang w:val="zh-CN" w:eastAsia="zh-CN"/>
        </w:rPr>
        <w:t>组成的自评小组，采用 “资料核查 + 实地查验 ”方式，全面开展绩效自评工作</w:t>
      </w:r>
      <w:r>
        <w:rPr>
          <w:rFonts w:hint="eastAsia" w:ascii="仿宋_GB2312" w:hAnsi="仿宋_GB2312" w:eastAsia="仿宋_GB2312" w:cs="仿宋_GB2312"/>
          <w:b w:val="0"/>
          <w:bCs/>
          <w:color w:val="auto"/>
          <w:sz w:val="32"/>
          <w:szCs w:val="32"/>
          <w:highlight w:val="none"/>
          <w:u w:val="none"/>
          <w:lang w:val="zh-CN" w:eastAsia="zh-CN"/>
        </w:rPr>
        <w:t>。</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楷体_GB2312" w:cs="Times New Roman"/>
          <w:b/>
          <w:color w:val="auto"/>
          <w:sz w:val="32"/>
          <w:szCs w:val="32"/>
          <w:highlight w:val="none"/>
          <w:u w:val="none"/>
          <w:lang w:val="zh-CN"/>
        </w:rPr>
      </w:pPr>
      <w:r>
        <w:rPr>
          <w:rFonts w:hint="eastAsia" w:ascii="仿宋_GB2312" w:hAnsi="仿宋_GB2312" w:eastAsia="仿宋_GB2312" w:cs="仿宋_GB2312"/>
          <w:b w:val="0"/>
          <w:bCs/>
          <w:color w:val="auto"/>
          <w:sz w:val="32"/>
          <w:szCs w:val="32"/>
          <w:highlight w:val="none"/>
          <w:u w:val="none"/>
          <w:lang w:val="zh-CN" w:eastAsia="zh-CN"/>
        </w:rPr>
        <w:t>全面评估公务用车采购专项经费使用的合规性、效率性和有效性，总结采购项目实施成效，发现预算编制、采购流程、车辆管理等环节存在的问题，为 2026 年预算优化、采购政策完善及用车管理提质提供依据。</w:t>
      </w:r>
    </w:p>
    <w:p>
      <w:pPr>
        <w:keepNext w:val="0"/>
        <w:keepLines w:val="0"/>
        <w:pageBreakBefore w:val="0"/>
        <w:widowControl w:val="0"/>
        <w:numPr>
          <w:ilvl w:val="0"/>
          <w:numId w:val="1"/>
        </w:numPr>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预设问题及评价重点。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textAlignment w:val="auto"/>
        <w:outlineLvl w:val="9"/>
        <w:rPr>
          <w:rFonts w:hint="eastAsia" w:ascii="仿宋_GB2312" w:hAnsi="仿宋_GB2312" w:eastAsia="仿宋_GB2312" w:cs="仿宋_GB2312"/>
          <w:b w:val="0"/>
          <w:bCs/>
          <w:color w:val="auto"/>
          <w:sz w:val="32"/>
          <w:szCs w:val="32"/>
          <w:highlight w:val="none"/>
          <w:u w:val="none"/>
          <w:lang w:val="zh-CN"/>
        </w:rPr>
      </w:pPr>
      <w:r>
        <w:rPr>
          <w:rFonts w:hint="eastAsia" w:ascii="仿宋_GB2312" w:hAnsi="仿宋_GB2312" w:eastAsia="仿宋_GB2312" w:cs="仿宋_GB2312"/>
          <w:b w:val="0"/>
          <w:bCs/>
          <w:color w:val="auto"/>
          <w:sz w:val="32"/>
          <w:szCs w:val="32"/>
          <w:highlight w:val="none"/>
          <w:u w:val="none"/>
          <w:lang w:val="zh-CN"/>
        </w:rPr>
        <w:t>1.预设问题：预算编制是否科学合理、采购流程是否合规规范、车辆配置是否匹配履职需求、资金使用是否高效节约、车辆使用及运维管理是否到位。</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textAlignment w:val="auto"/>
        <w:outlineLvl w:val="9"/>
        <w:rPr>
          <w:rFonts w:hint="eastAsia" w:ascii="仿宋_GB2312" w:hAnsi="仿宋_GB2312" w:eastAsia="仿宋_GB2312" w:cs="仿宋_GB2312"/>
          <w:b w:val="0"/>
          <w:bCs/>
          <w:color w:val="auto"/>
          <w:sz w:val="32"/>
          <w:szCs w:val="32"/>
          <w:highlight w:val="none"/>
          <w:u w:val="none"/>
          <w:lang w:val="zh-CN"/>
        </w:rPr>
      </w:pPr>
      <w:r>
        <w:rPr>
          <w:rFonts w:hint="eastAsia" w:ascii="仿宋_GB2312" w:hAnsi="仿宋_GB2312" w:eastAsia="仿宋_GB2312" w:cs="仿宋_GB2312"/>
          <w:b w:val="0"/>
          <w:bCs/>
          <w:color w:val="auto"/>
          <w:sz w:val="32"/>
          <w:szCs w:val="32"/>
          <w:highlight w:val="none"/>
          <w:u w:val="none"/>
          <w:lang w:val="zh-CN"/>
        </w:rPr>
        <w:t>2.评价重点：围绕绩效评价指标体系，聚焦经费支出全过程（预算执行、采购支付、配套使用）及实施效果（车辆质量、出行保障、成本控制、满意度）开展综合评价。</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textAlignment w:val="auto"/>
        <w:outlineLvl w:val="9"/>
        <w:rPr>
          <w:rFonts w:hint="default" w:ascii="仿宋_GB2312" w:hAnsi="仿宋_GB2312" w:eastAsia="仿宋_GB2312" w:cs="仿宋_GB2312"/>
          <w:b w:val="0"/>
          <w:bCs/>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ascii="仿宋_GB2312" w:hAnsi="仿宋_GB2312" w:eastAsia="仿宋_GB2312" w:cs="仿宋_GB2312"/>
          <w:b w:val="0"/>
          <w:bCs/>
          <w:color w:val="auto"/>
          <w:sz w:val="32"/>
          <w:szCs w:val="32"/>
          <w:highlight w:val="none"/>
          <w:u w:val="none"/>
          <w:lang w:val="en-US" w:eastAsia="zh-CN"/>
        </w:rPr>
        <w:t>本单位</w:t>
      </w:r>
    </w:p>
    <w:p>
      <w:pPr>
        <w:ind w:firstLine="642"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采用多种方法综合评价：</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1.案卷研究法：核查项目立项文件、预算批复、招标采购档案、资金拨付凭证、车辆登记手续等资料；</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2.实地查验法：走访抽样点位，查看车辆车况、行驶里程、运维记录，测试车辆性能；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Cs/>
          <w:sz w:val="32"/>
          <w:szCs w:val="32"/>
          <w:lang w:eastAsia="zh-CN"/>
        </w:rPr>
      </w:pPr>
      <w:r>
        <w:rPr>
          <w:rFonts w:hint="default" w:ascii="Times New Roman" w:hAnsi="Times New Roman" w:eastAsia="楷体_GB2312" w:cs="Times New Roman"/>
          <w:b/>
          <w:color w:val="auto"/>
          <w:sz w:val="32"/>
          <w:szCs w:val="32"/>
          <w:highlight w:val="none"/>
          <w:u w:val="none"/>
          <w:lang w:val="zh-CN"/>
        </w:rPr>
        <w:t>（五）评价组织。</w:t>
      </w:r>
      <w:r>
        <w:rPr>
          <w:rFonts w:hint="eastAsia" w:eastAsia="仿宋_GB2312" w:cs="Times New Roman"/>
          <w:sz w:val="32"/>
          <w:szCs w:val="32"/>
        </w:rPr>
        <w:t>评价组人员由相关业务股室和项目单位代表组成，评价小组以检查账目、资料、电话核实等形式开展了现场评价。</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项目决策。指标分值</w:t>
      </w:r>
      <w:r>
        <w:rPr>
          <w:rFonts w:hint="eastAsia" w:ascii="仿宋_GB2312" w:hAnsi="仿宋_GB2312" w:eastAsia="仿宋_GB2312" w:cs="仿宋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决策程序：项目设立、调整延续等方面符合资金管理基本规范和决策程序要求。指标分值</w:t>
      </w:r>
      <w:r>
        <w:rPr>
          <w:rFonts w:hint="eastAsia" w:ascii="Times New Roman" w:hAnsi="Times New Roman" w:eastAsia="仿宋_GB2312" w:cs="Times New Roman"/>
          <w:sz w:val="32"/>
          <w:szCs w:val="32"/>
          <w:lang w:val="en-US" w:eastAsia="zh-CN"/>
        </w:rPr>
        <w:t>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规划论证：项目规划论证符合</w:t>
      </w:r>
      <w:r>
        <w:rPr>
          <w:rFonts w:hint="default" w:eastAsia="仿宋_GB2312" w:cs="Times New Roman"/>
          <w:sz w:val="32"/>
          <w:szCs w:val="32"/>
          <w:lang w:eastAsia="zh-CN"/>
        </w:rPr>
        <w:t>中央、省委</w:t>
      </w:r>
      <w:r>
        <w:rPr>
          <w:rFonts w:hint="eastAsia" w:ascii="Times New Roman" w:hAnsi="Times New Roman" w:eastAsia="仿宋_GB2312" w:cs="Times New Roman"/>
          <w:sz w:val="32"/>
          <w:szCs w:val="32"/>
          <w:lang w:eastAsia="zh-CN"/>
        </w:rPr>
        <w:t>要求，项目绩效目标设置科学合理，项目资金与项目总体规划、相关行业事业发展相匹配，聚焦重大任务、重点领域、重点环节和重点项目。指标分值</w:t>
      </w:r>
      <w:r>
        <w:rPr>
          <w:rFonts w:hint="eastAsia" w:ascii="Times New Roman" w:hAnsi="Times New Roman" w:eastAsia="仿宋_GB2312" w:cs="Times New Roman"/>
          <w:sz w:val="32"/>
          <w:szCs w:val="32"/>
          <w:lang w:val="en-US" w:eastAsia="zh-CN"/>
        </w:rPr>
        <w:t>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资金投向：项目资金是与项目总体规划、相关行业事业发展相匹配，聚焦重大任务、重点领域、重点环节和重点项目。体现“</w:t>
      </w:r>
      <w:r>
        <w:rPr>
          <w:rFonts w:hint="default" w:eastAsia="仿宋_GB2312" w:cs="Times New Roman"/>
          <w:sz w:val="32"/>
          <w:szCs w:val="32"/>
          <w:lang w:eastAsia="zh-CN"/>
        </w:rPr>
        <w:t>集中力量办大事</w:t>
      </w:r>
      <w:r>
        <w:rPr>
          <w:rFonts w:hint="eastAsia" w:ascii="Times New Roman" w:hAnsi="Times New Roman" w:eastAsia="仿宋_GB2312" w:cs="Times New Roman"/>
          <w:sz w:val="32"/>
          <w:szCs w:val="32"/>
          <w:lang w:eastAsia="zh-CN"/>
        </w:rPr>
        <w:t>”原则，避免“撒胡椒面”。指标分值</w:t>
      </w:r>
      <w:r>
        <w:rPr>
          <w:rFonts w:hint="eastAsia" w:ascii="Times New Roman" w:hAnsi="Times New Roman" w:eastAsia="仿宋_GB2312" w:cs="Times New Roman"/>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color w:val="auto"/>
          <w:sz w:val="32"/>
          <w:szCs w:val="32"/>
          <w:lang w:eastAsia="zh-CN"/>
        </w:rPr>
      </w:pPr>
      <w:r>
        <w:rPr>
          <w:rFonts w:hint="eastAsia" w:ascii="楷体_GB2312" w:hAnsi="楷体_GB2312" w:eastAsia="楷体_GB2312" w:cs="楷体_GB2312"/>
          <w:b/>
          <w:bCs/>
          <w:color w:val="auto"/>
          <w:sz w:val="32"/>
          <w:szCs w:val="32"/>
          <w:lang w:val="en-US" w:eastAsia="zh-CN"/>
        </w:rPr>
        <w:t>2.</w:t>
      </w:r>
      <w:r>
        <w:rPr>
          <w:rFonts w:hint="default" w:ascii="楷体_GB2312" w:hAnsi="楷体_GB2312" w:eastAsia="楷体_GB2312" w:cs="楷体_GB2312"/>
          <w:b/>
          <w:bCs/>
          <w:color w:val="auto"/>
          <w:sz w:val="32"/>
          <w:szCs w:val="32"/>
          <w:lang w:eastAsia="zh-CN"/>
        </w:rPr>
        <w:t>项目管理。</w:t>
      </w:r>
      <w:r>
        <w:rPr>
          <w:rFonts w:hint="eastAsia" w:ascii="楷体_GB2312" w:hAnsi="楷体_GB2312" w:eastAsia="楷体_GB2312" w:cs="楷体_GB2312"/>
          <w:b/>
          <w:bCs/>
          <w:color w:val="auto"/>
          <w:sz w:val="32"/>
          <w:szCs w:val="32"/>
          <w:lang w:eastAsia="zh-CN"/>
        </w:rPr>
        <w:t>指标分值</w:t>
      </w:r>
      <w:r>
        <w:rPr>
          <w:rFonts w:hint="eastAsia" w:ascii="楷体_GB2312" w:hAnsi="楷体_GB2312" w:eastAsia="楷体_GB2312" w:cs="楷体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制度办法：项目制度办法体系健全、要素完备。资金管理办法等管理制度体系健全完善，不存在管理制度缺失、管理办法过期情况。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2分，自评得分2分。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eastAsia="zh-CN"/>
        </w:rPr>
        <w:t>绩效监管</w:t>
      </w:r>
      <w:r>
        <w:rPr>
          <w:rFonts w:hint="eastAsia" w:ascii="仿宋_GB2312" w:hAnsi="仿宋_GB2312" w:eastAsia="仿宋_GB2312" w:cs="仿宋_GB2312"/>
          <w:color w:val="auto"/>
          <w:sz w:val="32"/>
          <w:szCs w:val="32"/>
          <w:lang w:val="en-US" w:eastAsia="zh-CN"/>
        </w:rPr>
        <w:t>: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单位将绩效理念融入预算编制、执行、监督全过程，抓好项目效益是否提升的“落脚点”，发挥绩效评价导向作用，通过奖优惩劣，确保被评价单位把每一笔钱都用在刀刃上、紧要处，力求项目效益提升。</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3.项目实施。指标分值9分，自评得分9分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预算执行:项目预算资金25万元，支付24.8万元。指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6分，自评得分5分。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资金使用:项目资金使用、拨付符合国家财经法规、财务管理制度及有关专项资金管理制度办法规定和审批程序，不存在超范围、超标准、超进度使用专项资金，不存在资金损失浪费、长期沉淀、截留、挤占、挪用、虚列支出等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项目结果。指标分值9分，自评得分9分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w:t>
      </w:r>
      <w:r>
        <w:rPr>
          <w:rFonts w:hint="default" w:ascii="仿宋_GB2312" w:hAnsi="仿宋_GB2312" w:eastAsia="仿宋_GB2312" w:cs="仿宋_GB2312"/>
          <w:color w:val="auto"/>
          <w:sz w:val="32"/>
          <w:szCs w:val="32"/>
          <w:lang w:eastAsia="zh-CN"/>
        </w:rPr>
        <w:t>截止到</w:t>
      </w:r>
      <w:r>
        <w:rPr>
          <w:rFonts w:hint="eastAsia" w:ascii="仿宋_GB2312" w:hAnsi="仿宋_GB2312" w:eastAsia="仿宋_GB2312" w:cs="仿宋_GB2312"/>
          <w:color w:val="auto"/>
          <w:sz w:val="32"/>
          <w:szCs w:val="32"/>
          <w:lang w:val="en-US" w:eastAsia="zh-CN"/>
        </w:rPr>
        <w:t>2025年底完成项目资金拨付。指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val="en-US" w:eastAsia="zh-CN"/>
        </w:rPr>
        <w:t>完成时效：资金项目按照目标任务已于2025年底完成。</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color w:val="auto"/>
          <w:sz w:val="32"/>
          <w:szCs w:val="32"/>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val="zh-CN" w:eastAsia="zh-CN"/>
        </w:rPr>
        <w:t>用途合规性：车辆严格用于信访维稳现场处置、基层治理调研走访、应急事项联动协调等法定公务场景，建立 “申请 - 审批 - 派车 - 登记” 闭环管理台账，每笔用车均对应具体公务任务，行驶轨迹与工作记录完全匹配。无公车私用、违规出借、变相占用等情况，车辆调度优先保障重点工作需求，有效提升了公务出行效率，完全符合《党政机关公务用车管理办法》及本单位用车管理规定，用途管控规范到位。</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val="zh-CN" w:eastAsia="zh-CN"/>
        </w:rPr>
        <w:t>程序合规性：采购前按规定完成用车需求申报、编制批复等流程，严格遵循政府采购公开招标要求，在法定平台发布招标公告，明确车辆技术参数、节能环保标准等核心要求。评标过程邀请专业人员组成评审组，全程录音录像，中标结果及时公示，无暗箱操作等违规情况。招标档案、采购合同、车辆验收报告、资金支付凭证等资料完整归档，程序闭环且可追溯，完全符合政府采购及公务用车采购相关程序规定。</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val="zh-CN" w:eastAsia="zh-CN"/>
        </w:rPr>
        <w:t>标准合规性：车辆严格执行党政机关公务用车配备标准，未超编制、超标准采购，排量、能耗等参数符合国家节能环保政策要求。车辆轴距、空间配置适配公务出行载客、物资携带需求，与本单位行政运转保障实际相匹配。</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10分，自评得分10分。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default" w:ascii="仿宋_GB2312" w:hAnsi="仿宋_GB2312" w:eastAsia="仿宋_GB2312" w:cs="仿宋_GB2312"/>
          <w:color w:val="auto"/>
          <w:sz w:val="32"/>
          <w:szCs w:val="32"/>
          <w:lang w:val="en-US" w:eastAsia="zh-CN"/>
        </w:rPr>
        <w:t>、车辆使用效率指标</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车辆投入使用后，主要服务于信访维稳现场处置、基层调研等核心工作，车辆行驶轨迹与公务任务高度契合，无闲置浪费情况，有效保障了重点工作推进，使用效率完全达到预期目标。</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val="zh-CN" w:eastAsia="zh-CN"/>
        </w:rPr>
        <w:t>标分值</w:t>
      </w:r>
      <w:r>
        <w:rPr>
          <w:rFonts w:hint="eastAsia" w:ascii="仿宋_GB2312" w:hAnsi="仿宋_GB2312" w:eastAsia="仿宋_GB2312" w:cs="仿宋_GB2312"/>
          <w:color w:val="auto"/>
          <w:sz w:val="32"/>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default" w:ascii="仿宋_GB2312" w:hAnsi="仿宋_GB2312" w:eastAsia="仿宋_GB2312" w:cs="仿宋_GB2312"/>
          <w:color w:val="auto"/>
          <w:sz w:val="32"/>
          <w:szCs w:val="32"/>
          <w:lang w:val="en-US" w:eastAsia="zh-CN"/>
        </w:rPr>
        <w:t>、车辆运维适配指标</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车辆日常运维成本低，且售后服务网络覆盖县域，维修响应及时。车辆空间、舒适度适配公务接待及物资携带需求。</w:t>
      </w:r>
      <w:r>
        <w:rPr>
          <w:rFonts w:hint="eastAsia" w:ascii="仿宋_GB2312" w:hAnsi="仿宋_GB2312" w:eastAsia="仿宋_GB2312" w:cs="仿宋_GB2312"/>
          <w:color w:val="auto"/>
          <w:sz w:val="32"/>
          <w:szCs w:val="32"/>
          <w:lang w:val="en-US" w:eastAsia="zh-CN"/>
        </w:rPr>
        <w:t>根据</w:t>
      </w:r>
      <w:r>
        <w:rPr>
          <w:rFonts w:hint="default" w:ascii="仿宋_GB2312" w:hAnsi="仿宋_GB2312" w:eastAsia="仿宋_GB2312" w:cs="仿宋_GB2312"/>
          <w:color w:val="auto"/>
          <w:sz w:val="32"/>
          <w:szCs w:val="32"/>
          <w:lang w:val="en-US" w:eastAsia="zh-CN"/>
        </w:rPr>
        <w:t>山区调研路况，</w:t>
      </w:r>
      <w:r>
        <w:rPr>
          <w:rFonts w:hint="eastAsia" w:ascii="仿宋_GB2312" w:hAnsi="仿宋_GB2312" w:eastAsia="仿宋_GB2312" w:cs="仿宋_GB2312"/>
          <w:color w:val="auto"/>
          <w:sz w:val="32"/>
          <w:szCs w:val="32"/>
          <w:lang w:val="en-US" w:eastAsia="zh-CN"/>
        </w:rPr>
        <w:t>选购越野车。指</w:t>
      </w:r>
      <w:r>
        <w:rPr>
          <w:rFonts w:hint="eastAsia" w:ascii="仿宋_GB2312" w:hAnsi="仿宋_GB2312" w:eastAsia="仿宋_GB2312" w:cs="仿宋_GB2312"/>
          <w:color w:val="auto"/>
          <w:sz w:val="32"/>
          <w:szCs w:val="32"/>
          <w:lang w:val="zh-CN" w:eastAsia="zh-CN"/>
        </w:rPr>
        <w:t>标分值</w:t>
      </w:r>
      <w:r>
        <w:rPr>
          <w:rFonts w:hint="eastAsia" w:ascii="仿宋_GB2312" w:hAnsi="仿宋_GB2312" w:eastAsia="仿宋_GB2312" w:cs="仿宋_GB2312"/>
          <w:color w:val="auto"/>
          <w:sz w:val="32"/>
          <w:szCs w:val="32"/>
          <w:lang w:val="en-US" w:eastAsia="zh-CN"/>
        </w:rPr>
        <w:t>6分，自评得分6分。</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仿宋_GB2312" w:hAnsi="仿宋_GB2312" w:eastAsia="仿宋_GB2312" w:cs="仿宋_GB2312"/>
          <w:color w:val="auto"/>
          <w:kern w:val="2"/>
          <w:position w:val="0"/>
          <w:sz w:val="32"/>
          <w:szCs w:val="32"/>
          <w:lang w:val="en-US" w:eastAsia="zh-CN" w:bidi="ar-SA"/>
        </w:rPr>
      </w:pPr>
      <w:r>
        <w:rPr>
          <w:rFonts w:hint="default" w:ascii="仿宋_GB2312" w:hAnsi="仿宋_GB2312" w:eastAsia="仿宋_GB2312" w:cs="仿宋_GB2312"/>
          <w:color w:val="auto"/>
          <w:kern w:val="2"/>
          <w:position w:val="0"/>
          <w:sz w:val="32"/>
          <w:szCs w:val="32"/>
          <w:lang w:val="en-US" w:eastAsia="zh-CN" w:bidi="ar-SA"/>
        </w:rPr>
        <w:t>本次专项预算绩效自评总得分为</w:t>
      </w:r>
      <w:r>
        <w:rPr>
          <w:rFonts w:hint="eastAsia" w:ascii="仿宋_GB2312" w:hAnsi="仿宋_GB2312" w:eastAsia="仿宋_GB2312" w:cs="仿宋_GB2312"/>
          <w:color w:val="auto"/>
          <w:kern w:val="2"/>
          <w:position w:val="0"/>
          <w:sz w:val="32"/>
          <w:szCs w:val="32"/>
          <w:lang w:val="en-US" w:eastAsia="zh-CN" w:bidi="ar-SA"/>
        </w:rPr>
        <w:t>100</w:t>
      </w:r>
      <w:r>
        <w:rPr>
          <w:rFonts w:hint="default" w:ascii="仿宋_GB2312" w:hAnsi="仿宋_GB2312" w:eastAsia="仿宋_GB2312" w:cs="仿宋_GB2312"/>
          <w:color w:val="auto"/>
          <w:kern w:val="2"/>
          <w:position w:val="0"/>
          <w:sz w:val="32"/>
          <w:szCs w:val="32"/>
          <w:lang w:val="en-US" w:eastAsia="zh-CN" w:bidi="ar-SA"/>
        </w:rPr>
        <w:t xml:space="preserve"> 分。项目整体实施情况良好，专项经费使用合规高效，预算执行率达 </w:t>
      </w:r>
      <w:r>
        <w:rPr>
          <w:rFonts w:hint="eastAsia" w:ascii="仿宋_GB2312" w:hAnsi="仿宋_GB2312" w:eastAsia="仿宋_GB2312" w:cs="仿宋_GB2312"/>
          <w:color w:val="auto"/>
          <w:kern w:val="2"/>
          <w:position w:val="0"/>
          <w:sz w:val="32"/>
          <w:szCs w:val="32"/>
          <w:lang w:val="en-US" w:eastAsia="zh-CN" w:bidi="ar-SA"/>
        </w:rPr>
        <w:t>100</w:t>
      </w:r>
      <w:r>
        <w:rPr>
          <w:rFonts w:hint="default" w:ascii="仿宋_GB2312" w:hAnsi="仿宋_GB2312" w:eastAsia="仿宋_GB2312" w:cs="仿宋_GB2312"/>
          <w:color w:val="auto"/>
          <w:kern w:val="2"/>
          <w:position w:val="0"/>
          <w:sz w:val="32"/>
          <w:szCs w:val="32"/>
          <w:lang w:val="en-US" w:eastAsia="zh-CN" w:bidi="ar-SA"/>
        </w:rPr>
        <w:t>%</w:t>
      </w:r>
      <w:r>
        <w:rPr>
          <w:rFonts w:hint="eastAsia" w:ascii="仿宋_GB2312" w:hAnsi="仿宋_GB2312" w:eastAsia="仿宋_GB2312" w:cs="仿宋_GB2312"/>
          <w:color w:val="auto"/>
          <w:kern w:val="2"/>
          <w:position w:val="0"/>
          <w:sz w:val="32"/>
          <w:szCs w:val="32"/>
          <w:lang w:val="en-US" w:eastAsia="zh-CN" w:bidi="ar-SA"/>
        </w:rPr>
        <w:t>。</w:t>
      </w:r>
      <w:r>
        <w:rPr>
          <w:rFonts w:hint="default" w:ascii="仿宋_GB2312" w:hAnsi="仿宋_GB2312" w:eastAsia="仿宋_GB2312" w:cs="仿宋_GB2312"/>
          <w:color w:val="auto"/>
          <w:kern w:val="2"/>
          <w:position w:val="0"/>
          <w:sz w:val="32"/>
          <w:szCs w:val="32"/>
          <w:lang w:val="en-US" w:eastAsia="zh-CN" w:bidi="ar-SA"/>
        </w:rPr>
        <w:t>公务用车结构显著优化，有效保障了行政履职及重点工作开展，基本实现预期绩效目标。</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预算编制未充分考虑政策调整，对车辆购置税等附加费用预估偏差，影响资金使用精准度</w:t>
      </w:r>
      <w:r>
        <w:rPr>
          <w:rFonts w:hint="eastAsia" w:ascii="Times New Roman" w:eastAsia="仿宋_GB2312" w:cs="Times New Roman"/>
          <w:b w:val="0"/>
          <w:bCs w:val="0"/>
          <w:kern w:val="0"/>
          <w:position w:val="0"/>
          <w:sz w:val="32"/>
          <w:szCs w:val="32"/>
          <w:highlight w:val="none"/>
          <w:lang w:val="en-US" w:eastAsia="zh-CN" w:bidi="ar-SA"/>
        </w:rPr>
        <w:t>。</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jc w:val="left"/>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针对 “预算编制偏差”：建立预算编制政策研判机制，采购前充分调研车辆购置税、补贴等政策变动情况，细化费用测算，提高预算编制精准度。</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社区工作者考务工作经费</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专项预算绩效自评报告</w:t>
      </w:r>
    </w:p>
    <w:p>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en-US" w:eastAsia="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1.设立背景：为加强基层社会工作人才队伍建设，破解社区工作者队伍老化、专业能力不足等问题，依据县域基层治理提质增效工作部署，2025 年计划面向社会公开招聘社区工作者，考务工作专业性、规范性要求高，需专项经费保障报名组织、命题监考、阅卷录取等全流程开展。</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2.立项依据：依据《事业单位公开招聘人员暂行规定》《社区工作者队伍建设管理办法》及县级 2025 年人才工作重点部署，经主管部门审核立项。</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3.主要内容：包括考务方案制定、报名系统搭建及运维、命题制卷、考场租赁与布置、监考人员聘用及培训、阅卷评分、成绩公示与复核、录取公示等考务全流程工作。</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4.主管部门职能：县级社工部（社区工作者管理主管部门）负责统筹考务工作规划、预算申报、组织实施，协调人社、组织等部门保障考务工作公平公正开展。</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en-US" w:eastAsia="zh-CN"/>
        </w:rPr>
      </w:pPr>
      <w:r>
        <w:rPr>
          <w:rFonts w:hint="default" w:ascii="仿宋_GB2312" w:hAnsi="仿宋_GB2312" w:eastAsia="仿宋_GB2312" w:cs="仿宋_GB2312"/>
          <w:color w:val="auto"/>
          <w:kern w:val="0"/>
          <w:sz w:val="32"/>
          <w:szCs w:val="32"/>
          <w:highlight w:val="none"/>
          <w:u w:val="none"/>
          <w:shd w:val="clear" w:color="auto" w:fill="FFFFFF"/>
          <w:lang w:val="en-US" w:eastAsia="zh-CN"/>
        </w:rPr>
        <w:t>1.资金管理办法：制定《社区工作者考务工作经费</w:t>
      </w:r>
      <w:r>
        <w:rPr>
          <w:rFonts w:hint="eastAsia" w:ascii="仿宋_GB2312" w:hAnsi="仿宋_GB2312" w:eastAsia="仿宋_GB2312" w:cs="仿宋_GB2312"/>
          <w:color w:val="auto"/>
          <w:kern w:val="0"/>
          <w:sz w:val="32"/>
          <w:szCs w:val="32"/>
          <w:highlight w:val="none"/>
          <w:u w:val="none"/>
          <w:shd w:val="clear" w:color="auto" w:fill="FFFFFF"/>
          <w:lang w:val="en-US" w:eastAsia="zh-CN"/>
        </w:rPr>
        <w:t>实施方案</w:t>
      </w:r>
      <w:r>
        <w:rPr>
          <w:rFonts w:hint="default" w:ascii="仿宋_GB2312" w:hAnsi="仿宋_GB2312" w:eastAsia="仿宋_GB2312" w:cs="仿宋_GB2312"/>
          <w:color w:val="auto"/>
          <w:kern w:val="0"/>
          <w:sz w:val="32"/>
          <w:szCs w:val="32"/>
          <w:highlight w:val="none"/>
          <w:u w:val="none"/>
          <w:shd w:val="clear" w:color="auto" w:fill="FFFFFF"/>
          <w:lang w:val="en-US" w:eastAsia="zh-CN"/>
        </w:rPr>
        <w:t>》，明确资金使用范围、支付流程、报销审核、绩效评价等要求，确保资金专款专用、合规高效。</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en-US" w:eastAsia="zh-CN"/>
        </w:rPr>
      </w:pPr>
      <w:r>
        <w:rPr>
          <w:rFonts w:hint="default" w:ascii="仿宋_GB2312" w:hAnsi="仿宋_GB2312" w:eastAsia="仿宋_GB2312" w:cs="仿宋_GB2312"/>
          <w:color w:val="auto"/>
          <w:kern w:val="0"/>
          <w:sz w:val="32"/>
          <w:szCs w:val="32"/>
          <w:highlight w:val="none"/>
          <w:u w:val="none"/>
          <w:shd w:val="clear" w:color="auto" w:fill="FFFFFF"/>
          <w:lang w:val="en-US" w:eastAsia="zh-CN"/>
        </w:rPr>
        <w:t>2.实施目的：规范社区工作者招聘考务流程，保障招聘工作公平、公正、公开，选拔一批政治素质高、专业能力强的社区工作者，充实基层治理力量，提升社区服务水平。</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en-US" w:eastAsia="zh-CN"/>
        </w:rPr>
      </w:pPr>
      <w:r>
        <w:rPr>
          <w:rFonts w:hint="default" w:ascii="仿宋_GB2312" w:hAnsi="仿宋_GB2312" w:eastAsia="仿宋_GB2312" w:cs="仿宋_GB2312"/>
          <w:color w:val="auto"/>
          <w:kern w:val="0"/>
          <w:sz w:val="32"/>
          <w:szCs w:val="32"/>
          <w:highlight w:val="none"/>
          <w:u w:val="none"/>
          <w:shd w:val="clear" w:color="auto" w:fill="FFFFFF"/>
          <w:lang w:val="en-US" w:eastAsia="zh-CN"/>
        </w:rPr>
        <w:t xml:space="preserve">3.主要工作任务：完成 </w:t>
      </w:r>
      <w:r>
        <w:rPr>
          <w:rFonts w:hint="eastAsia" w:ascii="仿宋_GB2312" w:hAnsi="仿宋_GB2312" w:eastAsia="仿宋_GB2312" w:cs="仿宋_GB2312"/>
          <w:color w:val="auto"/>
          <w:kern w:val="0"/>
          <w:sz w:val="32"/>
          <w:szCs w:val="32"/>
          <w:highlight w:val="none"/>
          <w:u w:val="none"/>
          <w:shd w:val="clear" w:color="auto" w:fill="FFFFFF"/>
          <w:lang w:val="en-US" w:eastAsia="zh-CN"/>
        </w:rPr>
        <w:t>7</w:t>
      </w:r>
      <w:r>
        <w:rPr>
          <w:rFonts w:hint="default" w:ascii="仿宋_GB2312" w:hAnsi="仿宋_GB2312" w:eastAsia="仿宋_GB2312" w:cs="仿宋_GB2312"/>
          <w:color w:val="auto"/>
          <w:kern w:val="0"/>
          <w:sz w:val="32"/>
          <w:szCs w:val="32"/>
          <w:highlight w:val="none"/>
          <w:u w:val="none"/>
          <w:shd w:val="clear" w:color="auto" w:fill="FFFFFF"/>
          <w:lang w:val="en-US" w:eastAsia="zh-CN"/>
        </w:rPr>
        <w:t>名社区工作者招聘考务工作，覆盖报名、笔试、面试全环节，确保考务零差错。</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en-US" w:eastAsia="zh-CN"/>
        </w:rPr>
      </w:pPr>
      <w:r>
        <w:rPr>
          <w:rFonts w:hint="default" w:ascii="仿宋_GB2312" w:hAnsi="仿宋_GB2312" w:eastAsia="仿宋_GB2312" w:cs="仿宋_GB2312"/>
          <w:color w:val="auto"/>
          <w:kern w:val="0"/>
          <w:sz w:val="32"/>
          <w:szCs w:val="32"/>
          <w:highlight w:val="none"/>
          <w:u w:val="none"/>
          <w:shd w:val="clear" w:color="auto" w:fill="FFFFFF"/>
          <w:lang w:val="en-US" w:eastAsia="zh-CN"/>
        </w:rPr>
        <w:t>4.支持方向：重点投向报名系统运维、命题制卷、考场租赁与物资采购、监考及阅卷人员劳务报酬、考务培训、成绩公示与复核等领域。</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 xml:space="preserve">1.预算安排：2025 年社区工作者考务工作经费专项预算总额 </w:t>
      </w:r>
      <w:r>
        <w:rPr>
          <w:rFonts w:hint="eastAsia" w:ascii="仿宋_GB2312" w:hAnsi="仿宋_GB2312" w:eastAsia="仿宋_GB2312" w:cs="仿宋_GB2312"/>
          <w:color w:val="auto"/>
          <w:kern w:val="0"/>
          <w:sz w:val="32"/>
          <w:szCs w:val="32"/>
          <w:highlight w:val="none"/>
          <w:u w:val="none"/>
          <w:shd w:val="clear" w:color="auto" w:fill="FFFFFF"/>
          <w:lang w:val="en-US" w:eastAsia="zh-CN"/>
        </w:rPr>
        <w:t>5.32</w:t>
      </w:r>
      <w:r>
        <w:rPr>
          <w:rFonts w:hint="default" w:ascii="仿宋_GB2312" w:hAnsi="仿宋_GB2312" w:eastAsia="仿宋_GB2312" w:cs="仿宋_GB2312"/>
          <w:color w:val="auto"/>
          <w:kern w:val="0"/>
          <w:sz w:val="32"/>
          <w:szCs w:val="32"/>
          <w:highlight w:val="none"/>
          <w:u w:val="none"/>
          <w:shd w:val="clear" w:color="auto" w:fill="FFFFFF"/>
          <w:lang w:val="zh-CN" w:eastAsia="zh-CN"/>
        </w:rPr>
        <w:t>万元，全部为一般公共预算资金，无配套资金。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2.分配原则：遵循 “按需分配、保障重点、厉行节约、专款专用” 原则，优先保障命题制卷、考场保障等核心环节，压缩非必要开支。</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1.整体目标：圆满完成</w:t>
      </w:r>
      <w:r>
        <w:rPr>
          <w:rFonts w:hint="eastAsia" w:ascii="仿宋_GB2312" w:hAnsi="仿宋_GB2312" w:eastAsia="仿宋_GB2312" w:cs="仿宋_GB2312"/>
          <w:color w:val="auto"/>
          <w:kern w:val="0"/>
          <w:sz w:val="32"/>
          <w:szCs w:val="32"/>
          <w:highlight w:val="none"/>
          <w:u w:val="none"/>
          <w:shd w:val="clear" w:color="auto" w:fill="FFFFFF"/>
          <w:lang w:val="en-US" w:eastAsia="zh-CN"/>
        </w:rPr>
        <w:t>7</w:t>
      </w:r>
      <w:r>
        <w:rPr>
          <w:rFonts w:hint="default" w:ascii="仿宋_GB2312" w:hAnsi="仿宋_GB2312" w:eastAsia="仿宋_GB2312" w:cs="仿宋_GB2312"/>
          <w:color w:val="auto"/>
          <w:kern w:val="0"/>
          <w:sz w:val="32"/>
          <w:szCs w:val="32"/>
          <w:highlight w:val="none"/>
          <w:u w:val="none"/>
          <w:shd w:val="clear" w:color="auto" w:fill="FFFFFF"/>
          <w:lang w:val="zh-CN" w:eastAsia="zh-CN"/>
        </w:rPr>
        <w:t xml:space="preserve"> 名社区工作者招聘考务工作，考务流程合规率 100%，招聘工作群众满意度达 95% 以上，选拔出的社区工作者留任率达</w:t>
      </w:r>
      <w:r>
        <w:rPr>
          <w:rFonts w:hint="eastAsia" w:ascii="仿宋_GB2312" w:hAnsi="仿宋_GB2312" w:eastAsia="仿宋_GB2312" w:cs="仿宋_GB2312"/>
          <w:color w:val="auto"/>
          <w:kern w:val="0"/>
          <w:sz w:val="32"/>
          <w:szCs w:val="32"/>
          <w:highlight w:val="none"/>
          <w:u w:val="none"/>
          <w:shd w:val="clear" w:color="auto" w:fill="FFFFFF"/>
          <w:lang w:val="en-US" w:eastAsia="zh-CN"/>
        </w:rPr>
        <w:t>100</w:t>
      </w:r>
      <w:r>
        <w:rPr>
          <w:rFonts w:hint="default" w:ascii="仿宋_GB2312" w:hAnsi="仿宋_GB2312" w:eastAsia="仿宋_GB2312" w:cs="仿宋_GB2312"/>
          <w:color w:val="auto"/>
          <w:kern w:val="0"/>
          <w:sz w:val="32"/>
          <w:szCs w:val="32"/>
          <w:highlight w:val="none"/>
          <w:u w:val="none"/>
          <w:shd w:val="clear" w:color="auto" w:fill="FFFFFF"/>
          <w:lang w:val="zh-CN" w:eastAsia="zh-CN"/>
        </w:rPr>
        <w:t>% 。</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 xml:space="preserve">2.区域目标：考区设置覆盖全县 </w:t>
      </w:r>
      <w:r>
        <w:rPr>
          <w:rFonts w:hint="eastAsia" w:ascii="仿宋_GB2312" w:hAnsi="仿宋_GB2312" w:eastAsia="仿宋_GB2312" w:cs="仿宋_GB2312"/>
          <w:color w:val="auto"/>
          <w:kern w:val="0"/>
          <w:sz w:val="32"/>
          <w:szCs w:val="32"/>
          <w:highlight w:val="none"/>
          <w:u w:val="none"/>
          <w:shd w:val="clear" w:color="auto" w:fill="FFFFFF"/>
          <w:lang w:val="en-US" w:eastAsia="zh-CN"/>
        </w:rPr>
        <w:t>15</w:t>
      </w:r>
      <w:r>
        <w:rPr>
          <w:rFonts w:hint="default" w:ascii="仿宋_GB2312" w:hAnsi="仿宋_GB2312" w:eastAsia="仿宋_GB2312" w:cs="仿宋_GB2312"/>
          <w:color w:val="auto"/>
          <w:kern w:val="0"/>
          <w:sz w:val="32"/>
          <w:szCs w:val="32"/>
          <w:highlight w:val="none"/>
          <w:u w:val="none"/>
          <w:shd w:val="clear" w:color="auto" w:fill="FFFFFF"/>
          <w:lang w:val="zh-CN" w:eastAsia="zh-CN"/>
        </w:rPr>
        <w:t>个乡镇（街道）。</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3.具体目标：报名审核通过率 98%，笔试、面试组织零差错，试卷保密安全零事故，监考人员培训覆盖率 100%，成绩公示及时率 100%，考生投诉处理满意度 100%。</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4.自评开展情况：成立由社工部组成的自评小组，采用 “资料核查 + 实地核验 ” 方式，全面开展绩效自评工作。</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全面评估社区工作者考务工作经费使用的合规性、效率性和有效性，总结考务工作实施成效，发现预算编制、考务组织、资金管理等环节存在的问题。</w:t>
      </w:r>
    </w:p>
    <w:p>
      <w:pPr>
        <w:keepNext w:val="0"/>
        <w:keepLines w:val="0"/>
        <w:pageBreakBefore w:val="0"/>
        <w:widowControl w:val="0"/>
        <w:numPr>
          <w:ilvl w:val="0"/>
          <w:numId w:val="2"/>
        </w:numPr>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仿宋_GB2312" w:cs="Times New Roman"/>
          <w:b w:val="0"/>
          <w:kern w:val="2"/>
          <w:sz w:val="32"/>
          <w:szCs w:val="32"/>
          <w:lang w:val="zh-CN" w:eastAsia="zh-CN" w:bidi="ar-SA"/>
        </w:rPr>
      </w:pPr>
      <w:r>
        <w:rPr>
          <w:rFonts w:hint="default" w:ascii="Times New Roman" w:hAnsi="Times New Roman" w:eastAsia="楷体_GB2312" w:cs="Times New Roman"/>
          <w:b/>
          <w:color w:val="auto"/>
          <w:sz w:val="32"/>
          <w:szCs w:val="32"/>
          <w:highlight w:val="none"/>
          <w:u w:val="none"/>
          <w:lang w:val="zh-CN"/>
        </w:rPr>
        <w:t>预设问题及评价重点。</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1.</w:t>
      </w:r>
      <w:r>
        <w:rPr>
          <w:rFonts w:hint="default" w:ascii="仿宋_GB2312" w:hAnsi="仿宋_GB2312" w:eastAsia="仿宋_GB2312" w:cs="仿宋_GB2312"/>
          <w:color w:val="auto"/>
          <w:kern w:val="0"/>
          <w:sz w:val="32"/>
          <w:szCs w:val="32"/>
          <w:highlight w:val="none"/>
          <w:u w:val="none"/>
          <w:shd w:val="clear" w:color="auto" w:fill="FFFFFF"/>
          <w:lang w:val="zh-CN" w:eastAsia="zh-CN"/>
        </w:rPr>
        <w:t>预设问题：预算编制是否科学合理、考务流程是否合规规范、资金使用是否高效节约、考务组织是否公平公正、考生及用人单位满意度是否达标。</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b w:val="0"/>
          <w:kern w:val="2"/>
          <w:sz w:val="32"/>
          <w:szCs w:val="32"/>
          <w:lang w:val="zh-CN" w:eastAsia="zh-CN" w:bidi="ar-SA"/>
        </w:rPr>
      </w:pPr>
      <w:r>
        <w:rPr>
          <w:rFonts w:hint="default" w:ascii="仿宋_GB2312" w:hAnsi="仿宋_GB2312" w:eastAsia="仿宋_GB2312" w:cs="仿宋_GB2312"/>
          <w:color w:val="auto"/>
          <w:kern w:val="0"/>
          <w:sz w:val="32"/>
          <w:szCs w:val="32"/>
          <w:highlight w:val="none"/>
          <w:u w:val="none"/>
          <w:shd w:val="clear" w:color="auto" w:fill="FFFFFF"/>
          <w:lang w:val="zh-CN" w:eastAsia="zh-CN"/>
        </w:rPr>
        <w:t>2.评价重点：围绕绩效评价指标体系，聚焦经费支出全过程（预算执行、支付使用、成本控制）及实施效果（考务质量、招聘成效、满意度）开展综合评价</w:t>
      </w:r>
      <w:r>
        <w:rPr>
          <w:rFonts w:hint="default" w:ascii="Times New Roman" w:hAnsi="Times New Roman" w:eastAsia="仿宋_GB2312" w:cs="Times New Roman"/>
          <w:b w:val="0"/>
          <w:kern w:val="2"/>
          <w:sz w:val="32"/>
          <w:szCs w:val="32"/>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textAlignment w:val="auto"/>
        <w:outlineLvl w:val="9"/>
        <w:rPr>
          <w:rFonts w:hint="default" w:ascii="Times New Roman" w:hAnsi="Times New Roman" w:cs="Times New Roman"/>
          <w:sz w:val="32"/>
          <w:szCs w:val="32"/>
          <w:lang w:val="zh-CN"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ascii="仿宋_GB2312" w:hAnsi="仿宋_GB2312" w:eastAsia="仿宋_GB2312" w:cs="仿宋_GB2312"/>
          <w:color w:val="auto"/>
          <w:kern w:val="0"/>
          <w:sz w:val="32"/>
          <w:szCs w:val="32"/>
          <w:highlight w:val="none"/>
          <w:u w:val="none"/>
          <w:shd w:val="clear" w:color="auto" w:fill="FFFFFF"/>
          <w:lang w:val="en-US" w:eastAsia="zh-CN"/>
        </w:rPr>
        <w:t>芦花镇</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采用多种方法综合评价：</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1.案卷研究法：核查项目立项文件、预算批复、考务方案、资金拨付凭证、监考记录、阅卷报告等资料；</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2.实地核验法：查看考场设施、物资储备、保密室管理等情况；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Cs/>
          <w:sz w:val="32"/>
          <w:szCs w:val="32"/>
          <w:lang w:eastAsia="zh-CN"/>
        </w:rPr>
      </w:pPr>
      <w:r>
        <w:rPr>
          <w:rFonts w:hint="default" w:ascii="Times New Roman" w:hAnsi="Times New Roman" w:eastAsia="楷体_GB2312" w:cs="Times New Roman"/>
          <w:b/>
          <w:color w:val="auto"/>
          <w:sz w:val="32"/>
          <w:szCs w:val="32"/>
          <w:highlight w:val="none"/>
          <w:u w:val="none"/>
          <w:lang w:val="zh-CN"/>
        </w:rPr>
        <w:t>（五）评价组织。</w:t>
      </w:r>
      <w:r>
        <w:rPr>
          <w:rFonts w:hint="default" w:ascii="Times New Roman" w:hAnsi="Times New Roman" w:eastAsia="仿宋_GB2312" w:cs="Times New Roman"/>
          <w:sz w:val="32"/>
          <w:szCs w:val="32"/>
        </w:rPr>
        <w:t>评价组人员构成</w:t>
      </w:r>
      <w:r>
        <w:rPr>
          <w:rFonts w:hint="default" w:ascii="Times New Roman" w:hAnsi="Times New Roman" w:eastAsia="仿宋_GB2312" w:cs="Times New Roman"/>
          <w:sz w:val="32"/>
          <w:szCs w:val="32"/>
          <w:lang w:eastAsia="zh-CN"/>
        </w:rPr>
        <w:t>和</w:t>
      </w:r>
      <w:r>
        <w:rPr>
          <w:rFonts w:hint="default" w:ascii="Times New Roman" w:hAnsi="Times New Roman" w:eastAsia="仿宋_GB2312" w:cs="Times New Roman"/>
          <w:sz w:val="32"/>
          <w:szCs w:val="32"/>
        </w:rPr>
        <w:t>职责分工</w:t>
      </w:r>
      <w:r>
        <w:rPr>
          <w:rFonts w:hint="default" w:ascii="Times New Roman" w:hAnsi="Times New Roman" w:eastAsia="仿宋_GB2312" w:cs="Times New Roman"/>
          <w:sz w:val="32"/>
          <w:szCs w:val="32"/>
          <w:lang w:eastAsia="zh-CN"/>
        </w:rPr>
        <w:t>。</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1.评价组构成：组长由社工部</w:t>
      </w:r>
      <w:r>
        <w:rPr>
          <w:rFonts w:hint="eastAsia" w:ascii="Times New Roman" w:hAnsi="Times New Roman" w:eastAsia="仿宋_GB2312" w:cs="Times New Roman"/>
          <w:sz w:val="32"/>
          <w:szCs w:val="32"/>
          <w:lang w:val="en-US" w:eastAsia="zh-CN"/>
        </w:rPr>
        <w:t>副部长</w:t>
      </w:r>
      <w:r>
        <w:rPr>
          <w:rFonts w:hint="default" w:ascii="Times New Roman" w:hAnsi="Times New Roman" w:eastAsia="仿宋_GB2312" w:cs="Times New Roman"/>
          <w:sz w:val="32"/>
          <w:szCs w:val="32"/>
          <w:lang w:val="zh-CN" w:eastAsia="zh-CN"/>
        </w:rPr>
        <w:t>担任，副组长由</w:t>
      </w:r>
      <w:r>
        <w:rPr>
          <w:rFonts w:hint="eastAsia" w:ascii="Times New Roman" w:hAnsi="Times New Roman" w:eastAsia="仿宋_GB2312" w:cs="Times New Roman"/>
          <w:sz w:val="32"/>
          <w:szCs w:val="32"/>
          <w:lang w:val="en-US" w:eastAsia="zh-CN"/>
        </w:rPr>
        <w:t>股室负责人</w:t>
      </w:r>
      <w:r>
        <w:rPr>
          <w:rFonts w:hint="default" w:ascii="Times New Roman" w:hAnsi="Times New Roman" w:eastAsia="仿宋_GB2312" w:cs="Times New Roman"/>
          <w:sz w:val="32"/>
          <w:szCs w:val="32"/>
          <w:lang w:val="zh-CN" w:eastAsia="zh-CN"/>
        </w:rPr>
        <w:t>担任，成员包括社工部业务骨干</w:t>
      </w:r>
      <w:r>
        <w:rPr>
          <w:rFonts w:hint="eastAsia" w:ascii="Times New Roman" w:hAnsi="Times New Roman" w:eastAsia="仿宋_GB2312" w:cs="Times New Roman"/>
          <w:sz w:val="32"/>
          <w:szCs w:val="32"/>
          <w:lang w:val="zh-CN" w:eastAsia="zh-CN"/>
        </w:rPr>
        <w:t>。</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2.职责分工：组长统筹整体评价工作；副组长负责经费使用合规性审核；社工部骨干提供考务实施资料、协助实地核验</w:t>
      </w:r>
      <w:r>
        <w:rPr>
          <w:rFonts w:hint="eastAsia" w:ascii="Times New Roman" w:hAnsi="Times New Roman" w:eastAsia="仿宋_GB2312" w:cs="Times New Roman"/>
          <w:sz w:val="32"/>
          <w:szCs w:val="32"/>
          <w:lang w:val="zh-CN" w:eastAsia="zh-CN"/>
        </w:rPr>
        <w:t>、</w:t>
      </w:r>
      <w:r>
        <w:rPr>
          <w:rFonts w:hint="default" w:ascii="Times New Roman" w:hAnsi="Times New Roman" w:eastAsia="仿宋_GB2312" w:cs="Times New Roman"/>
          <w:sz w:val="32"/>
          <w:szCs w:val="32"/>
          <w:lang w:val="zh-CN" w:eastAsia="zh-CN"/>
        </w:rPr>
        <w:t>预算执行情况</w:t>
      </w:r>
      <w:r>
        <w:rPr>
          <w:rFonts w:hint="eastAsia" w:ascii="Times New Roman" w:hAnsi="Times New Roman" w:eastAsia="仿宋_GB2312" w:cs="Times New Roman"/>
          <w:sz w:val="32"/>
          <w:szCs w:val="32"/>
          <w:lang w:val="zh-CN" w:eastAsia="zh-CN"/>
        </w:rPr>
        <w:t>、</w:t>
      </w:r>
      <w:r>
        <w:rPr>
          <w:rFonts w:hint="default" w:ascii="Times New Roman" w:hAnsi="Times New Roman" w:eastAsia="仿宋_GB2312" w:cs="Times New Roman"/>
          <w:sz w:val="32"/>
          <w:szCs w:val="32"/>
          <w:lang w:val="zh-CN" w:eastAsia="zh-CN"/>
        </w:rPr>
        <w:t>监督考务公平性及评价过程公正性</w:t>
      </w:r>
      <w:r>
        <w:rPr>
          <w:rFonts w:hint="eastAsia" w:ascii="Times New Roman" w:hAnsi="Times New Roman" w:eastAsia="仿宋_GB2312" w:cs="Times New Roman"/>
          <w:sz w:val="32"/>
          <w:szCs w:val="32"/>
          <w:lang w:val="zh-CN" w:eastAsia="zh-CN"/>
        </w:rPr>
        <w:t>、</w:t>
      </w:r>
      <w:r>
        <w:rPr>
          <w:rFonts w:hint="default" w:ascii="Times New Roman" w:hAnsi="Times New Roman" w:eastAsia="仿宋_GB2312" w:cs="Times New Roman"/>
          <w:sz w:val="32"/>
          <w:szCs w:val="32"/>
          <w:lang w:val="zh-CN" w:eastAsia="zh-CN"/>
        </w:rPr>
        <w:t>考务专业环节评估。</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项目决策。指标分值</w:t>
      </w:r>
      <w:r>
        <w:rPr>
          <w:rFonts w:hint="eastAsia" w:ascii="仿宋_GB2312" w:hAnsi="仿宋_GB2312" w:eastAsia="仿宋_GB2312" w:cs="仿宋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eastAsia="zh-CN"/>
        </w:rPr>
        <w:t>决策程序：项目设立、调整延续等方面符合资金管理基本规范和决策程序要求。指标分值</w:t>
      </w:r>
      <w:r>
        <w:rPr>
          <w:rFonts w:hint="eastAsia" w:ascii="Times New Roman" w:hAnsi="Times New Roman" w:eastAsia="仿宋_GB2312" w:cs="Times New Roman"/>
          <w:sz w:val="32"/>
          <w:szCs w:val="32"/>
          <w:lang w:val="en-US" w:eastAsia="zh-CN"/>
        </w:rPr>
        <w:t>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eastAsia="zh-CN"/>
        </w:rPr>
        <w:t>规划论证：项目规划论证符合</w:t>
      </w:r>
      <w:r>
        <w:rPr>
          <w:rFonts w:hint="default" w:eastAsia="仿宋_GB2312" w:cs="Times New Roman"/>
          <w:sz w:val="32"/>
          <w:szCs w:val="32"/>
          <w:lang w:eastAsia="zh-CN"/>
        </w:rPr>
        <w:t>中央、省委</w:t>
      </w:r>
      <w:r>
        <w:rPr>
          <w:rFonts w:hint="eastAsia" w:ascii="Times New Roman" w:hAnsi="Times New Roman" w:eastAsia="仿宋_GB2312" w:cs="Times New Roman"/>
          <w:sz w:val="32"/>
          <w:szCs w:val="32"/>
          <w:lang w:val="zh-CN" w:eastAsia="zh-CN"/>
        </w:rPr>
        <w:t>要求，项目绩效目标设置科学合理，项目资金与项目总体规划、相关行业事业发展相匹配，聚焦重大任务、重点领域、重点环节和重点项目。指标分值</w:t>
      </w:r>
      <w:r>
        <w:rPr>
          <w:rFonts w:hint="eastAsia" w:ascii="Times New Roman" w:hAnsi="Times New Roman" w:eastAsia="仿宋_GB2312" w:cs="Times New Roman"/>
          <w:sz w:val="32"/>
          <w:szCs w:val="32"/>
          <w:lang w:val="en-US" w:eastAsia="zh-CN"/>
        </w:rPr>
        <w:t>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eastAsia="zh-CN"/>
        </w:rPr>
        <w:t>资金投向：资金投向与考务工作核心需求高度契合。指标分值</w:t>
      </w:r>
      <w:r>
        <w:rPr>
          <w:rFonts w:hint="eastAsia" w:ascii="Times New Roman" w:hAnsi="Times New Roman" w:eastAsia="仿宋_GB2312" w:cs="Times New Roman"/>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color w:val="auto"/>
          <w:sz w:val="32"/>
          <w:szCs w:val="32"/>
          <w:lang w:eastAsia="zh-CN"/>
        </w:rPr>
      </w:pPr>
      <w:r>
        <w:rPr>
          <w:rFonts w:hint="eastAsia" w:ascii="楷体_GB2312" w:hAnsi="楷体_GB2312" w:eastAsia="楷体_GB2312" w:cs="楷体_GB2312"/>
          <w:b/>
          <w:bCs/>
          <w:color w:val="auto"/>
          <w:sz w:val="32"/>
          <w:szCs w:val="32"/>
          <w:lang w:val="en-US" w:eastAsia="zh-CN"/>
        </w:rPr>
        <w:t>2.</w:t>
      </w:r>
      <w:r>
        <w:rPr>
          <w:rFonts w:hint="default" w:ascii="楷体_GB2312" w:hAnsi="楷体_GB2312" w:eastAsia="楷体_GB2312" w:cs="楷体_GB2312"/>
          <w:b/>
          <w:bCs/>
          <w:color w:val="auto"/>
          <w:sz w:val="32"/>
          <w:szCs w:val="32"/>
          <w:lang w:eastAsia="zh-CN"/>
        </w:rPr>
        <w:t>项目管理。</w:t>
      </w:r>
      <w:r>
        <w:rPr>
          <w:rFonts w:hint="eastAsia" w:ascii="楷体_GB2312" w:hAnsi="楷体_GB2312" w:eastAsia="楷体_GB2312" w:cs="楷体_GB2312"/>
          <w:b/>
          <w:bCs/>
          <w:color w:val="auto"/>
          <w:sz w:val="32"/>
          <w:szCs w:val="32"/>
          <w:lang w:eastAsia="zh-CN"/>
        </w:rPr>
        <w:t>指标分值</w:t>
      </w:r>
      <w:r>
        <w:rPr>
          <w:rFonts w:hint="eastAsia" w:ascii="楷体_GB2312" w:hAnsi="楷体_GB2312" w:eastAsia="楷体_GB2312" w:cs="楷体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en-US" w:eastAsia="zh-CN"/>
        </w:rPr>
        <w:t>制度办法：项目制度办法体系健全、要素完备。资金管理办法等管理制度体系健全完善，不存在管理制度缺失、管理办法过期情况。</w:t>
      </w:r>
      <w:r>
        <w:rPr>
          <w:rFonts w:hint="eastAsia" w:ascii="Times New Roman" w:hAnsi="Times New Roman" w:eastAsia="仿宋_GB2312" w:cs="Times New Roman"/>
          <w:sz w:val="32"/>
          <w:szCs w:val="32"/>
          <w:lang w:val="zh-CN" w:eastAsia="zh-CN"/>
        </w:rPr>
        <w:t>指标分值</w:t>
      </w:r>
      <w:r>
        <w:rPr>
          <w:rFonts w:hint="eastAsia" w:ascii="Times New Roman" w:hAnsi="Times New Roman" w:eastAsia="仿宋_GB2312" w:cs="Times New Roman"/>
          <w:sz w:val="32"/>
          <w:szCs w:val="32"/>
          <w:lang w:val="en-US" w:eastAsia="zh-CN"/>
        </w:rPr>
        <w:t>2分，自评得分2分。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Times New Roman" w:hAnsi="Times New Roman" w:eastAsia="仿宋_GB2312" w:cs="Times New Roman"/>
          <w:sz w:val="32"/>
          <w:szCs w:val="32"/>
          <w:lang w:val="zh-CN" w:eastAsia="zh-CN"/>
        </w:rPr>
        <w:t>指标分值</w:t>
      </w:r>
      <w:r>
        <w:rPr>
          <w:rFonts w:hint="eastAsia" w:ascii="Times New Roman" w:hAnsi="Times New Roman" w:eastAsia="仿宋_GB2312" w:cs="Times New Roman"/>
          <w:sz w:val="32"/>
          <w:szCs w:val="32"/>
          <w:lang w:val="en-US" w:eastAsia="zh-CN"/>
        </w:rPr>
        <w:t>10分，自评得分10分。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绩效监管</w:t>
      </w:r>
      <w:r>
        <w:rPr>
          <w:rFonts w:hint="eastAsia" w:ascii="Times New Roman" w:hAnsi="Times New Roman" w:eastAsia="仿宋_GB2312" w:cs="Times New Roman"/>
          <w:sz w:val="32"/>
          <w:szCs w:val="32"/>
          <w:lang w:val="en-US" w:eastAsia="zh-CN"/>
        </w:rPr>
        <w:t>:本次社工考务经费严格按预算执行，专款专用、规范高效。通过强化指标绩效监管，全程把控考务各环节，保障考试公平有序开展，经费使用效益显著。整体完成既定绩效目标，服务质量与群众满意度均达到预期，后续将持续优化监管流程。</w:t>
      </w:r>
      <w:r>
        <w:rPr>
          <w:rFonts w:hint="eastAsia" w:ascii="Times New Roman" w:hAnsi="Times New Roman" w:eastAsia="仿宋_GB2312" w:cs="Times New Roman"/>
          <w:sz w:val="32"/>
          <w:szCs w:val="32"/>
          <w:lang w:val="zh-CN" w:eastAsia="zh-CN"/>
        </w:rPr>
        <w:t>指标分值</w:t>
      </w:r>
      <w:r>
        <w:rPr>
          <w:rFonts w:hint="eastAsia" w:ascii="Times New Roman" w:hAnsi="Times New Roman" w:eastAsia="仿宋_GB2312" w:cs="Times New Roman"/>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3.项目实施。指标分值9分，自评得分9分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预算执行:项目预算资金5.32万元，支付5.32万元。指标分值6分，自评得分5分。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资金使用:项目资金使用、拨付符合国家财经法规、财务管理制度及有关专项资金管理制度办法规定和审批程序，不存在超范围、超标准、超进度使用专项资金，不存在资金损失浪费、长期沉淀、截留、挤占、挪用、虚列支出等情况。指标分值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项目结果。指标分值9分，自评得分9分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w:t>
      </w:r>
      <w:r>
        <w:rPr>
          <w:rFonts w:hint="default" w:eastAsia="仿宋_GB2312" w:cs="Times New Roman"/>
          <w:sz w:val="32"/>
          <w:szCs w:val="32"/>
          <w:lang w:eastAsia="zh-CN"/>
        </w:rPr>
        <w:t>截止到</w:t>
      </w:r>
      <w:r>
        <w:rPr>
          <w:rFonts w:hint="eastAsia" w:ascii="Times New Roman" w:hAnsi="Times New Roman" w:eastAsia="仿宋_GB2312" w:cs="Times New Roman"/>
          <w:sz w:val="32"/>
          <w:szCs w:val="32"/>
          <w:lang w:val="en-US" w:eastAsia="zh-CN"/>
        </w:rPr>
        <w:t>2025年底完成7名社工的招录工作。指标分值6分，自评得分6分。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完成时效：资金项目按照目标任务已于2025年底完成。指标分值3分，自评得分3分。</w:t>
      </w:r>
    </w:p>
    <w:p>
      <w:pPr>
        <w:keepNext w:val="0"/>
        <w:keepLines w:val="0"/>
        <w:pageBreakBefore w:val="0"/>
        <w:widowControl w:val="0"/>
        <w:numPr>
          <w:ilvl w:val="0"/>
          <w:numId w:val="2"/>
        </w:numPr>
        <w:kinsoku/>
        <w:wordWrap/>
        <w:overflowPunct/>
        <w:topLinePunct w:val="0"/>
        <w:autoSpaceDE/>
        <w:autoSpaceDN/>
        <w:bidi w:val="0"/>
        <w:adjustRightInd/>
        <w:snapToGrid/>
        <w:spacing w:line="578" w:lineRule="exact"/>
        <w:ind w:left="0" w:leftChars="0" w:firstLine="642" w:firstLineChars="200"/>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绩效分析。指标分值30分，自评得分</w:t>
      </w:r>
      <w:r>
        <w:rPr>
          <w:rFonts w:hint="eastAsia" w:eastAsia="楷体_GB2312" w:cs="Times New Roman"/>
          <w:b/>
          <w:bCs/>
          <w:color w:val="000000"/>
          <w:kern w:val="0"/>
          <w:sz w:val="32"/>
          <w:szCs w:val="32"/>
          <w:highlight w:val="none"/>
          <w:shd w:val="clear" w:color="auto" w:fill="FFFFFF"/>
          <w:lang w:val="en-US" w:eastAsia="zh-CN"/>
        </w:rPr>
        <w:t>29</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1.用途合规性：所有经费均用于考务全流程必要开支，无超范围使用情况，用途合规性良好。</w:t>
      </w:r>
      <w:r>
        <w:rPr>
          <w:rFonts w:hint="eastAsia" w:ascii="Times New Roman" w:hAnsi="Times New Roman" w:eastAsia="仿宋_GB2312" w:cs="Times New Roman"/>
          <w:sz w:val="32"/>
          <w:szCs w:val="32"/>
          <w:lang w:val="en-US" w:eastAsia="zh-CN"/>
        </w:rPr>
        <w:t>指</w:t>
      </w:r>
      <w:r>
        <w:rPr>
          <w:rFonts w:hint="eastAsia" w:ascii="Times New Roman" w:hAnsi="Times New Roman" w:eastAsia="仿宋_GB2312" w:cs="Times New Roman"/>
          <w:sz w:val="32"/>
          <w:szCs w:val="32"/>
          <w:lang w:val="zh-CN" w:eastAsia="zh-CN"/>
        </w:rPr>
        <w:t>标分值</w:t>
      </w:r>
      <w:r>
        <w:rPr>
          <w:rFonts w:hint="eastAsia" w:ascii="Times New Roman" w:hAnsi="Times New Roman" w:eastAsia="仿宋_GB2312" w:cs="Times New Roman"/>
          <w:sz w:val="32"/>
          <w:szCs w:val="32"/>
          <w:lang w:val="en-US" w:eastAsia="zh-CN"/>
        </w:rPr>
        <w:t>10分，自评得分10分。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2.程序合规性：考务流程严格执行公开招聘相关规定，命题、监考、阅卷等环节全程留痕，但个别监考人员岗前培训时长不足，扣 1 分。</w:t>
      </w:r>
      <w:r>
        <w:rPr>
          <w:rFonts w:hint="eastAsia" w:ascii="Times New Roman" w:hAnsi="Times New Roman" w:eastAsia="仿宋_GB2312" w:cs="Times New Roman"/>
          <w:sz w:val="32"/>
          <w:szCs w:val="32"/>
          <w:lang w:val="en-US" w:eastAsia="zh-CN"/>
        </w:rPr>
        <w:t>指</w:t>
      </w:r>
      <w:r>
        <w:rPr>
          <w:rFonts w:hint="eastAsia" w:ascii="Times New Roman" w:hAnsi="Times New Roman" w:eastAsia="仿宋_GB2312" w:cs="Times New Roman"/>
          <w:sz w:val="32"/>
          <w:szCs w:val="32"/>
          <w:lang w:val="zh-CN" w:eastAsia="zh-CN"/>
        </w:rPr>
        <w:t>标分值</w:t>
      </w:r>
      <w:r>
        <w:rPr>
          <w:rFonts w:hint="eastAsia" w:ascii="Times New Roman" w:hAnsi="Times New Roman" w:eastAsia="仿宋_GB2312" w:cs="Times New Roman"/>
          <w:sz w:val="32"/>
          <w:szCs w:val="32"/>
          <w:lang w:val="en-US" w:eastAsia="zh-CN"/>
        </w:rPr>
        <w:t>10分，自评得分9分。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3.标准合规性：考务经费支出标准符合县域财政支出标准及考务工作行业规范，无超标准付费情况。</w:t>
      </w:r>
      <w:r>
        <w:rPr>
          <w:rFonts w:hint="eastAsia" w:ascii="Times New Roman" w:hAnsi="Times New Roman" w:eastAsia="仿宋_GB2312" w:cs="Times New Roman"/>
          <w:sz w:val="32"/>
          <w:szCs w:val="32"/>
          <w:lang w:val="en-US" w:eastAsia="zh-CN"/>
        </w:rPr>
        <w:t>指</w:t>
      </w:r>
      <w:r>
        <w:rPr>
          <w:rFonts w:hint="eastAsia" w:ascii="Times New Roman" w:hAnsi="Times New Roman" w:eastAsia="仿宋_GB2312" w:cs="Times New Roman"/>
          <w:sz w:val="32"/>
          <w:szCs w:val="32"/>
          <w:lang w:val="zh-CN" w:eastAsia="zh-CN"/>
        </w:rPr>
        <w:t>标分值</w:t>
      </w:r>
      <w:r>
        <w:rPr>
          <w:rFonts w:hint="eastAsia" w:ascii="Times New Roman" w:hAnsi="Times New Roman" w:eastAsia="仿宋_GB2312" w:cs="Times New Roman"/>
          <w:sz w:val="32"/>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default" w:ascii="Times New Roman" w:hAnsi="Times New Roman" w:eastAsia="楷体_GB2312" w:cs="Times New Roman"/>
          <w:b/>
          <w:color w:val="auto"/>
          <w:sz w:val="32"/>
          <w:szCs w:val="32"/>
          <w:highlight w:val="none"/>
          <w:u w:val="none"/>
          <w:lang w:val="zh-CN" w:eastAsia="zh-CN"/>
        </w:rPr>
        <w:t>指标分值16分，自评得分1</w:t>
      </w:r>
      <w:r>
        <w:rPr>
          <w:rFonts w:hint="eastAsia" w:ascii="Times New Roman" w:hAnsi="Times New Roman" w:eastAsia="楷体_GB2312" w:cs="Times New Roman"/>
          <w:b/>
          <w:color w:val="auto"/>
          <w:sz w:val="32"/>
          <w:szCs w:val="32"/>
          <w:highlight w:val="none"/>
          <w:u w:val="none"/>
          <w:lang w:val="en-US" w:eastAsia="zh-CN"/>
        </w:rPr>
        <w:t>5</w:t>
      </w:r>
      <w:r>
        <w:rPr>
          <w:rFonts w:hint="default" w:ascii="Times New Roman" w:hAnsi="Times New Roman" w:eastAsia="楷体_GB2312" w:cs="Times New Roman"/>
          <w:b/>
          <w:color w:val="auto"/>
          <w:sz w:val="32"/>
          <w:szCs w:val="32"/>
          <w:highlight w:val="none"/>
          <w:u w:val="none"/>
          <w:lang w:val="zh-CN" w:eastAsia="zh-CN"/>
        </w:rPr>
        <w:t>分</w:t>
      </w:r>
    </w:p>
    <w:p>
      <w:pPr>
        <w:pStyle w:val="2"/>
        <w:numPr>
          <w:ilvl w:val="0"/>
          <w:numId w:val="0"/>
        </w:numPr>
        <w:ind w:firstLine="640" w:firstLineChars="200"/>
        <w:rPr>
          <w:rFonts w:hint="eastAsia" w:ascii="Times New Roman" w:hAnsi="Times New Roman" w:eastAsia="仿宋_GB2312" w:cs="Times New Roman"/>
          <w:kern w:val="2"/>
          <w:sz w:val="32"/>
          <w:szCs w:val="32"/>
          <w:lang w:val="zh-CN" w:eastAsia="zh-CN" w:bidi="ar-SA"/>
        </w:rPr>
      </w:pPr>
      <w:r>
        <w:rPr>
          <w:rFonts w:hint="eastAsia" w:ascii="Times New Roman" w:hAnsi="Times New Roman" w:eastAsia="仿宋_GB2312" w:cs="Times New Roman"/>
          <w:kern w:val="2"/>
          <w:sz w:val="32"/>
          <w:szCs w:val="32"/>
          <w:lang w:val="zh-CN" w:eastAsia="zh-CN" w:bidi="ar-SA"/>
        </w:rPr>
        <w:t>1.考务公平性：未发生考务违纪违规事件，考生投诉处理及时率 100%，考务公平性达标。</w:t>
      </w:r>
      <w:r>
        <w:rPr>
          <w:rFonts w:hint="eastAsia" w:ascii="Times New Roman" w:hAnsi="Times New Roman" w:eastAsia="仿宋_GB2312" w:cs="Times New Roman"/>
          <w:kern w:val="2"/>
          <w:sz w:val="32"/>
          <w:szCs w:val="32"/>
          <w:lang w:val="en-US" w:eastAsia="zh-CN" w:bidi="ar-SA"/>
        </w:rPr>
        <w:t>指标分值10分，自评得分10分。</w:t>
      </w:r>
    </w:p>
    <w:p>
      <w:pPr>
        <w:pStyle w:val="2"/>
        <w:numPr>
          <w:ilvl w:val="0"/>
          <w:numId w:val="0"/>
        </w:numPr>
        <w:ind w:firstLine="640" w:firstLineChars="200"/>
        <w:rPr>
          <w:rFonts w:hint="eastAsia" w:ascii="Times New Roman" w:hAnsi="Times New Roman" w:eastAsia="仿宋_GB2312" w:cs="Times New Roman"/>
          <w:kern w:val="2"/>
          <w:sz w:val="32"/>
          <w:szCs w:val="32"/>
          <w:lang w:val="zh-CN" w:eastAsia="zh-CN" w:bidi="ar-SA"/>
        </w:rPr>
      </w:pPr>
      <w:r>
        <w:rPr>
          <w:rFonts w:hint="eastAsia" w:ascii="Times New Roman" w:hAnsi="Times New Roman" w:eastAsia="仿宋_GB2312" w:cs="Times New Roman"/>
          <w:kern w:val="2"/>
          <w:sz w:val="32"/>
          <w:szCs w:val="32"/>
          <w:lang w:val="zh-CN" w:eastAsia="zh-CN" w:bidi="ar-SA"/>
        </w:rPr>
        <w:t>2.人才选拔适配性：招聘的社区工作者专业匹配度达 88%，但部分考生实操能力与岗位需求存在差距，扣 1 分。</w:t>
      </w:r>
      <w:r>
        <w:rPr>
          <w:rFonts w:hint="eastAsia" w:ascii="Times New Roman" w:hAnsi="Times New Roman" w:eastAsia="仿宋_GB2312" w:cs="Times New Roman"/>
          <w:kern w:val="2"/>
          <w:sz w:val="32"/>
          <w:szCs w:val="32"/>
          <w:lang w:val="en-US" w:eastAsia="zh-CN" w:bidi="ar-SA"/>
        </w:rPr>
        <w:t>指标分值6分，自评得分5分。</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本次专项预算绩效自评总得分为9</w:t>
      </w:r>
      <w:r>
        <w:rPr>
          <w:rFonts w:hint="eastAsia" w:ascii="Times New Roman" w:hAnsi="Times New Roman" w:eastAsia="仿宋_GB2312" w:cs="Times New Roman"/>
          <w:b w:val="0"/>
          <w:bCs w:val="0"/>
          <w:kern w:val="0"/>
          <w:position w:val="0"/>
          <w:sz w:val="32"/>
          <w:szCs w:val="32"/>
          <w:highlight w:val="none"/>
          <w:lang w:val="en-US" w:eastAsia="zh-CN" w:bidi="ar-SA"/>
        </w:rPr>
        <w:t>8</w:t>
      </w:r>
      <w:r>
        <w:rPr>
          <w:rFonts w:hint="default" w:ascii="Times New Roman" w:hAnsi="Times New Roman" w:eastAsia="仿宋_GB2312" w:cs="Times New Roman"/>
          <w:b w:val="0"/>
          <w:bCs w:val="0"/>
          <w:kern w:val="0"/>
          <w:position w:val="0"/>
          <w:sz w:val="32"/>
          <w:szCs w:val="32"/>
          <w:highlight w:val="none"/>
          <w:lang w:val="en-US" w:eastAsia="zh-CN" w:bidi="ar-SA"/>
        </w:rPr>
        <w:t xml:space="preserve">分。项目整体实施情况良好，专项经费使用合规高效，预算执行率达 </w:t>
      </w:r>
      <w:r>
        <w:rPr>
          <w:rFonts w:hint="eastAsia" w:ascii="Times New Roman" w:hAnsi="Times New Roman" w:eastAsia="仿宋_GB2312" w:cs="Times New Roman"/>
          <w:b w:val="0"/>
          <w:bCs w:val="0"/>
          <w:kern w:val="0"/>
          <w:position w:val="0"/>
          <w:sz w:val="32"/>
          <w:szCs w:val="32"/>
          <w:highlight w:val="none"/>
          <w:lang w:val="en-US" w:eastAsia="zh-CN" w:bidi="ar-SA"/>
        </w:rPr>
        <w:t>100</w:t>
      </w:r>
      <w:r>
        <w:rPr>
          <w:rFonts w:hint="default" w:ascii="Times New Roman" w:hAnsi="Times New Roman" w:eastAsia="仿宋_GB2312" w:cs="Times New Roman"/>
          <w:b w:val="0"/>
          <w:bCs w:val="0"/>
          <w:kern w:val="0"/>
          <w:position w:val="0"/>
          <w:sz w:val="32"/>
          <w:szCs w:val="32"/>
          <w:highlight w:val="none"/>
          <w:lang w:val="en-US" w:eastAsia="zh-CN" w:bidi="ar-SA"/>
        </w:rPr>
        <w:t>%，圆满完成</w:t>
      </w:r>
      <w:r>
        <w:rPr>
          <w:rFonts w:hint="eastAsia" w:ascii="Times New Roman" w:hAnsi="Times New Roman" w:eastAsia="仿宋_GB2312" w:cs="Times New Roman"/>
          <w:b w:val="0"/>
          <w:bCs w:val="0"/>
          <w:kern w:val="0"/>
          <w:position w:val="0"/>
          <w:sz w:val="32"/>
          <w:szCs w:val="32"/>
          <w:highlight w:val="none"/>
          <w:lang w:val="en-US" w:eastAsia="zh-CN" w:bidi="ar-SA"/>
        </w:rPr>
        <w:t>7</w:t>
      </w:r>
      <w:r>
        <w:rPr>
          <w:rFonts w:hint="default" w:ascii="Times New Roman" w:hAnsi="Times New Roman" w:eastAsia="仿宋_GB2312" w:cs="Times New Roman"/>
          <w:b w:val="0"/>
          <w:bCs w:val="0"/>
          <w:kern w:val="0"/>
          <w:position w:val="0"/>
          <w:sz w:val="32"/>
          <w:szCs w:val="32"/>
          <w:highlight w:val="none"/>
          <w:lang w:val="en-US" w:eastAsia="zh-CN" w:bidi="ar-SA"/>
        </w:rPr>
        <w:t>名社区工作者招聘考务工作，考务流程零差错，招聘工作群众满意度达 96%，选拔出的社区工作者有效充实了基层治理力量，基本实现预期绩效目标，但在预算编制精准度等方面仍有提升空间。</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1.预算编制未充分预估考生人数增量，部分考务环节（如物资采购）经费紧张，影响服务保障水平。</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2.个别分考区物资采购报销凭证归档延迟，经费使用台账精细化管理不足。</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3.部分监考人员岗前培训时长不足，专业监考能力有待加强。</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1.针对 “预算编制精准度不足”：建立考生报名预测机制，预算编制前开展报名意向调研，预留 10% 左右弹性经费，应对考生人数增量，确保经费保障充足。</w:t>
      </w:r>
    </w:p>
    <w:p>
      <w:pPr>
        <w:tabs>
          <w:tab w:val="left" w:pos="1911"/>
        </w:tabs>
        <w:ind w:firstLine="640" w:firstLineChars="200"/>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2.针对 “台账管理精细化不足”：制定考务经费报销及台账管理细则，明确凭证归档时限，开展分考区财务人员培训，建立定期核查机制，提升台账管理规范性。</w:t>
      </w:r>
    </w:p>
    <w:p>
      <w:pPr>
        <w:tabs>
          <w:tab w:val="left" w:pos="1911"/>
        </w:tabs>
        <w:ind w:firstLine="640" w:firstLineChars="200"/>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3.针对 “监考培训时长不足”：延长监考人员岗前培训至 8 小时以上，增加实操演练环节，建立监考人员考核机制，考核合格后方可上岗，提升监考专业能力。</w:t>
      </w:r>
    </w:p>
    <w:p>
      <w:pPr>
        <w:pStyle w:val="2"/>
        <w:rPr>
          <w:rFonts w:hint="eastAsia" w:ascii="仿宋_GB2312" w:hAnsi="仿宋_GB2312" w:eastAsia="仿宋_GB2312" w:cs="仿宋_GB2312"/>
          <w:b w:val="0"/>
          <w:bCs w:val="0"/>
          <w:kern w:val="0"/>
          <w:position w:val="0"/>
          <w:sz w:val="32"/>
          <w:szCs w:val="32"/>
          <w:highlight w:val="none"/>
          <w:lang w:val="en-US" w:eastAsia="zh-CN" w:bidi="ar-SA"/>
        </w:rPr>
      </w:pPr>
    </w:p>
    <w:p>
      <w:pPr>
        <w:rPr>
          <w:rFonts w:hint="eastAsia" w:ascii="仿宋_GB2312" w:hAnsi="仿宋_GB2312" w:eastAsia="仿宋_GB2312" w:cs="仿宋_GB2312"/>
          <w:b w:val="0"/>
          <w:bCs w:val="0"/>
          <w:kern w:val="0"/>
          <w:position w:val="0"/>
          <w:sz w:val="32"/>
          <w:szCs w:val="32"/>
          <w:highlight w:val="none"/>
          <w:lang w:val="en-US" w:eastAsia="zh-CN" w:bidi="ar-SA"/>
        </w:rPr>
      </w:pP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信访维稳专项工作经费</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专项预算绩效自评报告</w:t>
      </w:r>
    </w:p>
    <w:p>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adjustRightInd w:val="0"/>
        <w:snapToGrid w:val="0"/>
        <w:spacing w:line="520" w:lineRule="exact"/>
        <w:ind w:firstLine="642"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为适应新时期信访维稳工作发展需要，全力维护国家安全和社会</w:t>
      </w:r>
      <w:r>
        <w:rPr>
          <w:rFonts w:hint="default" w:ascii="仿宋_GB2312" w:hAnsi="仿宋_GB2312" w:eastAsia="仿宋_GB2312" w:cs="仿宋_GB2312"/>
          <w:sz w:val="32"/>
          <w:szCs w:val="32"/>
        </w:rPr>
        <w:t>大局</w:t>
      </w:r>
      <w:r>
        <w:rPr>
          <w:rFonts w:hint="eastAsia" w:ascii="仿宋_GB2312" w:hAnsi="仿宋_GB2312" w:eastAsia="仿宋_GB2312" w:cs="仿宋_GB2312"/>
          <w:sz w:val="32"/>
          <w:szCs w:val="32"/>
        </w:rPr>
        <w:t>稳定、维护国家统一和民族团结，不断提升信访业务处置突能力，信访维稳工作经费主要用于各重大会议、重大活动、重大节假日期间信访安全保障工作、上访人员接访劝返、重大信访事项协调及信访接访系统、视频接访系统年服务费等信访业务支出。</w:t>
      </w:r>
    </w:p>
    <w:p>
      <w:pPr>
        <w:adjustRightInd w:val="0"/>
        <w:snapToGrid w:val="0"/>
        <w:spacing w:line="520" w:lineRule="exact"/>
        <w:ind w:firstLine="640" w:firstLineChars="200"/>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eastAsia" w:ascii="仿宋_GB2312" w:hAnsi="仿宋_GB2312" w:eastAsia="仿宋_GB2312" w:cs="仿宋_GB2312"/>
          <w:sz w:val="32"/>
          <w:szCs w:val="32"/>
        </w:rPr>
        <w:t>本单位制定了</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 xml:space="preserve">年的工作计划，组织机构健全，职责分工明确。 </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rPr>
        <w:t>年根据信访工作实际，申报信访维稳工作经费项目资金</w:t>
      </w:r>
      <w:r>
        <w:rPr>
          <w:rFonts w:hint="eastAsia" w:ascii="仿宋_GB2312" w:hAnsi="仿宋_GB2312" w:cs="仿宋_GB2312"/>
          <w:sz w:val="32"/>
          <w:szCs w:val="32"/>
          <w:lang w:val="en-US" w:eastAsia="zh-CN"/>
        </w:rPr>
        <w:t>11.09</w:t>
      </w:r>
      <w:r>
        <w:rPr>
          <w:rFonts w:hint="eastAsia" w:ascii="仿宋_GB2312" w:hAnsi="仿宋_GB2312" w:eastAsia="仿宋_GB2312" w:cs="仿宋_GB2312"/>
          <w:sz w:val="32"/>
          <w:szCs w:val="32"/>
        </w:rPr>
        <w:t>万元的，财政批复下达</w:t>
      </w:r>
      <w:r>
        <w:rPr>
          <w:rFonts w:hint="eastAsia" w:ascii="仿宋_GB2312" w:hAnsi="仿宋_GB2312" w:cs="仿宋_GB2312"/>
          <w:sz w:val="32"/>
          <w:szCs w:val="32"/>
          <w:lang w:val="en-US" w:eastAsia="zh-CN"/>
        </w:rPr>
        <w:t>11.09</w:t>
      </w:r>
      <w:r>
        <w:rPr>
          <w:rFonts w:hint="eastAsia" w:ascii="仿宋_GB2312" w:hAnsi="仿宋_GB2312" w:eastAsia="仿宋_GB2312" w:cs="仿宋_GB2312"/>
          <w:sz w:val="32"/>
          <w:szCs w:val="32"/>
        </w:rPr>
        <w:t>万元。费用支出根据单位财务管理制度和单位内控制度落实实报实销。符合资金管理办法及相关规定。</w:t>
      </w:r>
    </w:p>
    <w:p>
      <w:pPr>
        <w:keepNext w:val="0"/>
        <w:keepLines w:val="0"/>
        <w:pageBreakBefore w:val="0"/>
        <w:widowControl/>
        <w:numPr>
          <w:ilvl w:val="0"/>
          <w:numId w:val="3"/>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200" w:firstLine="321" w:firstLineChars="100"/>
        <w:contextualSpacing/>
        <w:jc w:val="left"/>
        <w:textAlignment w:val="auto"/>
        <w:rPr>
          <w:rFonts w:hint="default" w:ascii="Times New Roman" w:hAnsi="Times New Roman" w:eastAsia="仿宋_GB2312" w:cs="Times New Roman"/>
          <w:b/>
          <w:bCs/>
          <w:color w:val="auto"/>
          <w:kern w:val="0"/>
          <w:sz w:val="32"/>
          <w:szCs w:val="32"/>
          <w:highlight w:val="none"/>
          <w:u w:val="none"/>
          <w:shd w:val="clear" w:color="auto" w:fill="FFFFFF"/>
          <w:lang w:val="en-US" w:eastAsia="zh-CN"/>
        </w:rPr>
      </w:pPr>
      <w:r>
        <w:rPr>
          <w:rFonts w:hint="eastAsia" w:ascii="Times New Roman" w:hAnsi="Times New Roman" w:cs="Times New Roman"/>
          <w:b/>
          <w:bCs/>
          <w:color w:val="auto"/>
          <w:kern w:val="0"/>
          <w:sz w:val="32"/>
          <w:szCs w:val="32"/>
          <w:highlight w:val="none"/>
          <w:u w:val="none"/>
          <w:shd w:val="clear" w:color="auto" w:fill="FFFFFF"/>
          <w:lang w:val="en-US" w:eastAsia="zh-CN"/>
        </w:rPr>
        <w:t>1.</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实施目的</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维护社会稳定：这是核心目的。通过保障信访维稳工作的顺利开展，及时处理各类信访问题，防止矛盾激化和事态扩大，避免因信访问题引发群体性事件、越级上访等影响社会稳定的情况发生，确保社会秩序稳定和谐。</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保障信访工作高效开展：确保信访部门有足够的资金用于日常运转和专项工作，如配备必要的办公设备、开展信息化建设等，从而提高信访工作的效率和质量，使信访事项能够得到及时受理、转送、交办和督办，提升信访工作的整体水平。</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解决突出信访问题：对于一些复杂、疑难的信访问题，专项经费可提供必要的资金支持，用于采取特殊措施或给予适当救助，推动这些问题得到妥善解决，减少信访积案，缓解社会矛盾。</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强化应急处置能力：在重要会议、重大活动等特殊时期，以及面对突发信访事件时，能够有资金保障应急处置工作的开展，包括调配人员、物资等，快速响应并有效应对，维护社会秩序和公共安全。</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仿宋_GB2312" w:cs="Times New Roman"/>
          <w:b/>
          <w:bCs/>
          <w:color w:val="auto"/>
          <w:kern w:val="0"/>
          <w:sz w:val="32"/>
          <w:szCs w:val="32"/>
          <w:highlight w:val="none"/>
          <w:u w:val="none"/>
          <w:shd w:val="clear" w:color="auto" w:fill="FFFFFF"/>
          <w:lang w:val="en-US" w:eastAsia="zh-CN"/>
        </w:rPr>
      </w:pPr>
      <w:r>
        <w:rPr>
          <w:rFonts w:hint="eastAsia" w:ascii="Times New Roman" w:hAnsi="Times New Roman" w:cs="Times New Roman"/>
          <w:b/>
          <w:bCs/>
          <w:color w:val="auto"/>
          <w:kern w:val="0"/>
          <w:sz w:val="32"/>
          <w:szCs w:val="32"/>
          <w:highlight w:val="none"/>
          <w:u w:val="none"/>
          <w:shd w:val="clear" w:color="auto" w:fill="FFFFFF"/>
          <w:lang w:val="en-US" w:eastAsia="zh-CN"/>
        </w:rPr>
        <w:t>2.</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日常信访维稳工作：包括信访接待场所的运行和维护费用，如场地租赁、设备购置与维护等；信访工作人员的培训费用，以提升其业务能力和应对复杂问题的水平；以及开展信访矛盾排查、信息收集与分析等工作的费用，以便及时掌握信访动态，提前做好维稳准备。</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重点时期和敏感节点维稳：在国家重要会议、重大节日、政治活动等重点时期，以及涉及当地的敏感事件发生时，用于加强信访值班、应急处置、重点人员稳控等方面的支出。例如，支付驻京驻省驻市维稳工作人员的差旅费、住宿费，以及购置相关应急设备等费用。</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特殊疑难信访问题化解：针对 “无头案、钉子案、骨头案” 及 “三跨三分离” 等特殊疑难信访个案，提供救助资金或用于采取其他化解措施的费用。如对生活困难的信访群众给予适当的经济救助，帮助他们解决实际生活问题，促使其息访罢诉。</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应急处置与突发事件应对：当出现突发信访事件，如群体性上访、信访人采取极端行为等情况时，经费可用于调配应急物资、组织救援力量、开展现场处置等方面的支出，以迅速控制局面，防止事件恶化。</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信访维稳工作信息化建设：用于开发和维护信访信息管理系统，实现信访数据的实时收集、分析和共享，提高信访工作的信息化水平和决策科学性；以及购置相关的信息化设备，如电脑、网络设备等。</w:t>
      </w:r>
    </w:p>
    <w:p>
      <w:pPr>
        <w:pStyle w:val="2"/>
        <w:ind w:left="0" w:leftChars="0" w:firstLine="640" w:firstLineChars="200"/>
        <w:rPr>
          <w:rFonts w:hint="default" w:ascii="Times New Roman" w:hAnsi="Times New Roman" w:eastAsia="仿宋_GB2312" w:cs="Times New Roman"/>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宣传培训</w:t>
      </w:r>
      <w:r>
        <w:rPr>
          <w:rFonts w:hint="eastAsia" w:ascii="Times New Roman" w:hAnsi="Times New Roman" w:eastAsia="仿宋_GB2312" w:cs="Times New Roman"/>
          <w:color w:val="auto"/>
          <w:kern w:val="0"/>
          <w:sz w:val="32"/>
          <w:szCs w:val="32"/>
          <w:highlight w:val="none"/>
          <w:u w:val="none"/>
          <w:shd w:val="clear" w:color="auto" w:fill="FFFFFF"/>
          <w:lang w:val="en-US" w:eastAsia="zh-CN" w:bidi="ar-SA"/>
        </w:rPr>
        <w:t>:一是信访业务培训，涵盖《信访工作条例》专题培训、积案化解实操教学、信访干部能力提升班，支付授课师资酬劳、培训教材印制及场地费用；二是信访法治宣传，制作宣传手册、海报、短视频、宣传物资等物料，开展线下宣讲、知识竞赛、普法广场活动，投放线上媒体宣传；三是应急处置培训，组织突发信访事件情景模拟、联动演练，保障演练物资、交通及后勤支出。经费严格按规定专款专用，确保培训实效与宣传覆盖面。</w:t>
      </w:r>
    </w:p>
    <w:p>
      <w:pPr>
        <w:keepNext w:val="0"/>
        <w:keepLines w:val="0"/>
        <w:pageBreakBefore w:val="0"/>
        <w:widowControl/>
        <w:numPr>
          <w:ilvl w:val="0"/>
          <w:numId w:val="3"/>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202</w:t>
      </w:r>
      <w:r>
        <w:rPr>
          <w:rFonts w:hint="eastAsia" w:ascii="仿宋_GB2312" w:hAnsi="仿宋_GB2312" w:eastAsia="仿宋_GB2312" w:cs="仿宋_GB2312"/>
          <w:color w:val="auto"/>
          <w:kern w:val="0"/>
          <w:sz w:val="32"/>
          <w:szCs w:val="32"/>
          <w:highlight w:val="none"/>
          <w:u w:val="none"/>
          <w:shd w:val="clear" w:color="auto" w:fill="FFFFFF"/>
          <w:lang w:val="en-US" w:eastAsia="zh-CN"/>
        </w:rPr>
        <w:t>5</w:t>
      </w:r>
      <w:r>
        <w:rPr>
          <w:rFonts w:hint="eastAsia" w:ascii="仿宋_GB2312" w:hAnsi="仿宋_GB2312" w:eastAsia="仿宋_GB2312" w:cs="仿宋_GB2312"/>
          <w:color w:val="auto"/>
          <w:kern w:val="0"/>
          <w:sz w:val="32"/>
          <w:szCs w:val="32"/>
          <w:highlight w:val="none"/>
          <w:u w:val="none"/>
          <w:shd w:val="clear" w:color="auto" w:fill="FFFFFF"/>
          <w:lang w:val="zh-CN" w:eastAsia="zh-CN"/>
        </w:rPr>
        <w:t>年年初预算</w:t>
      </w:r>
      <w:r>
        <w:rPr>
          <w:rFonts w:hint="eastAsia" w:ascii="仿宋_GB2312" w:hAnsi="仿宋_GB2312" w:eastAsia="仿宋_GB2312" w:cs="仿宋_GB2312"/>
          <w:color w:val="auto"/>
          <w:kern w:val="0"/>
          <w:sz w:val="32"/>
          <w:szCs w:val="32"/>
          <w:highlight w:val="none"/>
          <w:u w:val="none"/>
          <w:shd w:val="clear" w:color="auto" w:fill="FFFFFF"/>
          <w:lang w:val="en-US" w:eastAsia="zh-CN"/>
        </w:rPr>
        <w:t>11.09</w:t>
      </w:r>
      <w:r>
        <w:rPr>
          <w:rFonts w:hint="eastAsia" w:ascii="仿宋_GB2312" w:hAnsi="仿宋_GB2312" w:eastAsia="仿宋_GB2312" w:cs="仿宋_GB2312"/>
          <w:color w:val="auto"/>
          <w:kern w:val="0"/>
          <w:sz w:val="32"/>
          <w:szCs w:val="32"/>
          <w:highlight w:val="none"/>
          <w:u w:val="none"/>
          <w:shd w:val="clear" w:color="auto" w:fill="FFFFFF"/>
          <w:lang w:val="zh-CN" w:eastAsia="zh-CN"/>
        </w:rPr>
        <w:t>万元，调整后预算数</w:t>
      </w:r>
      <w:r>
        <w:rPr>
          <w:rFonts w:hint="eastAsia" w:ascii="仿宋_GB2312" w:hAnsi="仿宋_GB2312" w:eastAsia="仿宋_GB2312" w:cs="仿宋_GB2312"/>
          <w:color w:val="auto"/>
          <w:kern w:val="0"/>
          <w:sz w:val="32"/>
          <w:szCs w:val="32"/>
          <w:highlight w:val="none"/>
          <w:u w:val="none"/>
          <w:shd w:val="clear" w:color="auto" w:fill="FFFFFF"/>
          <w:lang w:val="en-US" w:eastAsia="zh-CN"/>
        </w:rPr>
        <w:t>11.09</w:t>
      </w:r>
      <w:r>
        <w:rPr>
          <w:rFonts w:hint="eastAsia" w:ascii="仿宋_GB2312" w:hAnsi="仿宋_GB2312" w:eastAsia="仿宋_GB2312" w:cs="仿宋_GB2312"/>
          <w:color w:val="auto"/>
          <w:kern w:val="0"/>
          <w:sz w:val="32"/>
          <w:szCs w:val="32"/>
          <w:highlight w:val="none"/>
          <w:u w:val="none"/>
          <w:shd w:val="clear" w:color="auto" w:fill="FFFFFF"/>
          <w:lang w:val="zh-CN" w:eastAsia="zh-CN"/>
        </w:rPr>
        <w:t>万元，预算执行数</w:t>
      </w:r>
      <w:r>
        <w:rPr>
          <w:rFonts w:hint="eastAsia" w:ascii="仿宋_GB2312" w:hAnsi="仿宋_GB2312" w:eastAsia="仿宋_GB2312" w:cs="仿宋_GB2312"/>
          <w:color w:val="auto"/>
          <w:kern w:val="0"/>
          <w:sz w:val="32"/>
          <w:szCs w:val="32"/>
          <w:highlight w:val="none"/>
          <w:u w:val="none"/>
          <w:shd w:val="clear" w:color="auto" w:fill="FFFFFF"/>
          <w:lang w:val="en-US" w:eastAsia="zh-CN"/>
        </w:rPr>
        <w:t>11.09</w:t>
      </w:r>
      <w:r>
        <w:rPr>
          <w:rFonts w:hint="eastAsia" w:ascii="仿宋_GB2312" w:hAnsi="仿宋_GB2312" w:eastAsia="仿宋_GB2312" w:cs="仿宋_GB2312"/>
          <w:color w:val="auto"/>
          <w:kern w:val="0"/>
          <w:sz w:val="32"/>
          <w:szCs w:val="32"/>
          <w:highlight w:val="none"/>
          <w:u w:val="none"/>
          <w:shd w:val="clear" w:color="auto" w:fill="FFFFFF"/>
          <w:lang w:val="zh-CN" w:eastAsia="zh-CN"/>
        </w:rPr>
        <w:t>万元。全部为一般公共预算资金，无配套资金。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分配原则：遵循 “突出重点、统筹兼顾、按需分配、注重实效”原则，优先保障积案化解难度大及重点领域。</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分配情况：按工作任务分配。</w:t>
      </w:r>
    </w:p>
    <w:p>
      <w:pPr>
        <w:keepNext w:val="0"/>
        <w:keepLines w:val="0"/>
        <w:pageBreakBefore w:val="0"/>
        <w:numPr>
          <w:ilvl w:val="0"/>
          <w:numId w:val="3"/>
        </w:numPr>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项目绩效目标设置。</w:t>
      </w:r>
    </w:p>
    <w:p>
      <w:pPr>
        <w:keepNext w:val="0"/>
        <w:keepLines w:val="0"/>
        <w:pageBreakBefore w:val="0"/>
        <w:numPr>
          <w:ilvl w:val="0"/>
          <w:numId w:val="0"/>
        </w:numPr>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信访维稳专项工作经费项目，重点用于通过保障信访维稳工作的顺利开展，及时处理各类信访问题，防止矛盾激化和事态扩大，避免因信访问题引发群体性事件、越级上访等影响社会稳定的情况发生，确保社会秩序稳定和谐。我单位申报的信访维稳专项工作经费项目内容与具体实施内容相符的、申报目标是合理可行。</w:t>
      </w:r>
    </w:p>
    <w:p>
      <w:pPr>
        <w:rPr>
          <w:rFonts w:hint="default"/>
          <w:sz w:val="32"/>
          <w:szCs w:val="32"/>
          <w:lang w:val="zh-CN" w:eastAsia="zh-CN"/>
        </w:rPr>
      </w:pPr>
    </w:p>
    <w:tbl>
      <w:tblPr>
        <w:tblStyle w:val="4"/>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
        <w:gridCol w:w="1347"/>
        <w:gridCol w:w="1217"/>
        <w:gridCol w:w="2136"/>
        <w:gridCol w:w="456"/>
        <w:gridCol w:w="1096"/>
        <w:gridCol w:w="456"/>
        <w:gridCol w:w="776"/>
        <w:gridCol w:w="5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绩效指标</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一级指标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二级指标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三级指标</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指标性质</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指标值</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度量单位</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完成值</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权重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产出指标</w:t>
            </w:r>
          </w:p>
        </w:tc>
        <w:tc>
          <w:tcPr>
            <w:tcW w:w="77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数量指标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开展宣传活动次数</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kern w:val="2"/>
                <w:sz w:val="24"/>
                <w:szCs w:val="24"/>
                <w:u w:val="none"/>
                <w:lang w:val="en-US" w:eastAsia="zh-CN" w:bidi="ar-SA"/>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次</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微软雅黑" w:hAnsi="微软雅黑" w:eastAsia="微软雅黑" w:cs="微软雅黑"/>
                <w:i/>
                <w:iCs/>
                <w:color w:val="000000"/>
                <w:sz w:val="24"/>
                <w:szCs w:val="24"/>
                <w:u w:val="none"/>
              </w:rPr>
            </w:pPr>
            <w:r>
              <w:rPr>
                <w:rFonts w:hint="eastAsia" w:ascii="微软雅黑" w:hAnsi="微软雅黑" w:eastAsia="微软雅黑" w:cs="微软雅黑"/>
                <w:i/>
                <w:iCs/>
                <w:color w:val="000000"/>
                <w:kern w:val="0"/>
                <w:sz w:val="24"/>
                <w:szCs w:val="24"/>
                <w:u w:val="none"/>
                <w:lang w:val="en-US" w:eastAsia="zh-CN" w:bidi="ar"/>
              </w:rPr>
              <w:t>1次</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77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开展维稳工作次数</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kern w:val="2"/>
                <w:sz w:val="24"/>
                <w:szCs w:val="24"/>
                <w:u w:val="none"/>
                <w:lang w:val="en-US" w:eastAsia="zh-CN" w:bidi="ar-SA"/>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次</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24"/>
                <w:szCs w:val="24"/>
                <w:u w:val="none"/>
              </w:rPr>
            </w:pPr>
            <w:r>
              <w:rPr>
                <w:rFonts w:hint="eastAsia" w:ascii="微软雅黑" w:hAnsi="微软雅黑" w:eastAsia="微软雅黑" w:cs="微软雅黑"/>
                <w:i/>
                <w:iCs/>
                <w:color w:val="000000"/>
                <w:kern w:val="0"/>
                <w:sz w:val="24"/>
                <w:szCs w:val="24"/>
                <w:u w:val="none"/>
                <w:lang w:val="en-US" w:eastAsia="zh-CN" w:bidi="ar"/>
              </w:rPr>
              <w:t>1次</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时效指标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cs="宋体"/>
                <w:i w:val="0"/>
                <w:iCs w:val="0"/>
                <w:color w:val="000000"/>
                <w:kern w:val="0"/>
                <w:sz w:val="24"/>
                <w:szCs w:val="24"/>
                <w:u w:val="none"/>
                <w:lang w:eastAsia="zh-CN" w:bidi="ar"/>
              </w:rPr>
              <w:t>截止到</w:t>
            </w:r>
            <w:r>
              <w:rPr>
                <w:rFonts w:ascii="宋体" w:hAnsi="宋体" w:eastAsia="宋体" w:cs="宋体"/>
                <w:i w:val="0"/>
                <w:iCs w:val="0"/>
                <w:color w:val="000000"/>
                <w:kern w:val="0"/>
                <w:sz w:val="24"/>
                <w:szCs w:val="24"/>
                <w:u w:val="none"/>
                <w:lang w:val="en-US" w:eastAsia="zh-CN" w:bidi="ar"/>
              </w:rPr>
              <w:t>12月底完成支付</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年</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24"/>
                <w:szCs w:val="24"/>
                <w:u w:val="none"/>
              </w:rPr>
            </w:pPr>
            <w:r>
              <w:rPr>
                <w:rFonts w:hint="eastAsia" w:ascii="微软雅黑" w:hAnsi="微软雅黑" w:eastAsia="微软雅黑" w:cs="微软雅黑"/>
                <w:i/>
                <w:iCs/>
                <w:color w:val="000000"/>
                <w:kern w:val="0"/>
                <w:sz w:val="24"/>
                <w:szCs w:val="24"/>
                <w:u w:val="none"/>
                <w:lang w:val="en-US" w:eastAsia="zh-CN" w:bidi="ar"/>
              </w:rPr>
              <w:t>12月</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效益指标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可持续发展指标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保障工作有序开展</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满意度指标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满意度指标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使用职工满意度</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95</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95%</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成本指标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经济成本指标</w:t>
            </w:r>
          </w:p>
        </w:tc>
        <w:tc>
          <w:tcPr>
            <w:tcW w:w="1159" w:type="pct"/>
            <w:tcBorders>
              <w:top w:val="nil"/>
              <w:left w:val="nil"/>
              <w:bottom w:val="nil"/>
              <w:right w:val="nil"/>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预算下达指标金额</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11.09</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万元</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万元</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4714" w:type="pct"/>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合计</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r>
    </w:tbl>
    <w:p>
      <w:pPr>
        <w:rPr>
          <w:rFonts w:hint="default"/>
          <w:sz w:val="32"/>
          <w:szCs w:val="32"/>
          <w:lang w:val="zh-CN" w:eastAsia="zh-CN"/>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楷体_GB2312" w:cs="Times New Roman"/>
          <w:b/>
          <w:color w:val="auto"/>
          <w:sz w:val="32"/>
          <w:szCs w:val="32"/>
          <w:highlight w:val="none"/>
          <w:u w:val="none"/>
          <w:lang w:val="zh-CN"/>
        </w:rPr>
        <w:t>（一）评价目的。</w:t>
      </w:r>
      <w:r>
        <w:rPr>
          <w:rFonts w:hint="eastAsia" w:eastAsia="仿宋_GB2312" w:cs="Times New Roman"/>
          <w:sz w:val="32"/>
          <w:szCs w:val="32"/>
        </w:rPr>
        <w:t>通过绩效评价，及时发现项目实施中存在的薄弱环节，总结推广好的经验和做法，进一步规范项目管理。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1.长效机制建立情况。项目实施单位是否已建立项目实施管理制度等。</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2.项目实施程序严密性。建设项目的招投标资料是否完整、真实，有无弄虚作假套取财政资金等问题。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资金拨付和使用的合规性。是否按国库集中支付规定办理资金拨付手续；是否不按时拨付，造成滞留资金积压；资金是否专款专用，是否随意变更项目内容及地点；是否遵守《现金管理暂行条例》规定；是否有挤古、挪用、截留等违纪违规等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4.信息的公开透明度。项目资金管理单位的公开公示情况。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5.财务管理和会计核算规范性。财务核算是否符合《中华人民共和国会计法》《会计基础工作规范》等要求、是否符合基本建设财务管理和会计制度规定。</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cs="Times New Roman"/>
          <w:sz w:val="32"/>
          <w:szCs w:val="32"/>
          <w:lang w:eastAsia="zh-CN"/>
        </w:rPr>
      </w:pPr>
      <w:r>
        <w:rPr>
          <w:rFonts w:hint="eastAsia" w:ascii="Times New Roman" w:hAnsi="Times New Roman" w:eastAsia="仿宋_GB2312" w:cs="Times New Roman"/>
          <w:sz w:val="32"/>
          <w:szCs w:val="32"/>
          <w:lang w:val="zh-CN"/>
        </w:rPr>
        <w:t>6.项目实施单位绩效自评情况。项目实施单位是否严格按照预算绩效管理规定开展绩效自评。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cs="Times New Roman"/>
          <w:sz w:val="32"/>
          <w:szCs w:val="32"/>
          <w:lang w:val="zh-CN"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eastAsia="楷体_GB2312" w:cs="Times New Roman"/>
          <w:b w:val="0"/>
          <w:bCs/>
          <w:color w:val="auto"/>
          <w:sz w:val="32"/>
          <w:szCs w:val="32"/>
          <w:highlight w:val="none"/>
          <w:u w:val="none"/>
          <w:lang w:val="en-US" w:eastAsia="zh-CN"/>
        </w:rPr>
        <w:t>工作开展地点。</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1.现场咨询。</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2.实施单位自评，形成完整自评资料。</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Cs/>
          <w:sz w:val="32"/>
          <w:szCs w:val="32"/>
          <w:lang w:eastAsia="zh-CN"/>
        </w:rPr>
      </w:pPr>
      <w:r>
        <w:rPr>
          <w:rFonts w:hint="default" w:ascii="Times New Roman" w:hAnsi="Times New Roman" w:eastAsia="楷体_GB2312" w:cs="Times New Roman"/>
          <w:b/>
          <w:color w:val="auto"/>
          <w:sz w:val="32"/>
          <w:szCs w:val="32"/>
          <w:highlight w:val="none"/>
          <w:u w:val="none"/>
          <w:lang w:val="zh-CN"/>
        </w:rPr>
        <w:t>（五）评价组织。</w:t>
      </w:r>
      <w:r>
        <w:rPr>
          <w:rFonts w:hint="eastAsia" w:eastAsia="仿宋_GB2312" w:cs="Times New Roman"/>
          <w:sz w:val="32"/>
          <w:szCs w:val="32"/>
        </w:rPr>
        <w:t>评价组人员由相关业务股室和项目单位代表组成，评价小组以检查账目、资料、电话核实等形式开展了现场评价。</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项目决策。指标分值</w:t>
      </w:r>
      <w:r>
        <w:rPr>
          <w:rFonts w:hint="eastAsia" w:ascii="仿宋_GB2312" w:hAnsi="仿宋_GB2312" w:eastAsia="仿宋_GB2312" w:cs="仿宋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决策程序：项目设立、调整延续等方面符合资金管理基本规范和决策程序要求。指标分值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规划论证：项目规划论证符合</w:t>
      </w:r>
      <w:r>
        <w:rPr>
          <w:rFonts w:hint="default" w:ascii="仿宋_GB2312" w:hAnsi="仿宋_GB2312" w:eastAsia="仿宋_GB2312" w:cs="仿宋_GB2312"/>
          <w:color w:val="auto"/>
          <w:sz w:val="32"/>
          <w:szCs w:val="32"/>
          <w:lang w:eastAsia="zh-CN"/>
        </w:rPr>
        <w:t>中央、省委</w:t>
      </w:r>
      <w:r>
        <w:rPr>
          <w:rFonts w:hint="eastAsia" w:ascii="仿宋_GB2312" w:hAnsi="仿宋_GB2312" w:eastAsia="仿宋_GB2312" w:cs="仿宋_GB2312"/>
          <w:color w:val="auto"/>
          <w:sz w:val="32"/>
          <w:szCs w:val="32"/>
          <w:lang w:eastAsia="zh-CN"/>
        </w:rPr>
        <w:t>要求，项目绩效目标设置科学合理，项目资金与项目总体规划、相关行业事业发展相匹配，聚焦重大任务、重点领域、重点环节和重点项目。指标分值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eastAsia="zh-CN"/>
        </w:rPr>
        <w:t>资金投向：项目资金是与项目总体规划、相关行业事业发展相匹配，聚焦重大任务、重点领域、重点环节和重点项目。体现“</w:t>
      </w:r>
      <w:r>
        <w:rPr>
          <w:rFonts w:hint="default" w:ascii="仿宋_GB2312" w:hAnsi="仿宋_GB2312" w:eastAsia="仿宋_GB2312" w:cs="仿宋_GB2312"/>
          <w:color w:val="auto"/>
          <w:sz w:val="32"/>
          <w:szCs w:val="32"/>
          <w:lang w:eastAsia="zh-CN"/>
        </w:rPr>
        <w:t>集中力量办大事</w:t>
      </w:r>
      <w:r>
        <w:rPr>
          <w:rFonts w:hint="eastAsia" w:ascii="仿宋_GB2312" w:hAnsi="仿宋_GB2312" w:eastAsia="仿宋_GB2312" w:cs="仿宋_GB2312"/>
          <w:color w:val="auto"/>
          <w:sz w:val="32"/>
          <w:szCs w:val="32"/>
          <w:lang w:eastAsia="zh-CN"/>
        </w:rPr>
        <w:t>”原则，避免“撒胡椒面”。指标分值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楷体_GB2312" w:hAnsi="楷体_GB2312" w:eastAsia="楷体_GB2312" w:cs="楷体_GB2312"/>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2.</w:t>
      </w:r>
      <w:r>
        <w:rPr>
          <w:rFonts w:hint="default" w:ascii="Times New Roman" w:hAnsi="Times New Roman" w:eastAsia="楷体_GB2312" w:cs="Times New Roman"/>
          <w:b/>
          <w:bCs/>
          <w:color w:val="auto"/>
          <w:sz w:val="32"/>
          <w:szCs w:val="32"/>
          <w:lang w:eastAsia="zh-CN"/>
        </w:rPr>
        <w:t>项目管理。</w:t>
      </w:r>
      <w:r>
        <w:rPr>
          <w:rFonts w:hint="eastAsia" w:ascii="楷体_GB2312" w:hAnsi="楷体_GB2312" w:eastAsia="楷体_GB2312" w:cs="楷体_GB2312"/>
          <w:b/>
          <w:bCs/>
          <w:color w:val="auto"/>
          <w:sz w:val="32"/>
          <w:szCs w:val="32"/>
          <w:lang w:eastAsia="zh-CN"/>
        </w:rPr>
        <w:t>指标分值</w:t>
      </w:r>
      <w:r>
        <w:rPr>
          <w:rFonts w:hint="eastAsia" w:ascii="楷体_GB2312" w:hAnsi="楷体_GB2312" w:eastAsia="楷体_GB2312" w:cs="楷体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制度办法：项目制度办法体系健全、要素完备。资金管理办法等管理制度体系健全完善，不存在管理制度缺失、管理办法过期情况。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2分，自评得分2分。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绩效监管</w:t>
      </w:r>
      <w:r>
        <w:rPr>
          <w:rFonts w:hint="eastAsia" w:ascii="仿宋_GB2312" w:hAnsi="仿宋_GB2312" w:eastAsia="仿宋_GB2312" w:cs="仿宋_GB2312"/>
          <w:color w:val="auto"/>
          <w:sz w:val="32"/>
          <w:szCs w:val="32"/>
          <w:lang w:val="en-US" w:eastAsia="zh-CN"/>
        </w:rPr>
        <w:t>: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单位将绩效理念融入预算编制、执行、监督全过程，抓好项目效益是否提升的“落脚点”，发挥绩效评价导向作用，通过奖优惩劣，确保被评价单位把每一笔钱都用在刀刃上、紧要处，力求项目效益提升。</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3.项目实施。指标分值9分，自评得分9分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预算执行:项目预算资金6万元，支付6万元。指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资金使用:项目资金使用、拨付符合国家财经法规、财务管理制度及有关专项资金管理制度办法规定和审批程序，不存在超范围、超标准、超进度使用专项资金，不存在资金损失浪费、长期沉淀、截留、挤占、挪用、虚列支出等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项目结果。指标分值9分，自评得分9分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w:t>
      </w:r>
      <w:r>
        <w:rPr>
          <w:rFonts w:hint="default" w:ascii="仿宋_GB2312" w:hAnsi="仿宋_GB2312" w:eastAsia="仿宋_GB2312" w:cs="仿宋_GB2312"/>
          <w:color w:val="auto"/>
          <w:sz w:val="32"/>
          <w:szCs w:val="32"/>
          <w:lang w:eastAsia="zh-CN"/>
        </w:rPr>
        <w:t>截止到</w:t>
      </w:r>
      <w:r>
        <w:rPr>
          <w:rFonts w:hint="eastAsia" w:ascii="仿宋_GB2312" w:hAnsi="仿宋_GB2312" w:eastAsia="仿宋_GB2312" w:cs="仿宋_GB2312"/>
          <w:color w:val="auto"/>
          <w:sz w:val="32"/>
          <w:szCs w:val="32"/>
          <w:lang w:val="en-US" w:eastAsia="zh-CN"/>
        </w:rPr>
        <w:t>2025年底完成项目资金拨付。指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val="en-US" w:eastAsia="zh-CN"/>
        </w:rPr>
        <w:t>完成时效：资金项目按照目标任务已于2025年底完成。</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color w:val="auto"/>
          <w:sz w:val="32"/>
          <w:szCs w:val="32"/>
          <w:lang w:val="zh-CN"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28</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1.区域均衡性：经费向信访难度大工作倾斜，整体均衡性良好。指标分值10分，自评得分10分。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2.对象精准性：信访积案、安保工作识别精准，重点人群诉求处置到位，精准化解率、安保率达标，但个别信访事项责任划分不够清晰，影响处置精准度，扣 1 分。指标分值10分，自评得分9分。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3.标准合理性：经费补贴标准符合县域经济发展水平，标准设置科学合理。</w:t>
      </w:r>
      <w:r>
        <w:rPr>
          <w:rFonts w:hint="eastAsia" w:ascii="仿宋_GB2312" w:hAnsi="仿宋_GB2312" w:eastAsia="仿宋_GB2312" w:cs="仿宋_GB2312"/>
          <w:color w:val="auto"/>
          <w:sz w:val="32"/>
          <w:szCs w:val="32"/>
          <w:lang w:eastAsia="zh-CN"/>
        </w:rPr>
        <w:t>指标分值</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分，自评得分</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4.群众满意度：信访群众满意率达</w:t>
      </w:r>
      <w:r>
        <w:rPr>
          <w:rFonts w:hint="eastAsia" w:ascii="仿宋_GB2312" w:hAnsi="仿宋_GB2312" w:cs="仿宋_GB2312"/>
          <w:color w:val="auto"/>
          <w:sz w:val="32"/>
          <w:szCs w:val="32"/>
          <w:lang w:val="en-US" w:eastAsia="zh-CN"/>
        </w:rPr>
        <w:t>85</w:t>
      </w:r>
      <w:r>
        <w:rPr>
          <w:rFonts w:hint="eastAsia" w:ascii="仿宋_GB2312" w:hAnsi="仿宋_GB2312" w:eastAsia="仿宋_GB2312" w:cs="仿宋_GB2312"/>
          <w:color w:val="auto"/>
          <w:sz w:val="32"/>
          <w:szCs w:val="32"/>
          <w:lang w:val="en-US" w:eastAsia="zh-CN"/>
        </w:rPr>
        <w:t>%，但部分群众反映信访结果反馈不够及时，扣 1 分。</w:t>
      </w:r>
      <w:r>
        <w:rPr>
          <w:rFonts w:hint="eastAsia" w:ascii="仿宋_GB2312" w:hAnsi="仿宋_GB2312" w:eastAsia="仿宋_GB2312" w:cs="仿宋_GB2312"/>
          <w:color w:val="auto"/>
          <w:sz w:val="32"/>
          <w:szCs w:val="32"/>
          <w:lang w:eastAsia="zh-CN"/>
        </w:rPr>
        <w:t>指标分值</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分，自评得分</w:t>
      </w:r>
      <w:r>
        <w:rPr>
          <w:rFonts w:hint="eastAsia" w:ascii="仿宋_GB2312" w:hAnsi="仿宋_GB2312" w:cs="仿宋_GB2312"/>
          <w:color w:val="auto"/>
          <w:sz w:val="32"/>
          <w:szCs w:val="32"/>
          <w:lang w:val="en-US" w:eastAsia="zh-CN"/>
        </w:rPr>
        <w:t>4</w:t>
      </w:r>
      <w:r>
        <w:rPr>
          <w:rFonts w:hint="eastAsia" w:ascii="仿宋_GB2312" w:hAnsi="仿宋_GB2312" w:eastAsia="仿宋_GB2312" w:cs="仿宋_GB2312"/>
          <w:color w:val="auto"/>
          <w:sz w:val="32"/>
          <w:szCs w:val="32"/>
          <w:lang w:val="en-US" w:eastAsia="zh-CN"/>
        </w:rPr>
        <w:t>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我单位在规定时间内做好信访维稳专项工作经费个性化绩效评价指标具有特定的针对性，能够更好地反映信访维稳专项工作其特定业务领域的表现，可以增强信访维稳专项工作的积极性和工作热情。提高部门的整体绩效水平。</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1.信访维稳宣传工作:通过宣传和教育活动提高公众对信访工作的认识和参与度,以提高信访工作管理效率和质量。</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5分，自评得分5分。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2.全力做好信访“一次性化解率”工作：上级考核“一次性化解率”为97%，我单位2025年案件化解率率为97.06%。指标分值5分，自评得分5分。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3.信访安全保障工作：全面做好敏感时期、重大节假日信访安全保障工作。在重大会议及重要敏感节点开展信访安全保障工作。</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kern w:val="2"/>
          <w:position w:val="0"/>
          <w:sz w:val="32"/>
          <w:szCs w:val="32"/>
          <w:lang w:val="en-US" w:eastAsia="zh-CN" w:bidi="ar-SA"/>
        </w:rPr>
        <w:t>本次专项预算绩效自评总得分为98分。项目整体实施情况良好，专项经费使用合规高效，预算执行率达100%，圆满完成信访案件化解、矛盾排查处置等核心任务，有效维护了社会稳定大局，信访群众满意度达85%，基本实现预期绩效目标，但在经费管理精细化、基层保障均衡性等方面仍有提升空间</w:t>
      </w:r>
      <w:r>
        <w:rPr>
          <w:rFonts w:hint="eastAsia" w:ascii="仿宋_GB2312" w:hAnsi="仿宋_GB2312" w:eastAsia="仿宋_GB2312" w:cs="仿宋_GB2312"/>
          <w:b w:val="0"/>
          <w:bCs w:val="0"/>
          <w:kern w:val="0"/>
          <w:position w:val="0"/>
          <w:sz w:val="32"/>
          <w:szCs w:val="32"/>
          <w:highlight w:val="none"/>
          <w:lang w:val="en-US" w:eastAsia="zh-CN" w:bidi="ar-SA"/>
        </w:rPr>
        <w:t>。</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1、群众的思想观念存在误区。一是群众对《信访工作条例》认识不够，在碰到问题时首先考虑的不是要按照信访程序诉求，也不会去找基层政府和具体部门，而是片面的认为，不管什么问题只有找到上级部门和县级领导就能很快解决问题。二是认为不论碰到什么问题，多找几个部门和领导反映总不会错，参与信访的部门越多问题就能更快的得到解决。</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2"/>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2、信访群众满意率难度开展较大。特别是对责任部门的“群众满意率”评价，在责任部门办理答复达不到其上访诉求期望值时，信访人员一般采取不评价或不客观公正进行评价，从而拉低该项工作的分值。</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 xml:space="preserve"> 1、持续开展《信访工作条例》宣传。继续保持《条例》宣传的持续性和经常性，把《条例》的宣传融入信访活动的全过程，引导信访人依法信访。</w:t>
      </w:r>
    </w:p>
    <w:p>
      <w:pPr>
        <w:tabs>
          <w:tab w:val="left" w:pos="1911"/>
        </w:tabs>
        <w:ind w:firstLine="640" w:firstLineChars="200"/>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2、强抓信访群众满意率工作。群众满意度是对信访工作的满意硬性指标，下来后，将通过综合研判、压实责任等方式，提升满意度指标，确保满意度达标。</w:t>
      </w:r>
    </w:p>
    <w:p>
      <w:pPr>
        <w:pStyle w:val="2"/>
        <w:rPr>
          <w:rFonts w:hint="eastAsia" w:ascii="仿宋_GB2312" w:hAnsi="仿宋_GB2312" w:eastAsia="仿宋_GB2312" w:cs="仿宋_GB2312"/>
          <w:b w:val="0"/>
          <w:bCs w:val="0"/>
          <w:kern w:val="0"/>
          <w:position w:val="0"/>
          <w:sz w:val="32"/>
          <w:szCs w:val="32"/>
          <w:highlight w:val="none"/>
          <w:lang w:val="en-US" w:eastAsia="zh-CN" w:bidi="ar-SA"/>
        </w:rPr>
      </w:pPr>
    </w:p>
    <w:p>
      <w:pPr>
        <w:rPr>
          <w:rFonts w:hint="eastAsia" w:ascii="仿宋_GB2312" w:hAnsi="仿宋_GB2312" w:eastAsia="仿宋_GB2312" w:cs="仿宋_GB2312"/>
          <w:b w:val="0"/>
          <w:bCs w:val="0"/>
          <w:kern w:val="0"/>
          <w:position w:val="0"/>
          <w:sz w:val="32"/>
          <w:szCs w:val="32"/>
          <w:highlight w:val="none"/>
          <w:lang w:val="en-US" w:eastAsia="zh-CN" w:bidi="ar-SA"/>
        </w:rPr>
      </w:pPr>
    </w:p>
    <w:p>
      <w:pPr>
        <w:pStyle w:val="2"/>
        <w:rPr>
          <w:rFonts w:hint="eastAsia" w:ascii="仿宋_GB2312" w:hAnsi="仿宋_GB2312" w:eastAsia="仿宋_GB2312" w:cs="仿宋_GB2312"/>
          <w:b w:val="0"/>
          <w:bCs w:val="0"/>
          <w:kern w:val="0"/>
          <w:position w:val="0"/>
          <w:sz w:val="32"/>
          <w:szCs w:val="32"/>
          <w:highlight w:val="none"/>
          <w:lang w:val="en-US" w:eastAsia="zh-CN" w:bidi="ar-SA"/>
        </w:rPr>
      </w:pPr>
    </w:p>
    <w:p>
      <w:pPr>
        <w:rPr>
          <w:rFonts w:hint="eastAsia" w:ascii="仿宋_GB2312" w:hAnsi="仿宋_GB2312" w:eastAsia="仿宋_GB2312" w:cs="仿宋_GB2312"/>
          <w:b w:val="0"/>
          <w:bCs w:val="0"/>
          <w:kern w:val="0"/>
          <w:position w:val="0"/>
          <w:sz w:val="32"/>
          <w:szCs w:val="32"/>
          <w:highlight w:val="none"/>
          <w:lang w:val="en-US" w:eastAsia="zh-CN" w:bidi="ar-SA"/>
        </w:rPr>
      </w:pPr>
    </w:p>
    <w:p>
      <w:pPr>
        <w:pStyle w:val="2"/>
        <w:rPr>
          <w:rFonts w:hint="eastAsia" w:ascii="仿宋_GB2312" w:hAnsi="仿宋_GB2312" w:eastAsia="仿宋_GB2312" w:cs="仿宋_GB2312"/>
          <w:b w:val="0"/>
          <w:bCs w:val="0"/>
          <w:kern w:val="0"/>
          <w:position w:val="0"/>
          <w:sz w:val="32"/>
          <w:szCs w:val="32"/>
          <w:highlight w:val="none"/>
          <w:lang w:val="en-US" w:eastAsia="zh-CN" w:bidi="ar-SA"/>
        </w:rPr>
      </w:pP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方正小标宋_GBK" w:eastAsia="方正小标宋_GBK" w:cs="方正小标宋_GBK"/>
          <w:b w:val="0"/>
          <w:bCs w:val="0"/>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驻外流动党员党组织活动和运行经费</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专项预算绩效自评报告</w:t>
      </w:r>
    </w:p>
    <w:p>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1.设立背景：</w:t>
      </w:r>
      <w:r>
        <w:rPr>
          <w:rFonts w:hint="eastAsia" w:ascii="仿宋_GB2312" w:hAnsi="宋体" w:eastAsia="仿宋_GB2312"/>
          <w:sz w:val="32"/>
          <w:szCs w:val="32"/>
          <w:lang w:val="en-US" w:eastAsia="zh-CN"/>
        </w:rPr>
        <w:t>为规范</w:t>
      </w:r>
      <w:r>
        <w:rPr>
          <w:rFonts w:hint="default" w:ascii="仿宋_GB2312" w:hAnsi="宋体" w:eastAsia="仿宋_GB2312"/>
          <w:sz w:val="32"/>
          <w:szCs w:val="32"/>
          <w:lang w:eastAsia="zh-CN"/>
        </w:rPr>
        <w:t>化</w:t>
      </w:r>
      <w:r>
        <w:rPr>
          <w:rFonts w:hint="eastAsia" w:ascii="仿宋_GB2312" w:hAnsi="宋体" w:eastAsia="仿宋_GB2312"/>
          <w:sz w:val="32"/>
          <w:szCs w:val="32"/>
          <w:lang w:val="en-US" w:eastAsia="zh-CN"/>
        </w:rPr>
        <w:t>建设驻外流动党员党组织，充分发挥驻外流动党员党支部的战斗堡垒和流动党员的先锋模范作用，由县本级财政保障驻外流动党员党组织活动和运行经费，提高驻外流动党员党组织公共服务能力和社会管理水平，根据《关于加强和改进流动党员管理工作的意见》《关于加强基层服务型党组织建设的意见》等文件要求和相关管理规定，建立流动党员活动和运行经费管理机制，规范资金管理，提高资金使用绩效。</w:t>
      </w:r>
      <w:r>
        <w:rPr>
          <w:rFonts w:hint="eastAsia" w:ascii="仿宋_GB2312" w:hAnsi="仿宋_GB2312" w:eastAsia="仿宋_GB2312" w:cs="仿宋_GB2312"/>
          <w:b w:val="0"/>
          <w:bCs/>
          <w:sz w:val="32"/>
          <w:szCs w:val="32"/>
          <w:lang w:val="zh-CN"/>
        </w:rPr>
        <w:t>依据相关规定，设立</w:t>
      </w:r>
      <w:r>
        <w:rPr>
          <w:rFonts w:hint="eastAsia" w:ascii="仿宋_GB2312" w:hAnsi="仿宋_GB2312" w:eastAsia="仿宋_GB2312" w:cs="仿宋_GB2312"/>
          <w:b w:val="0"/>
          <w:bCs/>
          <w:sz w:val="32"/>
          <w:szCs w:val="32"/>
          <w:lang w:val="zh-CN" w:eastAsia="zh-CN"/>
        </w:rPr>
        <w:t>驻外流动党员党组织活动和运行经费</w:t>
      </w:r>
      <w:r>
        <w:rPr>
          <w:rFonts w:hint="eastAsia" w:ascii="仿宋_GB2312" w:hAnsi="仿宋_GB2312" w:eastAsia="仿宋_GB2312" w:cs="仿宋_GB2312"/>
          <w:b w:val="0"/>
          <w:bCs/>
          <w:sz w:val="32"/>
          <w:szCs w:val="32"/>
          <w:lang w:val="zh-CN"/>
        </w:rPr>
        <w:t>专项。</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2.立项依据：</w:t>
      </w:r>
      <w:r>
        <w:rPr>
          <w:rFonts w:hint="eastAsia" w:ascii="仿宋_GB2312" w:hAnsi="宋体" w:eastAsia="仿宋_GB2312"/>
          <w:sz w:val="32"/>
          <w:szCs w:val="32"/>
          <w:lang w:val="en-US" w:eastAsia="zh-CN"/>
        </w:rPr>
        <w:t>根据中共黑水县委办公室印发的《黑水县驻外流动党员党委工作运行规则（试行）》和《黑水县驻外流动党员党组织活动和运行经费管理制度》</w:t>
      </w:r>
      <w:r>
        <w:rPr>
          <w:rFonts w:hint="eastAsia" w:ascii="仿宋_GB2312" w:hAnsi="仿宋_GB2312" w:cs="仿宋_GB2312"/>
          <w:b w:val="0"/>
          <w:bCs/>
          <w:sz w:val="32"/>
          <w:szCs w:val="32"/>
          <w:lang w:val="zh-CN"/>
        </w:rPr>
        <w:t>，</w:t>
      </w:r>
      <w:r>
        <w:rPr>
          <w:rFonts w:hint="eastAsia" w:ascii="仿宋_GB2312" w:hAnsi="仿宋_GB2312" w:eastAsia="仿宋_GB2312" w:cs="仿宋_GB2312"/>
          <w:b w:val="0"/>
          <w:bCs/>
          <w:sz w:val="32"/>
          <w:szCs w:val="32"/>
          <w:lang w:val="zh-CN"/>
        </w:rPr>
        <w:t>经财政部门审核立项。</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3.主要内容：</w:t>
      </w:r>
      <w:r>
        <w:rPr>
          <w:rFonts w:hint="eastAsia" w:ascii="仿宋" w:hAnsi="仿宋" w:eastAsia="仿宋" w:cs="仿宋"/>
          <w:sz w:val="32"/>
          <w:szCs w:val="32"/>
          <w:lang w:val="en-US" w:eastAsia="zh-CN"/>
        </w:rPr>
        <w:t>黑水县驻外流动党员党委工作运行经费</w:t>
      </w:r>
      <w:r>
        <w:rPr>
          <w:rFonts w:hint="eastAsia" w:ascii="仿宋_GB2312" w:hAnsi="仿宋_GB2312" w:eastAsia="仿宋_GB2312" w:cs="仿宋_GB2312"/>
          <w:b w:val="0"/>
          <w:bCs/>
          <w:sz w:val="32"/>
          <w:szCs w:val="32"/>
          <w:lang w:val="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4.主管部门职能：</w:t>
      </w:r>
      <w:r>
        <w:rPr>
          <w:rFonts w:hint="eastAsia" w:ascii="仿宋_GB2312" w:hAnsi="宋体" w:eastAsia="仿宋_GB2312" w:cs="Times New Roman"/>
          <w:sz w:val="32"/>
          <w:szCs w:val="32"/>
          <w:lang w:val="en-US" w:eastAsia="zh-CN"/>
        </w:rPr>
        <w:t>县委社工部承担黑水县驻外流动党员党委工作运行经费预算、报账、支付等相关工作</w:t>
      </w:r>
      <w:r>
        <w:rPr>
          <w:rFonts w:hint="eastAsia" w:ascii="仿宋_GB2312" w:hAnsi="宋体" w:eastAsia="仿宋_GB2312" w:cs="Times New Roman"/>
          <w:sz w:val="32"/>
          <w:szCs w:val="32"/>
          <w:lang w:val="zh-CN" w:eastAsia="zh-CN"/>
        </w:rPr>
        <w:t>。</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1.资金管理办法：</w:t>
      </w:r>
      <w:r>
        <w:rPr>
          <w:rFonts w:hint="eastAsia" w:ascii="仿宋_GB2312" w:hAnsi="宋体" w:eastAsia="仿宋_GB2312" w:cs="Times New Roman"/>
          <w:sz w:val="32"/>
          <w:szCs w:val="32"/>
          <w:lang w:val="en-US" w:eastAsia="zh-CN"/>
        </w:rPr>
        <w:t>根据相关文件精神规定</w:t>
      </w:r>
      <w:r>
        <w:rPr>
          <w:rFonts w:hint="eastAsia" w:ascii="仿宋_GB2312" w:hAnsi="宋体" w:eastAsia="仿宋_GB2312" w:cs="Times New Roman"/>
          <w:sz w:val="32"/>
          <w:szCs w:val="32"/>
          <w:lang w:val="zh-CN" w:eastAsia="zh-CN"/>
        </w:rPr>
        <w:t>明确资金使用范围、绩效评价等要求，确保资金专款专用、合规透明。</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2.实施目的：</w:t>
      </w:r>
      <w:r>
        <w:rPr>
          <w:rFonts w:hint="eastAsia" w:ascii="仿宋_GB2312" w:hAnsi="宋体" w:eastAsia="仿宋_GB2312" w:cs="Times New Roman"/>
          <w:sz w:val="32"/>
          <w:szCs w:val="32"/>
          <w:lang w:val="en-US" w:eastAsia="zh-CN"/>
        </w:rPr>
        <w:t>保障驻外流动党员党组织活动和运行，提高驻外流动党员党组织公共服务能力和社会管理水平</w:t>
      </w:r>
      <w:r>
        <w:rPr>
          <w:rFonts w:hint="eastAsia" w:ascii="仿宋_GB2312" w:hAnsi="宋体" w:eastAsia="仿宋_GB2312" w:cs="Times New Roman"/>
          <w:sz w:val="32"/>
          <w:szCs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3.主要工作任务：</w:t>
      </w:r>
      <w:r>
        <w:rPr>
          <w:rFonts w:hint="eastAsia" w:ascii="仿宋_GB2312" w:hAnsi="宋体" w:eastAsia="仿宋_GB2312" w:cs="Times New Roman"/>
          <w:sz w:val="32"/>
          <w:szCs w:val="32"/>
          <w:lang w:val="en-US" w:eastAsia="zh-CN"/>
        </w:rPr>
        <w:t>主要用于驻外流动党员党组织开展基层组织活动、驻地标准化规范化建设及公共服务运行和办公运转的必要支出。</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4.支持方向：</w:t>
      </w:r>
      <w:bookmarkStart w:id="1" w:name="_GoBack"/>
      <w:bookmarkEnd w:id="1"/>
      <w:r>
        <w:rPr>
          <w:rFonts w:hint="eastAsia" w:ascii="仿宋_GB2312" w:hAnsi="宋体" w:eastAsia="仿宋_GB2312" w:cs="Times New Roman"/>
          <w:sz w:val="32"/>
          <w:szCs w:val="32"/>
          <w:lang w:val="en-US" w:eastAsia="zh-CN"/>
        </w:rPr>
        <w:t>一是驻外流动党员党组织活动。包括开展党内政治生活、党员干部教育培训、激励创先争优、走访慰问、政策法规宣传等。二是驻外流动党员党组织日常办公运转。包括必要的办公用品费、水电费、报刊征订费等维持党组织日常工作正常运转的必要支出。三是驻外流动党员党组织驻地标准化规范化建设。主要包括规范悬挂各项规章制度、有形化展示党内政治文化、民族团结进步、善和俭诚文明新风等元素。</w:t>
      </w:r>
    </w:p>
    <w:p>
      <w:pPr>
        <w:ind w:firstLine="642" w:firstLineChars="200"/>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ind w:firstLine="640" w:firstLineChars="200"/>
        <w:rPr>
          <w:rFonts w:hint="eastAsia" w:ascii="仿宋_GB2312" w:hAnsi="宋体" w:eastAsia="仿宋_GB2312" w:cs="Times New Roman"/>
          <w:sz w:val="32"/>
          <w:szCs w:val="32"/>
          <w:lang w:val="zh-CN" w:eastAsia="zh-CN"/>
        </w:rPr>
      </w:pPr>
      <w:r>
        <w:rPr>
          <w:rFonts w:hint="eastAsia" w:ascii="仿宋_GB2312" w:hAnsi="仿宋_GB2312" w:eastAsia="仿宋_GB2312" w:cs="仿宋_GB2312"/>
          <w:b w:val="0"/>
          <w:bCs w:val="0"/>
          <w:sz w:val="32"/>
          <w:szCs w:val="32"/>
        </w:rPr>
        <w:t>2</w:t>
      </w:r>
      <w:r>
        <w:rPr>
          <w:rFonts w:hint="eastAsia" w:ascii="仿宋_GB2312" w:hAnsi="宋体" w:eastAsia="仿宋_GB2312" w:cs="Times New Roman"/>
          <w:sz w:val="32"/>
          <w:szCs w:val="32"/>
          <w:lang w:val="zh-CN" w:eastAsia="zh-CN"/>
        </w:rPr>
        <w:t>025 年</w:t>
      </w:r>
      <w:r>
        <w:rPr>
          <w:rFonts w:hint="eastAsia" w:ascii="仿宋_GB2312" w:hAnsi="宋体" w:eastAsia="仿宋_GB2312" w:cs="Times New Roman"/>
          <w:sz w:val="32"/>
          <w:szCs w:val="32"/>
          <w:lang w:val="en-US" w:eastAsia="zh-CN"/>
        </w:rPr>
        <w:t>驻外流动党员党组织活动和运行经费</w:t>
      </w:r>
      <w:r>
        <w:rPr>
          <w:rFonts w:hint="eastAsia" w:ascii="仿宋_GB2312" w:hAnsi="宋体" w:eastAsia="仿宋_GB2312" w:cs="Times New Roman"/>
          <w:sz w:val="32"/>
          <w:szCs w:val="32"/>
          <w:lang w:val="zh-CN" w:eastAsia="zh-CN"/>
        </w:rPr>
        <w:t>预算总额</w:t>
      </w:r>
      <w:r>
        <w:rPr>
          <w:rFonts w:hint="eastAsia" w:ascii="仿宋_GB2312" w:hAnsi="宋体" w:eastAsia="仿宋_GB2312" w:cs="Times New Roman"/>
          <w:sz w:val="32"/>
          <w:szCs w:val="32"/>
          <w:lang w:val="en-US" w:eastAsia="zh-CN"/>
        </w:rPr>
        <w:t>1.5</w:t>
      </w:r>
      <w:r>
        <w:rPr>
          <w:rFonts w:hint="eastAsia" w:ascii="仿宋_GB2312" w:hAnsi="宋体" w:eastAsia="仿宋_GB2312" w:cs="Times New Roman"/>
          <w:sz w:val="32"/>
          <w:szCs w:val="32"/>
          <w:lang w:val="zh-CN" w:eastAsia="zh-CN"/>
        </w:rPr>
        <w:t>万元，全部为一般公共预算资金，无配套资金。</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1.整体目标：</w:t>
      </w:r>
      <w:r>
        <w:rPr>
          <w:rFonts w:hint="eastAsia" w:ascii="仿宋_GB2312" w:hAnsi="宋体" w:eastAsia="仿宋_GB2312" w:cs="Times New Roman"/>
          <w:sz w:val="32"/>
          <w:szCs w:val="32"/>
          <w:lang w:val="en-US" w:eastAsia="zh-CN"/>
        </w:rPr>
        <w:t>提高驻外流动党员党组织服务能力和管理水平。保障正常开展活动、公共服务运行和办公运转</w:t>
      </w:r>
      <w:r>
        <w:rPr>
          <w:rFonts w:hint="eastAsia" w:ascii="仿宋_GB2312" w:hAnsi="宋体" w:eastAsia="仿宋_GB2312" w:cs="Times New Roman"/>
          <w:sz w:val="32"/>
          <w:szCs w:val="32"/>
          <w:lang w:val="zh-CN" w:eastAsia="zh-CN"/>
        </w:rPr>
        <w:t>。</w:t>
      </w:r>
    </w:p>
    <w:p>
      <w:pPr>
        <w:ind w:firstLine="640" w:firstLineChars="200"/>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2</w:t>
      </w:r>
      <w:r>
        <w:rPr>
          <w:rFonts w:hint="eastAsia" w:ascii="仿宋_GB2312" w:hAnsi="宋体" w:eastAsia="仿宋_GB2312" w:cs="Times New Roman"/>
          <w:sz w:val="32"/>
          <w:szCs w:val="32"/>
          <w:lang w:val="zh-CN" w:eastAsia="zh-CN"/>
        </w:rPr>
        <w:t>.自评开展情况：成立由</w:t>
      </w:r>
      <w:r>
        <w:rPr>
          <w:rFonts w:hint="eastAsia" w:ascii="仿宋_GB2312" w:hAnsi="宋体" w:eastAsia="仿宋_GB2312" w:cs="Times New Roman"/>
          <w:sz w:val="32"/>
          <w:szCs w:val="32"/>
          <w:lang w:val="en-US" w:eastAsia="zh-CN"/>
        </w:rPr>
        <w:t>我部</w:t>
      </w:r>
      <w:r>
        <w:rPr>
          <w:rFonts w:hint="eastAsia" w:ascii="仿宋_GB2312" w:hAnsi="宋体" w:eastAsia="仿宋_GB2312" w:cs="Times New Roman"/>
          <w:sz w:val="32"/>
          <w:szCs w:val="32"/>
          <w:lang w:val="zh-CN" w:eastAsia="zh-CN"/>
        </w:rPr>
        <w:t>组成的自评小组，采用 “资料核查 + 实地查验 ”方式，全面开展绩效自评工作。</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ind w:firstLine="640" w:firstLineChars="200"/>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全面评估</w:t>
      </w:r>
      <w:r>
        <w:rPr>
          <w:rFonts w:hint="eastAsia" w:ascii="仿宋_GB2312" w:hAnsi="宋体" w:eastAsia="仿宋_GB2312" w:cs="Times New Roman"/>
          <w:sz w:val="32"/>
          <w:szCs w:val="32"/>
          <w:lang w:val="en-US" w:eastAsia="zh-CN"/>
        </w:rPr>
        <w:t>驻外流动党员党组织活动和运行经费</w:t>
      </w:r>
      <w:r>
        <w:rPr>
          <w:rFonts w:hint="eastAsia" w:ascii="仿宋_GB2312" w:hAnsi="宋体" w:eastAsia="仿宋_GB2312" w:cs="Times New Roman"/>
          <w:sz w:val="32"/>
          <w:szCs w:val="32"/>
          <w:lang w:val="zh-CN" w:eastAsia="zh-CN"/>
        </w:rPr>
        <w:t>使用的合规性、效率性和有效性，总结采购项目实施成效，发现预算编制、</w:t>
      </w:r>
      <w:r>
        <w:rPr>
          <w:rFonts w:hint="eastAsia" w:ascii="仿宋_GB2312" w:hAnsi="宋体" w:eastAsia="仿宋_GB2312" w:cs="Times New Roman"/>
          <w:sz w:val="32"/>
          <w:szCs w:val="32"/>
          <w:lang w:val="en-US" w:eastAsia="zh-CN"/>
        </w:rPr>
        <w:t>经费报销、支付</w:t>
      </w:r>
      <w:r>
        <w:rPr>
          <w:rFonts w:hint="eastAsia" w:ascii="仿宋_GB2312" w:hAnsi="宋体" w:eastAsia="仿宋_GB2312" w:cs="Times New Roman"/>
          <w:sz w:val="32"/>
          <w:szCs w:val="32"/>
          <w:lang w:val="zh-CN" w:eastAsia="zh-CN"/>
        </w:rPr>
        <w:t>等环节存在的问题，为 2026 年预算优化完善及</w:t>
      </w:r>
      <w:r>
        <w:rPr>
          <w:rFonts w:hint="eastAsia" w:ascii="仿宋_GB2312" w:hAnsi="宋体" w:eastAsia="仿宋_GB2312" w:cs="Times New Roman"/>
          <w:sz w:val="32"/>
          <w:szCs w:val="32"/>
          <w:lang w:val="en-US" w:eastAsia="zh-CN"/>
        </w:rPr>
        <w:t>党组织管理</w:t>
      </w:r>
      <w:r>
        <w:rPr>
          <w:rFonts w:hint="eastAsia" w:ascii="仿宋_GB2312" w:hAnsi="宋体" w:eastAsia="仿宋_GB2312" w:cs="Times New Roman"/>
          <w:sz w:val="32"/>
          <w:szCs w:val="32"/>
          <w:lang w:val="zh-CN" w:eastAsia="zh-CN"/>
        </w:rPr>
        <w:t>提质提供依据。</w:t>
      </w:r>
    </w:p>
    <w:p>
      <w:pPr>
        <w:keepNext w:val="0"/>
        <w:keepLines w:val="0"/>
        <w:pageBreakBefore w:val="0"/>
        <w:widowControl w:val="0"/>
        <w:numPr>
          <w:ilvl w:val="0"/>
          <w:numId w:val="1"/>
        </w:numPr>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预设问题及评价重点。</w:t>
      </w:r>
    </w:p>
    <w:p>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1.预设问题：预算编制是否科学合理、</w:t>
      </w:r>
      <w:r>
        <w:rPr>
          <w:rFonts w:hint="eastAsia" w:ascii="仿宋_GB2312" w:hAnsi="宋体" w:eastAsia="仿宋_GB2312" w:cs="Times New Roman"/>
          <w:sz w:val="32"/>
          <w:szCs w:val="32"/>
          <w:lang w:val="en-US" w:eastAsia="zh-CN"/>
        </w:rPr>
        <w:t>报账、支付</w:t>
      </w:r>
      <w:r>
        <w:rPr>
          <w:rFonts w:hint="eastAsia" w:ascii="仿宋_GB2312" w:hAnsi="宋体" w:eastAsia="仿宋_GB2312" w:cs="Times New Roman"/>
          <w:sz w:val="32"/>
          <w:szCs w:val="32"/>
          <w:lang w:val="zh-CN" w:eastAsia="zh-CN"/>
        </w:rPr>
        <w:t>流程是否合规规范、资金使用是否高效节约、</w:t>
      </w:r>
      <w:r>
        <w:rPr>
          <w:rFonts w:hint="eastAsia" w:ascii="仿宋_GB2312" w:hAnsi="宋体" w:eastAsia="仿宋_GB2312" w:cs="Times New Roman"/>
          <w:sz w:val="32"/>
          <w:szCs w:val="32"/>
          <w:lang w:val="en-US" w:eastAsia="zh-CN"/>
        </w:rPr>
        <w:t>党组织运行</w:t>
      </w:r>
      <w:r>
        <w:rPr>
          <w:rFonts w:hint="eastAsia" w:ascii="仿宋_GB2312" w:hAnsi="宋体" w:eastAsia="仿宋_GB2312" w:cs="Times New Roman"/>
          <w:sz w:val="32"/>
          <w:szCs w:val="32"/>
          <w:lang w:val="zh-CN" w:eastAsia="zh-CN"/>
        </w:rPr>
        <w:t>管理是否到位。</w:t>
      </w:r>
    </w:p>
    <w:p>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2.评价重点：围绕绩效评价指标体系，聚焦经费支出全过程（预算执行、</w:t>
      </w:r>
      <w:r>
        <w:rPr>
          <w:rFonts w:hint="eastAsia" w:ascii="仿宋_GB2312" w:hAnsi="宋体" w:eastAsia="仿宋_GB2312" w:cs="Times New Roman"/>
          <w:sz w:val="32"/>
          <w:szCs w:val="32"/>
          <w:lang w:val="en-US" w:eastAsia="zh-CN"/>
        </w:rPr>
        <w:t>报账、支付</w:t>
      </w:r>
      <w:r>
        <w:rPr>
          <w:rFonts w:hint="eastAsia" w:ascii="仿宋_GB2312" w:hAnsi="宋体" w:eastAsia="仿宋_GB2312" w:cs="Times New Roman"/>
          <w:sz w:val="32"/>
          <w:szCs w:val="32"/>
          <w:lang w:val="zh-CN" w:eastAsia="zh-CN"/>
        </w:rPr>
        <w:t>）及实施效果（</w:t>
      </w:r>
      <w:r>
        <w:rPr>
          <w:rFonts w:hint="eastAsia" w:ascii="仿宋_GB2312" w:hAnsi="宋体" w:eastAsia="仿宋_GB2312" w:cs="Times New Roman"/>
          <w:sz w:val="32"/>
          <w:szCs w:val="32"/>
          <w:lang w:val="en-US" w:eastAsia="zh-CN"/>
        </w:rPr>
        <w:t>党组织运行</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管理</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服务效果</w:t>
      </w:r>
      <w:r>
        <w:rPr>
          <w:rFonts w:hint="eastAsia" w:ascii="仿宋_GB2312" w:hAnsi="宋体" w:eastAsia="仿宋_GB2312" w:cs="Times New Roman"/>
          <w:sz w:val="32"/>
          <w:szCs w:val="32"/>
          <w:lang w:val="zh-CN" w:eastAsia="zh-CN"/>
        </w:rPr>
        <w:t>、满意度）开展综合评价。</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textAlignment w:val="auto"/>
        <w:outlineLvl w:val="9"/>
        <w:rPr>
          <w:rFonts w:hint="default" w:ascii="仿宋_GB2312" w:hAnsi="仿宋_GB2312" w:eastAsia="仿宋_GB2312" w:cs="仿宋_GB2312"/>
          <w:b w:val="0"/>
          <w:bCs/>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ascii="仿宋_GB2312" w:hAnsi="仿宋_GB2312" w:eastAsia="仿宋_GB2312" w:cs="仿宋_GB2312"/>
          <w:b w:val="0"/>
          <w:bCs/>
          <w:color w:val="auto"/>
          <w:sz w:val="32"/>
          <w:szCs w:val="32"/>
          <w:highlight w:val="none"/>
          <w:u w:val="none"/>
          <w:lang w:val="en-US" w:eastAsia="zh-CN"/>
        </w:rPr>
        <w:t>本单位</w:t>
      </w:r>
    </w:p>
    <w:p>
      <w:pPr>
        <w:ind w:firstLine="642"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采用多种方法综合评价：</w:t>
      </w:r>
    </w:p>
    <w:p>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1.案卷研究法：核查项目立项文件、预算批复、资金拨付凭证等资料；</w:t>
      </w:r>
    </w:p>
    <w:p>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2.实地查验法：走访抽样点位，查看</w:t>
      </w:r>
      <w:r>
        <w:rPr>
          <w:rFonts w:hint="eastAsia" w:ascii="仿宋_GB2312" w:hAnsi="宋体" w:eastAsia="仿宋_GB2312" w:cs="Times New Roman"/>
          <w:sz w:val="32"/>
          <w:szCs w:val="32"/>
          <w:lang w:val="en-US" w:eastAsia="zh-CN"/>
        </w:rPr>
        <w:t>党组织运行、管理情况，阵地建设情况等</w:t>
      </w:r>
      <w:r>
        <w:rPr>
          <w:rFonts w:hint="eastAsia" w:ascii="仿宋_GB2312" w:hAnsi="宋体" w:eastAsia="仿宋_GB2312" w:cs="Times New Roman"/>
          <w:sz w:val="32"/>
          <w:szCs w:val="32"/>
          <w:lang w:val="zh-CN" w:eastAsia="zh-CN"/>
        </w:rPr>
        <w:t>；</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zh-CN" w:eastAsia="zh-CN"/>
        </w:rPr>
      </w:pPr>
      <w:r>
        <w:rPr>
          <w:rFonts w:hint="default" w:ascii="Times New Roman" w:hAnsi="Times New Roman" w:eastAsia="楷体_GB2312" w:cs="Times New Roman"/>
          <w:b/>
          <w:color w:val="auto"/>
          <w:sz w:val="32"/>
          <w:szCs w:val="32"/>
          <w:highlight w:val="none"/>
          <w:u w:val="none"/>
          <w:lang w:val="zh-CN"/>
        </w:rPr>
        <w:t>（五）评价组织。</w:t>
      </w:r>
      <w:r>
        <w:rPr>
          <w:rFonts w:hint="eastAsia" w:ascii="仿宋_GB2312" w:hAnsi="宋体" w:eastAsia="仿宋_GB2312" w:cs="Times New Roman"/>
          <w:sz w:val="32"/>
          <w:szCs w:val="32"/>
          <w:lang w:val="zh-CN" w:eastAsia="zh-CN"/>
        </w:rPr>
        <w:t>评价组人员由相关业务股室和项目单位代表组成，评价小组以检查账目、资料、电话核实等形式开展了现场评价。</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项目决策。指标分值</w:t>
      </w:r>
      <w:r>
        <w:rPr>
          <w:rFonts w:hint="eastAsia" w:ascii="仿宋_GB2312" w:hAnsi="仿宋_GB2312" w:eastAsia="仿宋_GB2312" w:cs="仿宋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eastAsia" w:ascii="仿宋_GB2312" w:hAnsi="宋体" w:eastAsia="仿宋_GB2312" w:cs="Times New Roman"/>
          <w:sz w:val="32"/>
          <w:szCs w:val="32"/>
          <w:lang w:val="zh-CN" w:eastAsia="zh-CN"/>
        </w:rPr>
        <w:t>决策程序：项目设立、调整延续等方面符合资金管理基本规范和决策程序要求。指标分值</w:t>
      </w:r>
      <w:r>
        <w:rPr>
          <w:rFonts w:hint="eastAsia" w:ascii="仿宋_GB2312" w:hAnsi="宋体" w:eastAsia="仿宋_GB2312" w:cs="Times New Roman"/>
          <w:sz w:val="32"/>
          <w:szCs w:val="32"/>
          <w:lang w:val="en-US" w:eastAsia="zh-CN"/>
        </w:rPr>
        <w:t>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zh-CN" w:eastAsia="zh-CN"/>
        </w:rPr>
        <w:t>规划论证：项目规划论证符合</w:t>
      </w:r>
      <w:r>
        <w:rPr>
          <w:rFonts w:hint="default" w:ascii="仿宋_GB2312" w:hAnsi="宋体" w:eastAsia="仿宋_GB2312" w:cs="Times New Roman"/>
          <w:sz w:val="32"/>
          <w:szCs w:val="32"/>
          <w:lang w:eastAsia="zh-CN"/>
        </w:rPr>
        <w:t>中央、省委</w:t>
      </w:r>
      <w:r>
        <w:rPr>
          <w:rFonts w:hint="eastAsia" w:ascii="仿宋_GB2312" w:hAnsi="宋体" w:eastAsia="仿宋_GB2312" w:cs="Times New Roman"/>
          <w:sz w:val="32"/>
          <w:szCs w:val="32"/>
          <w:lang w:val="zh-CN" w:eastAsia="zh-CN"/>
        </w:rPr>
        <w:t>要求，项目绩效目标设置科学合理，项目资金与项目总体规划、相关行业事业发展相匹配，聚焦重大任务、重点领域、重点环节和重点项目。指标分值</w:t>
      </w:r>
      <w:r>
        <w:rPr>
          <w:rFonts w:hint="eastAsia" w:ascii="仿宋_GB2312" w:hAnsi="宋体" w:eastAsia="仿宋_GB2312" w:cs="Times New Roman"/>
          <w:sz w:val="32"/>
          <w:szCs w:val="32"/>
          <w:lang w:val="en-US" w:eastAsia="zh-CN"/>
        </w:rPr>
        <w:t>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zh-CN" w:eastAsia="zh-CN"/>
        </w:rPr>
        <w:t>资金投向：项目资金是与项目总体规划、相关行业事业发展相匹配，聚焦重大任务、重点领域、重点环节和重点项目。体现“</w:t>
      </w:r>
      <w:r>
        <w:rPr>
          <w:rFonts w:hint="default" w:ascii="仿宋_GB2312" w:hAnsi="宋体" w:eastAsia="仿宋_GB2312" w:cs="Times New Roman"/>
          <w:sz w:val="32"/>
          <w:szCs w:val="32"/>
          <w:lang w:eastAsia="zh-CN"/>
        </w:rPr>
        <w:t>集中力量办大事</w:t>
      </w:r>
      <w:r>
        <w:rPr>
          <w:rFonts w:hint="eastAsia" w:ascii="仿宋_GB2312" w:hAnsi="宋体" w:eastAsia="仿宋_GB2312" w:cs="Times New Roman"/>
          <w:sz w:val="32"/>
          <w:szCs w:val="32"/>
          <w:lang w:val="zh-CN" w:eastAsia="zh-CN"/>
        </w:rPr>
        <w:t>”原则，避免“撒胡椒面”。指标分值</w:t>
      </w:r>
      <w:r>
        <w:rPr>
          <w:rFonts w:hint="eastAsia" w:ascii="仿宋_GB2312" w:hAnsi="宋体" w:eastAsia="仿宋_GB2312" w:cs="Times New Roman"/>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color w:val="auto"/>
          <w:sz w:val="32"/>
          <w:szCs w:val="32"/>
          <w:lang w:eastAsia="zh-CN"/>
        </w:rPr>
      </w:pPr>
      <w:r>
        <w:rPr>
          <w:rFonts w:hint="eastAsia" w:ascii="楷体_GB2312" w:hAnsi="楷体_GB2312" w:eastAsia="楷体_GB2312" w:cs="楷体_GB2312"/>
          <w:b/>
          <w:bCs/>
          <w:color w:val="auto"/>
          <w:sz w:val="32"/>
          <w:szCs w:val="32"/>
          <w:lang w:val="en-US" w:eastAsia="zh-CN"/>
        </w:rPr>
        <w:t>2.</w:t>
      </w:r>
      <w:r>
        <w:rPr>
          <w:rFonts w:hint="default" w:ascii="楷体_GB2312" w:hAnsi="楷体_GB2312" w:eastAsia="楷体_GB2312" w:cs="楷体_GB2312"/>
          <w:b/>
          <w:bCs/>
          <w:color w:val="auto"/>
          <w:sz w:val="32"/>
          <w:szCs w:val="32"/>
          <w:lang w:eastAsia="zh-CN"/>
        </w:rPr>
        <w:t>项目管理。</w:t>
      </w:r>
      <w:r>
        <w:rPr>
          <w:rFonts w:hint="eastAsia" w:ascii="楷体_GB2312" w:hAnsi="楷体_GB2312" w:eastAsia="楷体_GB2312" w:cs="楷体_GB2312"/>
          <w:b/>
          <w:bCs/>
          <w:color w:val="auto"/>
          <w:sz w:val="32"/>
          <w:szCs w:val="32"/>
          <w:lang w:eastAsia="zh-CN"/>
        </w:rPr>
        <w:t>指标分值</w:t>
      </w:r>
      <w:r>
        <w:rPr>
          <w:rFonts w:hint="eastAsia" w:ascii="楷体_GB2312" w:hAnsi="楷体_GB2312" w:eastAsia="楷体_GB2312" w:cs="楷体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制度办法：项目制度办法体系健全、要素完备。资金管理办法等管理制度体系健全完善，不存在管理制度缺失、管理办法过期情况。</w:t>
      </w:r>
      <w:r>
        <w:rPr>
          <w:rFonts w:hint="eastAsia" w:ascii="仿宋_GB2312" w:hAnsi="宋体" w:eastAsia="仿宋_GB2312" w:cs="Times New Roman"/>
          <w:sz w:val="32"/>
          <w:szCs w:val="32"/>
          <w:lang w:val="zh-CN" w:eastAsia="zh-CN"/>
        </w:rPr>
        <w:t>指标分值</w:t>
      </w:r>
      <w:r>
        <w:rPr>
          <w:rFonts w:hint="eastAsia" w:ascii="仿宋_GB2312" w:hAnsi="宋体" w:eastAsia="仿宋_GB2312" w:cs="Times New Roman"/>
          <w:sz w:val="32"/>
          <w:szCs w:val="32"/>
          <w:lang w:val="en-US" w:eastAsia="zh-CN"/>
        </w:rPr>
        <w:t>2分，自评得分2分。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仿宋_GB2312" w:hAnsi="宋体" w:eastAsia="仿宋_GB2312" w:cs="Times New Roman"/>
          <w:sz w:val="32"/>
          <w:szCs w:val="32"/>
          <w:lang w:val="zh-CN" w:eastAsia="zh-CN"/>
        </w:rPr>
        <w:t>指标分值</w:t>
      </w:r>
      <w:r>
        <w:rPr>
          <w:rFonts w:hint="eastAsia" w:ascii="仿宋_GB2312" w:hAnsi="宋体" w:eastAsia="仿宋_GB2312" w:cs="Times New Roman"/>
          <w:sz w:val="32"/>
          <w:szCs w:val="32"/>
          <w:lang w:val="en-US" w:eastAsia="zh-CN"/>
        </w:rPr>
        <w:t>10分，自评得分10分。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绩效监管</w:t>
      </w:r>
      <w:r>
        <w:rPr>
          <w:rFonts w:hint="eastAsia" w:ascii="仿宋_GB2312" w:hAnsi="宋体" w:eastAsia="仿宋_GB2312" w:cs="Times New Roman"/>
          <w:sz w:val="32"/>
          <w:szCs w:val="32"/>
          <w:lang w:val="en-US" w:eastAsia="zh-CN"/>
        </w:rPr>
        <w:t>: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单位将绩效理念融入预算编制、执行、监督全过程，抓好项目效益是否提升的“落脚点”，发挥绩效评价导向作用，通过奖优惩劣，确保被评价单位把每一笔钱都用在刀刃上、紧要处，力求项目效益提升。</w:t>
      </w:r>
      <w:r>
        <w:rPr>
          <w:rFonts w:hint="eastAsia" w:ascii="仿宋_GB2312" w:hAnsi="宋体" w:eastAsia="仿宋_GB2312" w:cs="Times New Roman"/>
          <w:sz w:val="32"/>
          <w:szCs w:val="32"/>
          <w:lang w:val="zh-CN" w:eastAsia="zh-CN"/>
        </w:rPr>
        <w:t>指标分值</w:t>
      </w:r>
      <w:r>
        <w:rPr>
          <w:rFonts w:hint="eastAsia" w:ascii="仿宋_GB2312" w:hAnsi="宋体" w:eastAsia="仿宋_GB2312" w:cs="Times New Roman"/>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3.项目实施。指标分值9分，自评得分9分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预算执行:项目预算资金1.5万元，支付1.47万元。指标分值6分，自评得分5分。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default" w:ascii="仿宋_GB2312" w:hAnsi="宋体" w:eastAsia="仿宋_GB2312" w:cs="Times New Roman"/>
          <w:sz w:val="32"/>
          <w:szCs w:val="32"/>
          <w:lang w:val="en-US" w:eastAsia="zh-CN"/>
        </w:rPr>
        <w:t>资金使用</w:t>
      </w:r>
      <w:r>
        <w:rPr>
          <w:rFonts w:hint="eastAsia" w:ascii="仿宋_GB2312" w:hAnsi="宋体" w:eastAsia="仿宋_GB2312" w:cs="Times New Roman"/>
          <w:sz w:val="32"/>
          <w:szCs w:val="32"/>
          <w:lang w:val="en-US" w:eastAsia="zh-CN"/>
        </w:rPr>
        <w:t>:项目资金使用、拨付符合国家财经法规、财务管理制度及有关专项资金管理制度办法规定和审批程序，不存在超范围、超标准、超进度使用专项资金，不存在资金损失浪费、长期沉淀、截留、挤占、挪用、虚列支出等情况。指标分值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项目结果。指标分值9分，自评得分9分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w:t>
      </w:r>
      <w:r>
        <w:rPr>
          <w:rFonts w:hint="default" w:ascii="仿宋_GB2312" w:hAnsi="宋体" w:eastAsia="仿宋_GB2312" w:cs="Times New Roman"/>
          <w:sz w:val="32"/>
          <w:szCs w:val="32"/>
          <w:lang w:eastAsia="zh-CN"/>
        </w:rPr>
        <w:t>截止到</w:t>
      </w:r>
      <w:r>
        <w:rPr>
          <w:rFonts w:hint="eastAsia" w:ascii="仿宋_GB2312" w:hAnsi="宋体" w:eastAsia="仿宋_GB2312" w:cs="Times New Roman"/>
          <w:sz w:val="32"/>
          <w:szCs w:val="32"/>
          <w:lang w:val="en-US" w:eastAsia="zh-CN"/>
        </w:rPr>
        <w:t>2025年底完成项目资金拨付。指标分值6分，自评得分6分。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完成时效：资金项目按照目标任务已于2025年底完成。指标分值3分，自评得分3分。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color w:val="auto"/>
          <w:sz w:val="32"/>
          <w:szCs w:val="32"/>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1.</w:t>
      </w:r>
      <w:r>
        <w:rPr>
          <w:rFonts w:hint="default" w:ascii="仿宋_GB2312" w:hAnsi="宋体" w:eastAsia="仿宋_GB2312" w:cs="Times New Roman"/>
          <w:sz w:val="32"/>
          <w:szCs w:val="32"/>
          <w:lang w:val="zh-CN" w:eastAsia="zh-CN"/>
        </w:rPr>
        <w:t>用途合规性</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经费用于流动党员党委开展活动、阵地建设、流动党员走访慰问等</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完全符合《黑水县驻外流动党员党委工作运行规则（试行）》和《黑水县驻外流动党员党组织活动和运行经费管理制度》，</w:t>
      </w:r>
      <w:r>
        <w:rPr>
          <w:rFonts w:hint="eastAsia" w:ascii="仿宋_GB2312" w:hAnsi="宋体" w:eastAsia="仿宋_GB2312" w:cs="Times New Roman"/>
          <w:sz w:val="32"/>
          <w:szCs w:val="32"/>
          <w:lang w:val="zh-CN" w:eastAsia="zh-CN"/>
        </w:rPr>
        <w:t>用途管控规范到位。</w:t>
      </w:r>
      <w:r>
        <w:rPr>
          <w:rFonts w:hint="eastAsia" w:ascii="仿宋_GB2312" w:hAnsi="宋体" w:eastAsia="仿宋_GB2312" w:cs="Times New Roman"/>
          <w:sz w:val="32"/>
          <w:szCs w:val="32"/>
          <w:lang w:val="en-US" w:eastAsia="zh-CN"/>
        </w:rPr>
        <w:t>指标分值10分，自评得分10分。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2.</w:t>
      </w:r>
      <w:r>
        <w:rPr>
          <w:rFonts w:hint="default" w:ascii="仿宋_GB2312" w:hAnsi="宋体" w:eastAsia="仿宋_GB2312" w:cs="Times New Roman"/>
          <w:sz w:val="32"/>
          <w:szCs w:val="32"/>
          <w:lang w:val="zh-CN" w:eastAsia="zh-CN"/>
        </w:rPr>
        <w:t>程序合规性</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驻外流动党员党组织活动和运行经费支出时由黑水县外出务工人员服务管理流动党员党委（县委社工部）对相关资料进行终审，据实报账</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指标分值10分，自评得分10分。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3.</w:t>
      </w:r>
      <w:r>
        <w:rPr>
          <w:rFonts w:hint="default" w:ascii="仿宋_GB2312" w:hAnsi="宋体" w:eastAsia="仿宋_GB2312" w:cs="Times New Roman"/>
          <w:sz w:val="32"/>
          <w:szCs w:val="32"/>
          <w:lang w:val="zh-CN" w:eastAsia="zh-CN"/>
        </w:rPr>
        <w:t>标准合规性</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流动党员党委据实开展基层党组织活动、党员教育等党内政治生活，支出必要的办公用品费、水电费、报刊征订费等维持党组织日常工作正常运转的必要支出。报账有票据，确保资金用到实处</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指标分值10分，自评得分10分。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1</w:t>
      </w:r>
      <w:r>
        <w:rPr>
          <w:rFonts w:hint="default" w:ascii="仿宋_GB2312" w:hAnsi="宋体" w:eastAsia="仿宋_GB2312" w:cs="Times New Roman"/>
          <w:sz w:val="32"/>
          <w:szCs w:val="32"/>
          <w:lang w:val="en-US" w:eastAsia="zh-CN"/>
        </w:rPr>
        <w:t>、使用效率指标</w:t>
      </w:r>
      <w:r>
        <w:rPr>
          <w:rFonts w:hint="eastAsia" w:ascii="仿宋_GB2312" w:hAnsi="宋体" w:eastAsia="仿宋_GB2312" w:cs="Times New Roman"/>
          <w:sz w:val="32"/>
          <w:szCs w:val="32"/>
          <w:lang w:val="en-US" w:eastAsia="zh-CN"/>
        </w:rPr>
        <w:t>：保障驻外流动党员党组织活动政策开展、驻外流动党员党组织日常办公运转。包括必要的办公用品费、水电费、报刊征订费等维持党组织日常工作正常运转。指标分值10分，自评得分10分。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2</w:t>
      </w:r>
      <w:r>
        <w:rPr>
          <w:rFonts w:hint="default" w:ascii="仿宋_GB2312" w:hAnsi="宋体" w:eastAsia="仿宋_GB2312" w:cs="Times New Roman"/>
          <w:sz w:val="32"/>
          <w:szCs w:val="32"/>
          <w:lang w:val="en-US" w:eastAsia="zh-CN"/>
        </w:rPr>
        <w:t>、运维适配指标</w:t>
      </w:r>
      <w:r>
        <w:rPr>
          <w:rFonts w:hint="eastAsia" w:ascii="仿宋_GB2312" w:hAnsi="宋体" w:eastAsia="仿宋_GB2312" w:cs="Times New Roman"/>
          <w:sz w:val="32"/>
          <w:szCs w:val="32"/>
          <w:lang w:val="en-US" w:eastAsia="zh-CN"/>
        </w:rPr>
        <w:t>：严格控制预算金额，保障驻外流动党员党委及驻外流动党员党支部党组织活动、党组织标准化规范化建设、日常办公运转。指标分值6分，自评得分6分。</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default" w:ascii="仿宋_GB2312" w:hAnsi="宋体" w:eastAsia="仿宋_GB2312" w:cs="Times New Roman"/>
          <w:sz w:val="32"/>
          <w:szCs w:val="32"/>
          <w:lang w:val="en-US" w:eastAsia="zh-CN"/>
        </w:rPr>
        <w:t>本次专项预算绩效自评总得分为</w:t>
      </w:r>
      <w:r>
        <w:rPr>
          <w:rFonts w:hint="eastAsia" w:ascii="仿宋_GB2312" w:hAnsi="宋体" w:eastAsia="仿宋_GB2312" w:cs="Times New Roman"/>
          <w:sz w:val="32"/>
          <w:szCs w:val="32"/>
          <w:lang w:val="en-US" w:eastAsia="zh-CN"/>
        </w:rPr>
        <w:t>99</w:t>
      </w:r>
      <w:r>
        <w:rPr>
          <w:rFonts w:hint="default" w:ascii="仿宋_GB2312" w:hAnsi="宋体" w:eastAsia="仿宋_GB2312" w:cs="Times New Roman"/>
          <w:sz w:val="32"/>
          <w:szCs w:val="32"/>
          <w:lang w:val="en-US" w:eastAsia="zh-CN"/>
        </w:rPr>
        <w:t xml:space="preserve">分。项目整体实施情况良好，专项经费使用合规高效，预算执行率达 </w:t>
      </w:r>
      <w:r>
        <w:rPr>
          <w:rFonts w:hint="eastAsia" w:ascii="仿宋_GB2312" w:hAnsi="宋体" w:eastAsia="仿宋_GB2312" w:cs="Times New Roman"/>
          <w:sz w:val="32"/>
          <w:szCs w:val="32"/>
          <w:lang w:val="en-US" w:eastAsia="zh-CN"/>
        </w:rPr>
        <w:t>100</w:t>
      </w:r>
      <w:r>
        <w:rPr>
          <w:rFonts w:hint="default" w:ascii="仿宋_GB2312" w:hAnsi="宋体" w:eastAsia="仿宋_GB2312" w:cs="Times New Roman"/>
          <w:sz w:val="32"/>
          <w:szCs w:val="32"/>
          <w:lang w:val="en-US" w:eastAsia="zh-CN"/>
        </w:rPr>
        <w:t>%</w:t>
      </w:r>
      <w:r>
        <w:rPr>
          <w:rFonts w:hint="eastAsia" w:ascii="仿宋_GB2312" w:hAnsi="宋体" w:eastAsia="仿宋_GB2312" w:cs="Times New Roman"/>
          <w:sz w:val="32"/>
          <w:szCs w:val="32"/>
          <w:lang w:val="en-US" w:eastAsia="zh-CN"/>
        </w:rPr>
        <w:t>。提升驻外流动党员党委工作效率、营造良好工作环境，保障支部持续高效运转。</w:t>
      </w:r>
      <w:r>
        <w:rPr>
          <w:rFonts w:hint="default" w:ascii="仿宋_GB2312" w:hAnsi="宋体" w:eastAsia="仿宋_GB2312" w:cs="Times New Roman"/>
          <w:sz w:val="32"/>
          <w:szCs w:val="32"/>
          <w:lang w:val="en-US" w:eastAsia="zh-CN"/>
        </w:rPr>
        <w:t>基本实现预期绩效目标。</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default" w:ascii="仿宋_GB2312" w:hAnsi="宋体" w:eastAsia="仿宋_GB2312" w:cs="Times New Roman"/>
          <w:sz w:val="32"/>
          <w:szCs w:val="32"/>
          <w:lang w:val="en-US" w:eastAsia="zh-CN"/>
        </w:rPr>
        <w:t>预算编制未充分考虑</w:t>
      </w:r>
      <w:r>
        <w:rPr>
          <w:rFonts w:hint="eastAsia" w:ascii="仿宋_GB2312" w:hAnsi="宋体" w:eastAsia="仿宋_GB2312" w:cs="Times New Roman"/>
          <w:sz w:val="32"/>
          <w:szCs w:val="32"/>
          <w:lang w:val="en-US" w:eastAsia="zh-CN"/>
        </w:rPr>
        <w:t>部门</w:t>
      </w:r>
      <w:r>
        <w:rPr>
          <w:rFonts w:hint="default" w:ascii="仿宋_GB2312" w:hAnsi="宋体" w:eastAsia="仿宋_GB2312" w:cs="Times New Roman"/>
          <w:sz w:val="32"/>
          <w:szCs w:val="32"/>
          <w:lang w:val="en-US" w:eastAsia="zh-CN"/>
        </w:rPr>
        <w:t>调整，对</w:t>
      </w:r>
      <w:r>
        <w:rPr>
          <w:rFonts w:hint="eastAsia" w:ascii="仿宋_GB2312" w:hAnsi="宋体" w:eastAsia="仿宋_GB2312" w:cs="Times New Roman"/>
          <w:sz w:val="32"/>
          <w:szCs w:val="32"/>
          <w:lang w:val="en-US" w:eastAsia="zh-CN"/>
        </w:rPr>
        <w:t>流动党员党委管理权限预测不到位</w:t>
      </w:r>
      <w:r>
        <w:rPr>
          <w:rFonts w:hint="default" w:ascii="仿宋_GB2312" w:hAnsi="宋体" w:eastAsia="仿宋_GB2312" w:cs="Times New Roman"/>
          <w:sz w:val="32"/>
          <w:szCs w:val="32"/>
          <w:lang w:val="en-US" w:eastAsia="zh-CN"/>
        </w:rPr>
        <w:t>，影响资金使用精准度</w:t>
      </w:r>
      <w:r>
        <w:rPr>
          <w:rFonts w:hint="eastAsia" w:ascii="仿宋_GB2312" w:hAnsi="宋体" w:eastAsia="仿宋_GB2312" w:cs="Times New Roman"/>
          <w:sz w:val="32"/>
          <w:szCs w:val="32"/>
          <w:lang w:val="en-US" w:eastAsia="zh-CN"/>
        </w:rPr>
        <w:t>。</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jc w:val="left"/>
        <w:rPr>
          <w:rFonts w:hint="default" w:ascii="仿宋_GB2312" w:hAnsi="宋体" w:eastAsia="仿宋_GB2312" w:cs="Times New Roman"/>
          <w:sz w:val="32"/>
          <w:szCs w:val="32"/>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default" w:ascii="仿宋_GB2312" w:hAnsi="宋体" w:eastAsia="仿宋_GB2312" w:cs="Times New Roman"/>
          <w:sz w:val="32"/>
          <w:szCs w:val="32"/>
          <w:lang w:val="en-US" w:eastAsia="zh-CN"/>
        </w:rPr>
        <w:t xml:space="preserve"> 针对 “预算编制偏差”：建立预算编制政策研判机制，采购前充分调研政策变动情况，细化费用测算，提高预算编制精准度。</w:t>
      </w:r>
    </w:p>
    <w:p>
      <w:pPr>
        <w:rPr>
          <w:rFonts w:hint="eastAsia"/>
          <w:sz w:val="32"/>
          <w:szCs w:val="32"/>
          <w:lang w:val="en-US" w:eastAsia="zh-CN"/>
        </w:rPr>
      </w:pP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bookmarkEnd w:id="0"/>
    <w:p>
      <w:pPr>
        <w:pStyle w:val="2"/>
        <w:rPr>
          <w:rFonts w:hint="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
    <w:altName w:val="AR PL UKai CN"/>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仿宋">
    <w:altName w:val="方正仿宋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A00002BF" w:usb1="38CF7CFA" w:usb2="00082016" w:usb3="00000000" w:csb0="00040001" w:csb1="00000000"/>
  </w:font>
  <w:font w:name="AR PL UKai CN">
    <w:panose1 w:val="02000503000000000000"/>
    <w:charset w:val="86"/>
    <w:family w:val="auto"/>
    <w:pitch w:val="default"/>
    <w:sig w:usb0="A00002FF" w:usb1="3ACFFDFF" w:usb2="00000036" w:usb3="00000000" w:csb0="2016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F24EA6"/>
    <w:multiLevelType w:val="singleLevel"/>
    <w:tmpl w:val="97F24EA6"/>
    <w:lvl w:ilvl="0" w:tentative="0">
      <w:start w:val="2"/>
      <w:numFmt w:val="chineseCounting"/>
      <w:suff w:val="nothing"/>
      <w:lvlText w:val="（%1）"/>
      <w:lvlJc w:val="left"/>
      <w:rPr>
        <w:rFonts w:hint="eastAsia"/>
      </w:rPr>
    </w:lvl>
  </w:abstractNum>
  <w:abstractNum w:abstractNumId="1">
    <w:nsid w:val="A3A6FE3A"/>
    <w:multiLevelType w:val="singleLevel"/>
    <w:tmpl w:val="A3A6FE3A"/>
    <w:lvl w:ilvl="0" w:tentative="0">
      <w:start w:val="2"/>
      <w:numFmt w:val="chineseCounting"/>
      <w:suff w:val="nothing"/>
      <w:lvlText w:val="（%1）"/>
      <w:lvlJc w:val="left"/>
      <w:rPr>
        <w:rFonts w:hint="eastAsia"/>
      </w:rPr>
    </w:lvl>
  </w:abstractNum>
  <w:abstractNum w:abstractNumId="2">
    <w:nsid w:val="2151514D"/>
    <w:multiLevelType w:val="singleLevel"/>
    <w:tmpl w:val="2151514D"/>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0F3B48"/>
    <w:rsid w:val="03CA1FAF"/>
    <w:rsid w:val="045F6A9C"/>
    <w:rsid w:val="07C531B9"/>
    <w:rsid w:val="080D690E"/>
    <w:rsid w:val="0D656AF9"/>
    <w:rsid w:val="1B9848A7"/>
    <w:rsid w:val="1CA218C3"/>
    <w:rsid w:val="1E0E1F4E"/>
    <w:rsid w:val="1FA3607E"/>
    <w:rsid w:val="26A5448A"/>
    <w:rsid w:val="30823A8E"/>
    <w:rsid w:val="36321E4C"/>
    <w:rsid w:val="3708262B"/>
    <w:rsid w:val="37DF9CFB"/>
    <w:rsid w:val="3EBCF7A0"/>
    <w:rsid w:val="3EFFF610"/>
    <w:rsid w:val="3FDB9D23"/>
    <w:rsid w:val="44472BCC"/>
    <w:rsid w:val="449E078A"/>
    <w:rsid w:val="45CE0E3F"/>
    <w:rsid w:val="4FFCBFB3"/>
    <w:rsid w:val="537E1A3B"/>
    <w:rsid w:val="550D12C8"/>
    <w:rsid w:val="58AF903B"/>
    <w:rsid w:val="5CD050B5"/>
    <w:rsid w:val="5D07484F"/>
    <w:rsid w:val="5D7FAFF8"/>
    <w:rsid w:val="61761FA3"/>
    <w:rsid w:val="624E2AD0"/>
    <w:rsid w:val="63C45248"/>
    <w:rsid w:val="68404BC1"/>
    <w:rsid w:val="68AA0EB0"/>
    <w:rsid w:val="6FBFE4BD"/>
    <w:rsid w:val="6FD5D457"/>
    <w:rsid w:val="7DFFEE84"/>
    <w:rsid w:val="7F3F428B"/>
    <w:rsid w:val="7F5986D6"/>
    <w:rsid w:val="7F606315"/>
    <w:rsid w:val="7FFD98D4"/>
    <w:rsid w:val="A3FFDA46"/>
    <w:rsid w:val="BCF642EA"/>
    <w:rsid w:val="CEFFDD12"/>
    <w:rsid w:val="DCFD2A97"/>
    <w:rsid w:val="DEBF6FE7"/>
    <w:rsid w:val="E3CE7987"/>
    <w:rsid w:val="E9FF7AB0"/>
    <w:rsid w:val="EA9B4149"/>
    <w:rsid w:val="F6FBE533"/>
    <w:rsid w:val="F79B8761"/>
    <w:rsid w:val="FBBB27FE"/>
    <w:rsid w:val="FBC7B7A8"/>
    <w:rsid w:val="FBFE5EC2"/>
    <w:rsid w:val="FEDFBAAB"/>
    <w:rsid w:val="FF9F05DB"/>
    <w:rsid w:val="FFEFE7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spacing w:before="100" w:beforeAutospacing="1" w:after="100" w:afterAutospacing="1"/>
      <w:ind w:left="200" w:leftChars="200" w:hanging="200" w:hangingChars="200"/>
    </w:pPr>
    <w:rPr>
      <w:sz w:val="20"/>
      <w:szCs w:val="21"/>
    </w:rPr>
  </w:style>
  <w:style w:type="paragraph" w:styleId="3">
    <w:name w:val="Body Text"/>
    <w:basedOn w:val="1"/>
    <w:qFormat/>
    <w:uiPriority w:val="99"/>
    <w:pPr>
      <w:widowControl/>
      <w:tabs>
        <w:tab w:val="left" w:pos="2160"/>
      </w:tabs>
      <w:spacing w:line="480" w:lineRule="auto"/>
      <w:jc w:val="left"/>
    </w:pPr>
    <w:rPr>
      <w:rFonts w:ascii="Times New Roman" w:eastAsia="黑体"/>
      <w:kern w:val="0"/>
      <w:position w:val="3"/>
      <w:sz w:val="20"/>
      <w:szCs w:val="20"/>
      <w:lang w:eastAsia="en-US"/>
    </w:rPr>
  </w:style>
  <w:style w:type="paragraph" w:customStyle="1" w:styleId="6">
    <w:name w:val="四号正文"/>
    <w:basedOn w:val="1"/>
    <w:qFormat/>
    <w:uiPriority w:val="0"/>
    <w:pPr>
      <w:spacing w:line="360" w:lineRule="auto"/>
    </w:pPr>
    <w:rPr>
      <w:rFonts w:ascii="Times New Roman"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0</Words>
  <Characters>0</Characters>
  <Lines>0</Lines>
  <Paragraphs>0</Paragraphs>
  <TotalTime>11</TotalTime>
  <ScaleCrop>false</ScaleCrop>
  <LinksUpToDate>false</LinksUpToDate>
  <CharactersWithSpaces>0</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2026-08-18T09:35:00Z</dcterms:created>
  <dc:creator>Administrator</dc:creator>
  <cp:lastModifiedBy>user</cp:lastModifiedBy>
  <dcterms:modified xsi:type="dcterms:W3CDTF">2026-10-12T16:56:01Z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KSOTemplateDocerSaveRecord">
    <vt:lpwstr>eyJoZGlkIjoiZTM5NDg5MDE1MTMzOGQ2NGViN2NiNzNlOTEwY2EyYWYiLCJ1c2VySWQiOiI2NTcwNzg4MjUifQ==</vt:lpwstr>
  </property>
  <property fmtid="{D5CDD505-2E9C-101B-9397-08002B2CF9AE}" pid="4" name="ICV">
    <vt:lpwstr>4D2DDA9CC15348DF853F099E8515FADC_12</vt:lpwstr>
  </property>
</Properties>
</file>