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tLeast"/>
        <w:rPr>
          <w:rFonts w:hint="default" w:ascii="仿宋_GB2312" w:hAnsi="宋体" w:eastAsia="仿宋_GB2312" w:cs="宋体"/>
          <w:color w:val="333333"/>
          <w:kern w:val="0"/>
          <w:sz w:val="32"/>
          <w:szCs w:val="32"/>
          <w:lang w:val="en-US" w:eastAsia="zh-CN"/>
        </w:rPr>
      </w:pPr>
      <w:r>
        <w:rPr>
          <w:rFonts w:hint="eastAsia" w:ascii="仿宋_GB2312" w:hAnsi="宋体" w:eastAsia="仿宋_GB2312" w:cs="宋体"/>
          <w:color w:val="333333"/>
          <w:kern w:val="0"/>
          <w:sz w:val="32"/>
          <w:szCs w:val="32"/>
          <w:lang w:val="en-US" w:eastAsia="zh-CN"/>
        </w:rPr>
        <w:t>附件：1-3</w:t>
      </w:r>
    </w:p>
    <w:p>
      <w:pPr>
        <w:rPr>
          <w:rFonts w:hint="eastAsia" w:ascii="仿宋_GB2312" w:hAnsi="仿宋_GB2312" w:eastAsia="仿宋_GB2312" w:cs="仿宋_GB2312"/>
          <w:b w:val="0"/>
          <w:bCs w:val="0"/>
          <w:kern w:val="0"/>
          <w:position w:val="0"/>
          <w:sz w:val="32"/>
          <w:szCs w:val="32"/>
          <w:highlight w:val="none"/>
          <w:lang w:val="en-US" w:eastAsia="zh-CN" w:bidi="ar-SA"/>
        </w:rPr>
      </w:pPr>
      <w:bookmarkStart w:id="0" w:name="_Hlk110546638"/>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信访维稳专项工作经费</w:t>
      </w:r>
    </w:p>
    <w:p>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adjustRightInd w:val="0"/>
        <w:snapToGrid w:val="0"/>
        <w:spacing w:line="520" w:lineRule="exact"/>
        <w:ind w:firstLine="642"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为适应新时期信访维稳工作发展需要，全力维护国家安全和</w:t>
      </w:r>
      <w:r>
        <w:rPr>
          <w:rFonts w:hint="default" w:ascii="仿宋_GB2312" w:hAnsi="仿宋_GB2312" w:eastAsia="仿宋_GB2312" w:cs="仿宋_GB2312"/>
          <w:sz w:val="32"/>
          <w:szCs w:val="32"/>
        </w:rPr>
        <w:t>大局</w:t>
      </w:r>
      <w:r>
        <w:rPr>
          <w:rFonts w:hint="eastAsia" w:ascii="仿宋_GB2312" w:hAnsi="仿宋_GB2312" w:eastAsia="仿宋_GB2312" w:cs="仿宋_GB2312"/>
          <w:sz w:val="32"/>
          <w:szCs w:val="32"/>
        </w:rPr>
        <w:t>稳定、维护国家统一和民族团结，不断提升信访业务处置突能力，信访维稳工作经费主要用于各重大会议、重大活动、重大节假日期间信访安全保障工作、上访人员接访劝返、重大信访事项协调及信访接访系统、视频接访系统年服务费等信访业务支出。</w:t>
      </w:r>
    </w:p>
    <w:p>
      <w:pPr>
        <w:adjustRightInd w:val="0"/>
        <w:snapToGrid w:val="0"/>
        <w:spacing w:line="520" w:lineRule="exact"/>
        <w:ind w:firstLine="640" w:firstLineChars="200"/>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sz w:val="32"/>
          <w:szCs w:val="32"/>
        </w:rPr>
        <w:t>本单位制定了</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 xml:space="preserve">年的工作计划，组织机构健全，职责分工明确。 </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rPr>
        <w:t>年根据信访工作实际，申报信访维稳工作经费项目资金</w:t>
      </w:r>
      <w:r>
        <w:rPr>
          <w:rFonts w:hint="eastAsia" w:ascii="仿宋_GB2312" w:hAnsi="仿宋_GB2312" w:cs="仿宋_GB2312"/>
          <w:sz w:val="32"/>
          <w:szCs w:val="32"/>
          <w:lang w:val="en-US" w:eastAsia="zh-CN"/>
        </w:rPr>
        <w:t>11.09</w:t>
      </w:r>
      <w:r>
        <w:rPr>
          <w:rFonts w:hint="eastAsia" w:ascii="仿宋_GB2312" w:hAnsi="仿宋_GB2312" w:eastAsia="仿宋_GB2312" w:cs="仿宋_GB2312"/>
          <w:sz w:val="32"/>
          <w:szCs w:val="32"/>
        </w:rPr>
        <w:t>万元的，财政批复下达</w:t>
      </w:r>
      <w:r>
        <w:rPr>
          <w:rFonts w:hint="eastAsia" w:ascii="仿宋_GB2312" w:hAnsi="仿宋_GB2312" w:cs="仿宋_GB2312"/>
          <w:sz w:val="32"/>
          <w:szCs w:val="32"/>
          <w:lang w:val="en-US" w:eastAsia="zh-CN"/>
        </w:rPr>
        <w:t>11.09</w:t>
      </w:r>
      <w:r>
        <w:rPr>
          <w:rFonts w:hint="eastAsia" w:ascii="仿宋_GB2312" w:hAnsi="仿宋_GB2312" w:eastAsia="仿宋_GB2312" w:cs="仿宋_GB2312"/>
          <w:sz w:val="32"/>
          <w:szCs w:val="32"/>
        </w:rPr>
        <w:t>万元。费用支出根据单位财务管理制度和单位内控制度落实实报实销。符合资金管理办法及相关规定。</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200" w:firstLine="321" w:firstLineChars="1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hAnsi="Times New Roman" w:cs="Times New Roman"/>
          <w:b/>
          <w:bCs/>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实施目的</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维护社会稳定：这是核心目的。通过保障信访维稳工作的顺利开展，及时处理各类信访问题，防止矛盾激化和事态扩大，避免因信访问题引发群体性事件、越级上访等影响社会稳定的情况发生，确保社会秩序稳定和谐。</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保障信访工作高效开展：确保信访部门有足够的资金用于日常运转和专项工作，如配备必要的办公设备、开展信息化建设等，从而提高信访工作的效率和质量，使信访事项能够得到及时受理、转送、交办和督办，提升信访工作的整体水平。</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解决突出信访问题：对于一些复杂、疑难的信访问题，专项经费可提供必要的资金支持，用于采取特殊措施或给予适当救助，推动这些问题得到妥善解决，减少信访积案，缓解社会矛盾。</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强化应急处置能力：在重要会议、重大活动等特殊时期，以及面对突发信访事件时，能够有资金保障应急处置工作的开展，包括调配人员、物资等，快速响应并有效应对，维护社会秩序和公共安全。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hAnsi="Times New Roman" w:cs="Times New Roman"/>
          <w:b/>
          <w:bCs/>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支持方向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日常信访维稳工作：包括信访接待场所的运行和维护费用，如场地租赁、设备购置与维护等；信访工作人员的培训费用，以提升其业务能力和应对复杂问题的水平；以及开展信访矛盾排查、信息收集与分析等工作的费用，以便及时掌握信访动态，提前做好维稳准备。</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重点时期和敏感节点维稳：在国家重要会议、重大节日、政治活动等重点时期，以及涉及当地的敏感事件发生时，用于加强信访值班、应急处置、重点人员稳控等方面的支出。例如，支付驻京驻省驻市维稳工作人员的差旅费、住宿费，以及购置相关应急设备等费用。</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特殊疑难信访问题化解：针对 “无头案、钉子案、骨头案” 及 “三跨三分离” 等特殊疑难信访个案，提供救助资金或用于采取其他化解措施的费用。如对生活困难的信访群众给予适当的经济救助，帮助他们解决实际生活问题，促使其息访罢诉。</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应急处置与突发事件应对：当出现突发信访事件，如群体性上访、信访人采取极端行为等情况时，经费可用于调配应急物资、组织救援力量、开展现场处置等方面的支出，以迅速控制局面，防止事件恶化。</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信访维稳工作信息化建设：用于开发和维护信访信息管理系统，实现信访数据的实时收集、分析和共享，提高信访工作的信息化水平和决策科学性；以及购置相关的信息化设备，如电脑、网络设备等。</w:t>
      </w:r>
    </w:p>
    <w:p>
      <w:pPr>
        <w:pStyle w:val="2"/>
        <w:ind w:left="0" w:leftChars="0" w:firstLine="640" w:firstLineChars="200"/>
        <w:rPr>
          <w:rFonts w:hint="default" w:ascii="Times New Roman" w:hAnsi="Times New Roman" w:eastAsia="仿宋_GB2312" w:cs="Times New Roman"/>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宣传培训</w:t>
      </w:r>
      <w:r>
        <w:rPr>
          <w:rFonts w:hint="eastAsia" w:ascii="Times New Roman" w:hAnsi="Times New Roman" w:eastAsia="仿宋_GB2312" w:cs="Times New Roman"/>
          <w:color w:val="auto"/>
          <w:kern w:val="0"/>
          <w:sz w:val="32"/>
          <w:szCs w:val="32"/>
          <w:highlight w:val="none"/>
          <w:u w:val="none"/>
          <w:shd w:val="clear" w:color="auto" w:fill="FFFFFF"/>
          <w:lang w:val="en-US" w:eastAsia="zh-CN" w:bidi="ar-SA"/>
        </w:rPr>
        <w:t>:一是信访业务培训，涵盖《信访工作条例》专题培训、积案化解实操教学、信访干部能力提升班，支付授课师资酬劳、培训教材印制及场地费用；二是信访法治宣传，制作宣传手册、海报、短视频、宣传物资等物料，开展线下宣讲、知识竞赛、普法广场活动，投放线上媒体宣传；三是应急处置培训，组织突发信访事件情景模拟、联动演练，保障演练物资、交通及后勤支出。经费严格按规定专款专用，确保培训实效与宣传覆盖面。</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202</w:t>
      </w:r>
      <w:r>
        <w:rPr>
          <w:rFonts w:hint="eastAsia" w:ascii="仿宋_GB2312" w:hAnsi="仿宋_GB2312" w:eastAsia="仿宋_GB2312" w:cs="仿宋_GB2312"/>
          <w:color w:val="auto"/>
          <w:kern w:val="0"/>
          <w:sz w:val="32"/>
          <w:szCs w:val="32"/>
          <w:highlight w:val="none"/>
          <w:u w:val="none"/>
          <w:shd w:val="clear" w:color="auto" w:fill="FFFFFF"/>
          <w:lang w:val="en-US" w:eastAsia="zh-CN"/>
        </w:rPr>
        <w:t>5</w:t>
      </w:r>
      <w:r>
        <w:rPr>
          <w:rFonts w:hint="eastAsia" w:ascii="仿宋_GB2312" w:hAnsi="仿宋_GB2312" w:eastAsia="仿宋_GB2312" w:cs="仿宋_GB2312"/>
          <w:color w:val="auto"/>
          <w:kern w:val="0"/>
          <w:sz w:val="32"/>
          <w:szCs w:val="32"/>
          <w:highlight w:val="none"/>
          <w:u w:val="none"/>
          <w:shd w:val="clear" w:color="auto" w:fill="FFFFFF"/>
          <w:lang w:val="zh-CN" w:eastAsia="zh-CN"/>
        </w:rPr>
        <w:t>年年初预算</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万元，调整后预算数</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万元，预算执行数</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万元。全部为一般公共预算资金，无配套资金。</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分配原则：遵循 “突出重点、统筹兼顾、按需分配、注重实效”原则，优先保障积案化解难度大及重点领域。</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分配情况：按工作任务分配。</w:t>
      </w:r>
    </w:p>
    <w:p>
      <w:pPr>
        <w:keepNext w:val="0"/>
        <w:keepLines w:val="0"/>
        <w:pageBreakBefore w:val="0"/>
        <w:numPr>
          <w:ilvl w:val="0"/>
          <w:numId w:val="1"/>
        </w:numPr>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numPr>
          <w:ilvl w:val="0"/>
          <w:numId w:val="0"/>
        </w:numPr>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信访维稳专项工作经费项目，重点用于通过保障信访维稳工作的顺利开展，及时处理各类信访问题，防止矛盾激化和事态扩大，避免因信访问题引发群体性事件、越级上访等影响社会稳定的情况发生，确保社会秩序稳定和谐。我单位申报的信访维稳专项工作经费项目内容与具体实施内容相符的、申报目标是合理可行。</w:t>
      </w:r>
    </w:p>
    <w:p>
      <w:pPr>
        <w:rPr>
          <w:rFonts w:hint="default"/>
          <w:sz w:val="32"/>
          <w:szCs w:val="32"/>
          <w:lang w:val="zh-CN" w:eastAsia="zh-CN"/>
        </w:rPr>
      </w:pPr>
    </w:p>
    <w:tbl>
      <w:tblPr>
        <w:tblStyle w:val="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1347"/>
        <w:gridCol w:w="1217"/>
        <w:gridCol w:w="2136"/>
        <w:gridCol w:w="456"/>
        <w:gridCol w:w="1096"/>
        <w:gridCol w:w="456"/>
        <w:gridCol w:w="776"/>
        <w:gridCol w:w="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绩效指标</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一级指标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二级指标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三级指标</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指标性质</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指标值</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度量单位</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完成值</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权重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产出指标</w:t>
            </w:r>
          </w:p>
        </w:tc>
        <w:tc>
          <w:tcPr>
            <w:tcW w:w="77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数量指标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开展宣传活动次数</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kern w:val="2"/>
                <w:sz w:val="24"/>
                <w:szCs w:val="24"/>
                <w:u w:val="none"/>
                <w:lang w:val="en-US" w:eastAsia="zh-CN" w:bidi="ar-SA"/>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77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开展维稳工作次数</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kern w:val="2"/>
                <w:sz w:val="24"/>
                <w:szCs w:val="24"/>
                <w:u w:val="none"/>
                <w:lang w:val="en-US" w:eastAsia="zh-CN" w:bidi="ar-SA"/>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时效指标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cs="宋体"/>
                <w:i w:val="0"/>
                <w:iCs w:val="0"/>
                <w:color w:val="000000"/>
                <w:kern w:val="0"/>
                <w:sz w:val="24"/>
                <w:szCs w:val="24"/>
                <w:u w:val="none"/>
                <w:lang w:eastAsia="zh-CN" w:bidi="ar"/>
              </w:rPr>
              <w:t>截止到</w:t>
            </w:r>
            <w:r>
              <w:rPr>
                <w:rFonts w:ascii="宋体" w:hAnsi="宋体" w:eastAsia="宋体" w:cs="宋体"/>
                <w:i w:val="0"/>
                <w:iCs w:val="0"/>
                <w:color w:val="000000"/>
                <w:kern w:val="0"/>
                <w:sz w:val="24"/>
                <w:szCs w:val="24"/>
                <w:u w:val="none"/>
                <w:lang w:val="en-US" w:eastAsia="zh-CN" w:bidi="ar"/>
              </w:rPr>
              <w:t>12月底完成支付</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年</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12月</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效益指标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可持续发展指标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保障工作有序开展</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满意度指标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满意度指标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使用职工满意度</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95</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95%</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成本指标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经济成本指标</w:t>
            </w:r>
          </w:p>
        </w:tc>
        <w:tc>
          <w:tcPr>
            <w:tcW w:w="1159" w:type="pct"/>
            <w:tcBorders>
              <w:top w:val="nil"/>
              <w:left w:val="nil"/>
              <w:bottom w:val="nil"/>
              <w:right w:val="nil"/>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预算下达指标金额</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11.09</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万元</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万元</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714" w:type="pct"/>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合计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r>
    </w:tbl>
    <w:p>
      <w:pPr>
        <w:rPr>
          <w:rFonts w:hint="default"/>
          <w:sz w:val="32"/>
          <w:szCs w:val="32"/>
          <w:lang w:val="zh-CN" w:eastAsia="zh-CN"/>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eastAsia="仿宋_GB2312" w:cs="Times New Roman"/>
          <w:sz w:val="32"/>
          <w:szCs w:val="32"/>
        </w:rPr>
        <w:t>通过绩效评价，及时发现项目实施中存在的薄弱环节，总结推广好的经验和做法，进一步规范项目管理。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1.长效机制建立情况。项目实施单位是否已建立项目实施管理制度等。</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2.项目实施程序严密性。建设项目的招投标资料是否完整、真实，有无弄虚作假套取财政资金等问题。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资金拨付和使用的合规性。是否按国库集中支付规定办理资金拨付手续；是否不按时拨付，造成滞留资金积压；资金是否专款专用，是否随意变更项目内容及地点；是否遵守《现金管理暂行条例》规定；是否有挤</w:t>
      </w:r>
      <w:r>
        <w:rPr>
          <w:rFonts w:hint="default" w:eastAsia="仿宋_GB2312" w:cs="Times New Roman"/>
          <w:sz w:val="32"/>
          <w:szCs w:val="32"/>
        </w:rPr>
        <w:t>占</w:t>
      </w:r>
      <w:r>
        <w:rPr>
          <w:rFonts w:hint="eastAsia" w:ascii="Times New Roman" w:hAnsi="Times New Roman" w:eastAsia="仿宋_GB2312" w:cs="Times New Roman"/>
          <w:sz w:val="32"/>
          <w:szCs w:val="32"/>
          <w:lang w:val="zh-CN"/>
        </w:rPr>
        <w:t>、挪用、截留等违纪违规等问题。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4.信息的公开透明度。项目资金管理单位的公开公示情况。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5.财务管理和会计核算规范性。财务核算是否符合《中华人民共和国会计法》《会计基础工作规范》等要求、是否符合基本建设财务管理和会计制度规定。</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cs="Times New Roman"/>
          <w:sz w:val="32"/>
          <w:szCs w:val="32"/>
          <w:lang w:eastAsia="zh-CN"/>
        </w:rPr>
      </w:pPr>
      <w:r>
        <w:rPr>
          <w:rFonts w:hint="eastAsia" w:ascii="Times New Roman" w:hAnsi="Times New Roman" w:eastAsia="仿宋_GB2312" w:cs="Times New Roman"/>
          <w:sz w:val="32"/>
          <w:szCs w:val="32"/>
          <w:lang w:val="zh-CN"/>
        </w:rPr>
        <w:t>6.项目实施单位绩效自评情况。项目实施单位是否严格按照预算绩效管理规定开展绩效自评。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eastAsia="楷体_GB2312" w:cs="Times New Roman"/>
          <w:b w:val="0"/>
          <w:bCs/>
          <w:color w:val="auto"/>
          <w:sz w:val="32"/>
          <w:szCs w:val="32"/>
          <w:highlight w:val="none"/>
          <w:u w:val="none"/>
          <w:lang w:val="en-US" w:eastAsia="zh-CN"/>
        </w:rPr>
        <w:t>工作开展地点。</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1.现场咨询。</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2.实施单位自评，形成完整自评资料。</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eastAsia="仿宋_GB2312" w:cs="Times New Roman"/>
          <w:sz w:val="32"/>
          <w:szCs w:val="32"/>
        </w:rPr>
        <w:t>评价组人员由相关业务股室和项目单位代表组成，评价小组以检查账目、资料、电话核实等形式开展了现场评价。</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决策程序：项目设立、调整延续等方面符合资金管理基本规范和决策程序要求。指标分值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规划论证：项目规划论证符合中央、省委要求，项目绩效目标设置科学合理，项目资金与项目总体规划、相关行业事业发展相匹配，聚焦重大任务、重点领域、重点环节和重点项目。指标分值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eastAsia="zh-CN"/>
        </w:rPr>
        <w:t>资金投向：项目资金是与项目总体规划、相关行业事业发展相匹配，聚焦重大任务、重点领域、重点环节和重点项目。体现“集中</w:t>
      </w:r>
      <w:r>
        <w:rPr>
          <w:rFonts w:hint="default" w:ascii="仿宋_GB2312" w:hAnsi="仿宋_GB2312" w:eastAsia="仿宋_GB2312" w:cs="仿宋_GB2312"/>
          <w:color w:val="auto"/>
          <w:sz w:val="32"/>
          <w:szCs w:val="32"/>
          <w:lang w:eastAsia="zh-CN"/>
        </w:rPr>
        <w:t>力量</w:t>
      </w:r>
      <w:r>
        <w:rPr>
          <w:rFonts w:hint="eastAsia" w:ascii="仿宋_GB2312" w:hAnsi="仿宋_GB2312" w:eastAsia="仿宋_GB2312" w:cs="仿宋_GB2312"/>
          <w:color w:val="auto"/>
          <w:sz w:val="32"/>
          <w:szCs w:val="32"/>
          <w:lang w:eastAsia="zh-CN"/>
        </w:rPr>
        <w:t>办大事”原则，避免“撒胡椒面”。指标分值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楷体_GB2312" w:hAnsi="楷体_GB2312" w:eastAsia="楷体_GB2312" w:cs="楷体_GB2312"/>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2.</w:t>
      </w:r>
      <w:r>
        <w:rPr>
          <w:rFonts w:hint="default" w:ascii="Times New Roman" w:hAnsi="Times New Roman" w:eastAsia="楷体_GB2312" w:cs="Times New Roman"/>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制度办法：项目制度办法体系健全、要素完备。资金管理办法等管理制度体系健全完善，不存在管理制度缺失、管理办法过期情况。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2分，自评得分2分。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绩效监管</w:t>
      </w:r>
      <w:r>
        <w:rPr>
          <w:rFonts w:hint="eastAsia" w:ascii="仿宋_GB2312" w:hAnsi="仿宋_GB2312" w:eastAsia="仿宋_GB2312" w:cs="仿宋_GB2312"/>
          <w:color w:val="auto"/>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预算执行:项目预算资金6万元，支付6万元。指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w:t>
      </w:r>
      <w:r>
        <w:rPr>
          <w:rFonts w:hint="default" w:ascii="仿宋_GB2312" w:hAnsi="仿宋_GB2312" w:eastAsia="仿宋_GB2312" w:cs="仿宋_GB2312"/>
          <w:color w:val="auto"/>
          <w:sz w:val="32"/>
          <w:szCs w:val="32"/>
          <w:lang w:eastAsia="zh-CN"/>
        </w:rPr>
        <w:t>截止到</w:t>
      </w:r>
      <w:r>
        <w:rPr>
          <w:rFonts w:hint="eastAsia" w:ascii="仿宋_GB2312" w:hAnsi="仿宋_GB2312" w:eastAsia="仿宋_GB2312" w:cs="仿宋_GB2312"/>
          <w:color w:val="auto"/>
          <w:sz w:val="32"/>
          <w:szCs w:val="32"/>
          <w:lang w:val="en-US" w:eastAsia="zh-CN"/>
        </w:rPr>
        <w:t>2025年底完成项目资金拨付。指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完成时效：资金项目按照目标任务已于2025年底完成。</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color w:val="auto"/>
          <w:sz w:val="32"/>
          <w:szCs w:val="32"/>
          <w:lang w:val="zh-CN"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28</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1.区域均衡性：经费向信访难度大工作倾斜，整体均衡性良好。指标分值10分，自评得分10分。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2.对象精准性：信访积案、安保工作识别精准，重点人群诉求处置到位，精准化解率、安保率达标，但个别信访事项责任划分不够清晰，影响处置精准度，扣 1 分。指标分值10分，自评得分9分。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3.标准合理性：经费补贴标准符合县域经济发展水平，标准设置科学合理。</w:t>
      </w:r>
      <w:r>
        <w:rPr>
          <w:rFonts w:hint="eastAsia" w:ascii="仿宋_GB2312" w:hAnsi="仿宋_GB2312" w:eastAsia="仿宋_GB2312" w:cs="仿宋_GB2312"/>
          <w:color w:val="auto"/>
          <w:sz w:val="32"/>
          <w:szCs w:val="32"/>
          <w:lang w:eastAsia="zh-CN"/>
        </w:rPr>
        <w:t>指标分值</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分，自评得分</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4.群众满意度：信访群众满意率达</w:t>
      </w:r>
      <w:r>
        <w:rPr>
          <w:rFonts w:hint="eastAsia" w:ascii="仿宋_GB2312" w:hAnsi="仿宋_GB2312" w:cs="仿宋_GB2312"/>
          <w:color w:val="auto"/>
          <w:sz w:val="32"/>
          <w:szCs w:val="32"/>
          <w:lang w:val="en-US" w:eastAsia="zh-CN"/>
        </w:rPr>
        <w:t>85</w:t>
      </w:r>
      <w:r>
        <w:rPr>
          <w:rFonts w:hint="eastAsia" w:ascii="仿宋_GB2312" w:hAnsi="仿宋_GB2312" w:eastAsia="仿宋_GB2312" w:cs="仿宋_GB2312"/>
          <w:color w:val="auto"/>
          <w:sz w:val="32"/>
          <w:szCs w:val="32"/>
          <w:lang w:val="en-US" w:eastAsia="zh-CN"/>
        </w:rPr>
        <w:t>%，但部分群众反映信访结果反馈不够及时，扣 1 分。</w:t>
      </w:r>
      <w:r>
        <w:rPr>
          <w:rFonts w:hint="eastAsia" w:ascii="仿宋_GB2312" w:hAnsi="仿宋_GB2312" w:eastAsia="仿宋_GB2312" w:cs="仿宋_GB2312"/>
          <w:color w:val="auto"/>
          <w:sz w:val="32"/>
          <w:szCs w:val="32"/>
          <w:lang w:eastAsia="zh-CN"/>
        </w:rPr>
        <w:t>指标分值</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分，自评得分</w:t>
      </w:r>
      <w:r>
        <w:rPr>
          <w:rFonts w:hint="eastAsia" w:ascii="仿宋_GB2312" w:hAnsi="仿宋_GB2312" w:cs="仿宋_GB2312"/>
          <w:color w:val="auto"/>
          <w:sz w:val="32"/>
          <w:szCs w:val="32"/>
          <w:lang w:val="en-US" w:eastAsia="zh-CN"/>
        </w:rPr>
        <w:t>4</w:t>
      </w:r>
      <w:r>
        <w:rPr>
          <w:rFonts w:hint="eastAsia" w:ascii="仿宋_GB2312" w:hAnsi="仿宋_GB2312" w:eastAsia="仿宋_GB2312" w:cs="仿宋_GB2312"/>
          <w:color w:val="auto"/>
          <w:sz w:val="32"/>
          <w:szCs w:val="32"/>
          <w:lang w:val="en-US"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我单位在规定时间内做好信访维稳专项工作经费个性化绩效评价指标具有特定的针对性，能够更好地反映信访维稳专项工作其特定业务领域的表现，可以增强信访维稳专项工作的积极性和工作热情。提高部门的整体绩效水平。</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1.信访维稳宣传工作:通过宣传和教育活动提高公众对信访工作的认识和参与度,以提高信访工作管理效率和质量。</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5分，自评得分5分。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2.全力做好信访“一次性化解率”工作：上级考核“一次性化解率”为97%，我单位2025年案件化解率率为97.06%。指标分值5分，自评得分5分。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3.信访安全保障工作：全面做好敏感时期、重大节假日信访安全保障工作。在</w:t>
      </w:r>
      <w:bookmarkStart w:id="1" w:name="_GoBack"/>
      <w:bookmarkEnd w:id="1"/>
      <w:r>
        <w:rPr>
          <w:rFonts w:hint="eastAsia" w:ascii="仿宋_GB2312" w:hAnsi="仿宋_GB2312" w:eastAsia="仿宋_GB2312" w:cs="仿宋_GB2312"/>
          <w:color w:val="auto"/>
          <w:sz w:val="32"/>
          <w:szCs w:val="32"/>
          <w:lang w:val="en-US" w:eastAsia="zh-CN"/>
        </w:rPr>
        <w:t>重大会议及重要敏感节点开展信访安全保障工作。</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2"/>
          <w:position w:val="0"/>
          <w:sz w:val="32"/>
          <w:szCs w:val="32"/>
          <w:lang w:val="en-US" w:eastAsia="zh-CN" w:bidi="ar-SA"/>
        </w:rPr>
        <w:t>本次专项预算绩效自评总得分为98分。项目整体实施情况良好，专项经费使用合规高效，预算执行率达100%，圆满完成信访案件化解、矛盾排查处置等核心任务，有效维护了社会稳定大局，信访群众满意度达85%，基本实现预期绩效目标，但在经费管理精细化、基层保障均衡性等方面仍有提升空间</w:t>
      </w:r>
      <w:r>
        <w:rPr>
          <w:rFonts w:hint="eastAsia" w:ascii="仿宋_GB2312" w:hAnsi="仿宋_GB2312" w:eastAsia="仿宋_GB2312" w:cs="仿宋_GB2312"/>
          <w:b w:val="0"/>
          <w:bCs w:val="0"/>
          <w:kern w:val="0"/>
          <w:position w:val="0"/>
          <w:sz w:val="32"/>
          <w:szCs w:val="32"/>
          <w:highlight w:val="none"/>
          <w:lang w:val="en-US" w:eastAsia="zh-CN" w:bidi="ar-SA"/>
        </w:rPr>
        <w:t>。</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1、群众的思想观念存在误区。一是群众对《信访工作条例》认识不够，在碰到问题时首先考虑的不是要按照信访程序诉求，也不会去找基层政府和具体部门，而是片面的认为，不管什么问题只有找到上级部门和县级领导就能很快解决问题。二是认为不论碰到什么问题，多找几个部门和领导反映总不会错，参与信访的部门越多问题就能更快的得到解决。</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2、信访群众满意率难度开展较大。特别是对责任部门的“群众满意率”评价，在责任部门办理答复达不到其上访诉求期望值时，信访人员一般采取不评价或不客观公正进行评价，从而拉低该项工作的分值。</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1、持续开展《信访工作条例》宣传。继续保持《条例》宣传的持续性和经常性，把《条例》的宣传融入信访活动的全过程，引导信访人依法信访。</w:t>
      </w:r>
    </w:p>
    <w:p>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2、强抓信访群众满意率工作。群众满意度是对信访工作的满意硬性指标，下来后，将通过综合研判、压实责任等方式，提升满意度指标，确保满意度达标。</w:t>
      </w:r>
    </w:p>
    <w:p>
      <w:pPr>
        <w:pStyle w:val="2"/>
        <w:rPr>
          <w:rFonts w:hint="eastAsia" w:ascii="仿宋_GB2312" w:hAnsi="仿宋_GB2312" w:eastAsia="仿宋_GB2312" w:cs="仿宋_GB2312"/>
          <w:b w:val="0"/>
          <w:bCs w:val="0"/>
          <w:kern w:val="0"/>
          <w:position w:val="0"/>
          <w:sz w:val="32"/>
          <w:szCs w:val="32"/>
          <w:highlight w:val="none"/>
          <w:lang w:val="en-US" w:eastAsia="zh-CN" w:bidi="ar-SA"/>
        </w:rPr>
      </w:pPr>
    </w:p>
    <w:p>
      <w:pPr>
        <w:rPr>
          <w:rFonts w:hint="eastAsia" w:ascii="仿宋_GB2312" w:hAnsi="仿宋_GB2312" w:eastAsia="仿宋_GB2312" w:cs="仿宋_GB2312"/>
          <w:b w:val="0"/>
          <w:bCs w:val="0"/>
          <w:kern w:val="0"/>
          <w:position w:val="0"/>
          <w:sz w:val="32"/>
          <w:szCs w:val="32"/>
          <w:highlight w:val="none"/>
          <w:lang w:val="en-US" w:eastAsia="zh-CN" w:bidi="ar-SA"/>
        </w:rPr>
      </w:pPr>
    </w:p>
    <w:p>
      <w:pPr>
        <w:pStyle w:val="2"/>
        <w:rPr>
          <w:rFonts w:hint="eastAsia" w:ascii="仿宋_GB2312" w:hAnsi="仿宋_GB2312" w:eastAsia="仿宋_GB2312" w:cs="仿宋_GB2312"/>
          <w:b w:val="0"/>
          <w:bCs w:val="0"/>
          <w:kern w:val="0"/>
          <w:position w:val="0"/>
          <w:sz w:val="32"/>
          <w:szCs w:val="32"/>
          <w:highlight w:val="none"/>
          <w:lang w:val="en-US" w:eastAsia="zh-CN" w:bidi="ar-SA"/>
        </w:rPr>
      </w:pPr>
    </w:p>
    <w:p>
      <w:pPr>
        <w:rPr>
          <w:rFonts w:hint="eastAsia" w:ascii="仿宋_GB2312" w:hAnsi="仿宋_GB2312" w:eastAsia="仿宋_GB2312" w:cs="仿宋_GB2312"/>
          <w:b w:val="0"/>
          <w:bCs w:val="0"/>
          <w:kern w:val="0"/>
          <w:position w:val="0"/>
          <w:sz w:val="32"/>
          <w:szCs w:val="32"/>
          <w:highlight w:val="none"/>
          <w:lang w:val="en-US" w:eastAsia="zh-CN" w:bidi="ar-SA"/>
        </w:rPr>
      </w:pPr>
    </w:p>
    <w:bookmarkEnd w:id="0"/>
    <w:p>
      <w:pPr>
        <w:pStyle w:val="2"/>
        <w:ind w:left="0" w:leftChars="0" w:firstLine="0" w:firstLineChars="0"/>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
    <w:altName w:val="AR PL UKai C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AR PL UKai CN">
    <w:panose1 w:val="02000503000000000000"/>
    <w:charset w:val="86"/>
    <w:family w:val="auto"/>
    <w:pitch w:val="default"/>
    <w:sig w:usb0="A00002FF" w:usb1="3ACFFDFF" w:usb2="00000036" w:usb3="00000000" w:csb0="2016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F24EA6"/>
    <w:multiLevelType w:val="singleLevel"/>
    <w:tmpl w:val="97F24EA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F3B48"/>
    <w:rsid w:val="03CA1FAF"/>
    <w:rsid w:val="045F6A9C"/>
    <w:rsid w:val="07C531B9"/>
    <w:rsid w:val="080D690E"/>
    <w:rsid w:val="0D656AF9"/>
    <w:rsid w:val="1B9848A7"/>
    <w:rsid w:val="1CA218C3"/>
    <w:rsid w:val="1E0E1F4E"/>
    <w:rsid w:val="1FA3607E"/>
    <w:rsid w:val="1FDFF96A"/>
    <w:rsid w:val="26A5448A"/>
    <w:rsid w:val="27B3D84E"/>
    <w:rsid w:val="30823A8E"/>
    <w:rsid w:val="36321E4C"/>
    <w:rsid w:val="3708262B"/>
    <w:rsid w:val="3CFD9B93"/>
    <w:rsid w:val="44472BCC"/>
    <w:rsid w:val="449E078A"/>
    <w:rsid w:val="537E1A3B"/>
    <w:rsid w:val="550D12C8"/>
    <w:rsid w:val="5CD050B5"/>
    <w:rsid w:val="5D07484F"/>
    <w:rsid w:val="61761FA3"/>
    <w:rsid w:val="624E2AD0"/>
    <w:rsid w:val="63C45248"/>
    <w:rsid w:val="68404BC1"/>
    <w:rsid w:val="68AA0EB0"/>
    <w:rsid w:val="6BA630CD"/>
    <w:rsid w:val="73BF99F7"/>
    <w:rsid w:val="7BA33888"/>
    <w:rsid w:val="7BFFFC7E"/>
    <w:rsid w:val="7F606315"/>
    <w:rsid w:val="7FEFAA61"/>
    <w:rsid w:val="9CFEFACB"/>
    <w:rsid w:val="BAEEE49E"/>
    <w:rsid w:val="BBE5D422"/>
    <w:rsid w:val="E3FFF812"/>
    <w:rsid w:val="ED9FDCE3"/>
    <w:rsid w:val="EEB7B9EE"/>
    <w:rsid w:val="EF4F0E76"/>
    <w:rsid w:val="F4574A39"/>
    <w:rsid w:val="F7FB5CC1"/>
    <w:rsid w:val="FFDA56EB"/>
    <w:rsid w:val="FFF54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spacing w:before="100" w:beforeAutospacing="1" w:after="100" w:afterAutospacing="1"/>
      <w:ind w:left="200" w:leftChars="200" w:hanging="200" w:hangingChars="200"/>
    </w:pPr>
    <w:rPr>
      <w:sz w:val="20"/>
      <w:szCs w:val="21"/>
    </w:rPr>
  </w:style>
  <w:style w:type="paragraph" w:styleId="3">
    <w:name w:val="Body Text"/>
    <w:basedOn w:val="1"/>
    <w:qFormat/>
    <w:uiPriority w:val="99"/>
    <w:pPr>
      <w:widowControl/>
      <w:tabs>
        <w:tab w:val="left" w:pos="2160"/>
      </w:tabs>
      <w:spacing w:line="480" w:lineRule="auto"/>
      <w:jc w:val="left"/>
    </w:pPr>
    <w:rPr>
      <w:rFonts w:ascii="Times New Roman" w:eastAsia="黑体"/>
      <w:kern w:val="0"/>
      <w:position w:val="3"/>
      <w:sz w:val="20"/>
      <w:szCs w:val="20"/>
      <w:lang w:eastAsia="en-US"/>
    </w:rPr>
  </w:style>
  <w:style w:type="paragraph" w:customStyle="1" w:styleId="6">
    <w:name w:val="四号正文"/>
    <w:basedOn w:val="1"/>
    <w:qFormat/>
    <w:uiPriority w:val="0"/>
    <w:pPr>
      <w:spacing w:line="360" w:lineRule="auto"/>
    </w:pPr>
    <w:rPr>
      <w:rFonts w:ascii="Times New Roman"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21953</Words>
  <Characters>22545</Characters>
  <Lines>0</Lines>
  <Paragraphs>0</Paragraphs>
  <TotalTime>20</TotalTime>
  <ScaleCrop>false</ScaleCrop>
  <LinksUpToDate>false</LinksUpToDate>
  <CharactersWithSpaces>22711</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2026-08-18T17:35:00Z</dcterms:created>
  <dc:creator>Administrator</dc:creator>
  <cp:lastModifiedBy>user</cp:lastModifiedBy>
  <dcterms:modified xsi:type="dcterms:W3CDTF">2026-10-13T09:58:41Z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KSOTemplateDocerSaveRecord">
    <vt:lpwstr>eyJoZGlkIjoiZTM5NDg5MDE1MTMzOGQ2NGViN2NiNzNlOTEwY2EyYWYiLCJ1c2VySWQiOiI2NTcwNzg4MjUifQ==</vt:lpwstr>
  </property>
  <property fmtid="{D5CDD505-2E9C-101B-9397-08002B2CF9AE}" pid="4" name="ICV">
    <vt:lpwstr>4D2DDA9CC15348DF853F099E8515FADC_12</vt:lpwstr>
  </property>
</Properties>
</file>