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578" w:lineRule="exact"/>
        <w:contextualSpacing/>
        <w:jc w:val="left"/>
        <w:rPr>
          <w:rFonts w:ascii="仿宋_GB2312"/>
          <w:szCs w:val="32"/>
          <w:lang w:val="en-US" w:eastAsia="zh-CN"/>
        </w:rPr>
      </w:pPr>
      <w:r>
        <w:rPr>
          <w:rFonts w:hint="eastAsia" w:ascii="仿宋_GB2312"/>
          <w:szCs w:val="32"/>
          <w:lang w:val="en-US" w:eastAsia="zh-CN"/>
        </w:rPr>
        <w:t>附件：1-2</w:t>
      </w:r>
    </w:p>
    <w:p>
      <w:pPr>
        <w:pStyle w:val="2"/>
        <w:ind w:left="0" w:leftChars="0" w:firstLine="0" w:firstLineChars="0"/>
        <w:rPr>
          <w:lang w:val="en-US" w:eastAsia="zh-CN"/>
        </w:rPr>
      </w:pPr>
      <w:r>
        <w:rPr>
          <w:rFonts w:hint="eastAsia" w:ascii="仿宋_GB2312"/>
          <w:szCs w:val="32"/>
          <w:lang w:val="en-US" w:eastAsia="zh-CN"/>
        </w:rPr>
        <w:t xml:space="preserve">                                                                                                                                                                                                                                                                                                                                                                                                                                                                                                                                                                                                                                                                                                                                                                                                                                                                                                                                                                                                                                                                                                                                                                                                                                                                                                                                                                                                                                                                                                                                                                                                                                                                                                                                                                                                                                                        </w:t>
      </w:r>
    </w:p>
    <w:p>
      <w:pPr>
        <w:widowControl/>
        <w:spacing w:line="578" w:lineRule="exact"/>
        <w:contextualSpacing/>
        <w:jc w:val="center"/>
        <w:rPr>
          <w:rFonts w:ascii="方正小标宋_GBK" w:eastAsia="方正小标宋_GBK" w:cs="方正小标宋_GBK"/>
          <w:bCs/>
          <w:sz w:val="44"/>
          <w:szCs w:val="44"/>
          <w:shd w:val="clear" w:color="auto" w:fill="FFFFFF"/>
        </w:rPr>
      </w:pPr>
      <w:r>
        <w:rPr>
          <w:rFonts w:hint="eastAsia" w:ascii="方正小标宋_GBK" w:eastAsia="方正小标宋_GBK" w:cs="方正小标宋_GBK"/>
          <w:bCs/>
          <w:sz w:val="44"/>
          <w:szCs w:val="44"/>
          <w:shd w:val="clear" w:color="auto" w:fill="FFFFFF"/>
        </w:rPr>
        <w:t>中共黑水县委社会工作部</w:t>
      </w:r>
    </w:p>
    <w:p>
      <w:pPr>
        <w:widowControl/>
        <w:spacing w:line="578" w:lineRule="exact"/>
        <w:contextualSpacing/>
        <w:jc w:val="center"/>
        <w:rPr>
          <w:rFonts w:hint="eastAsia" w:ascii="方正小标宋_GBK" w:eastAsia="方正小标宋_GBK" w:cs="方正小标宋_GBK"/>
          <w:bCs/>
          <w:sz w:val="44"/>
          <w:szCs w:val="44"/>
          <w:shd w:val="clear" w:color="auto" w:fill="FFFFFF"/>
          <w:lang w:val="en-US" w:eastAsia="zh-CN"/>
        </w:rPr>
      </w:pPr>
      <w:r>
        <w:rPr>
          <w:rFonts w:hint="eastAsia" w:ascii="方正小标宋_GBK" w:eastAsia="方正小标宋_GBK" w:cs="方正小标宋_GBK"/>
          <w:bCs/>
          <w:sz w:val="44"/>
          <w:szCs w:val="44"/>
          <w:shd w:val="clear" w:color="auto" w:fill="FFFFFF"/>
          <w:lang w:val="en-US" w:eastAsia="zh-CN"/>
        </w:rPr>
        <w:t>2025年度部门整体支出绩效评价报告</w:t>
      </w:r>
    </w:p>
    <w:p>
      <w:pPr>
        <w:widowControl/>
        <w:spacing w:line="578" w:lineRule="exact"/>
        <w:contextualSpacing/>
        <w:jc w:val="center"/>
        <w:rPr>
          <w:szCs w:val="32"/>
          <w:shd w:val="clear" w:color="auto" w:fill="FFFFFF"/>
        </w:rPr>
      </w:pPr>
      <w:r>
        <w:rPr>
          <w:szCs w:val="32"/>
          <w:shd w:val="clear" w:color="auto" w:fill="FFFFFF"/>
        </w:rPr>
        <w:t>（报告范围包括机关和下属单位）</w:t>
      </w:r>
    </w:p>
    <w:p>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pPr>
        <w:widowControl/>
        <w:adjustRightInd w:val="0"/>
        <w:snapToGrid w:val="0"/>
        <w:spacing w:line="578" w:lineRule="exact"/>
        <w:ind w:firstLine="640" w:firstLineChars="200"/>
        <w:contextualSpacing/>
        <w:jc w:val="left"/>
        <w:rPr>
          <w:szCs w:val="32"/>
        </w:rPr>
      </w:pPr>
      <w:r>
        <w:rPr>
          <w:rFonts w:eastAsia="黑体"/>
          <w:color w:val="000000"/>
          <w:kern w:val="0"/>
          <w:szCs w:val="32"/>
          <w:shd w:val="clear" w:color="auto" w:fill="FFFFFF"/>
          <w:lang w:val="zh-CN"/>
        </w:rPr>
        <w:t>一、部门（单位）基本情况</w:t>
      </w:r>
    </w:p>
    <w:p>
      <w:pPr>
        <w:widowControl/>
        <w:adjustRightInd w:val="0"/>
        <w:snapToGrid w:val="0"/>
        <w:spacing w:line="578" w:lineRule="exact"/>
        <w:ind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（一）机构组成。</w:t>
      </w:r>
    </w:p>
    <w:p>
      <w:pPr>
        <w:widowControl/>
        <w:adjustRightInd w:val="0"/>
        <w:snapToGrid w:val="0"/>
        <w:spacing w:line="578" w:lineRule="exact"/>
        <w:ind w:firstLine="640" w:firstLineChars="200"/>
        <w:contextualSpacing/>
        <w:jc w:val="left"/>
      </w:pPr>
      <w:r>
        <w:rPr>
          <w:rFonts w:hint="eastAsia" w:ascii="仿宋_GB2312"/>
          <w:szCs w:val="32"/>
        </w:rPr>
        <w:t>本单位是汇总单位，一级预算单位，汇总2个单位，包括：中共黑水县委社会工作部（行政），信访接待中心（事业）单位本年度纳入本套决算编制范围的独立编制机构数共2个，比上年增加0个；独立核算机构数共2个，比上年增加0个。</w:t>
      </w:r>
    </w:p>
    <w:p>
      <w:pPr>
        <w:snapToGrid w:val="0"/>
        <w:spacing w:line="520" w:lineRule="exact"/>
        <w:ind w:firstLine="642" w:firstLineChars="200"/>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（二）机构职能。</w:t>
      </w:r>
    </w:p>
    <w:p>
      <w:pPr>
        <w:snapToGrid w:val="0"/>
        <w:spacing w:line="520" w:lineRule="exact"/>
        <w:ind w:firstLine="640" w:firstLineChars="200"/>
        <w:rPr>
          <w:rFonts w:ascii="仿宋_GB2312"/>
          <w:szCs w:val="32"/>
        </w:rPr>
      </w:pPr>
      <w:r>
        <w:rPr>
          <w:rFonts w:hint="eastAsia" w:ascii="仿宋_GB2312"/>
          <w:szCs w:val="32"/>
        </w:rPr>
        <w:t>（1）贯彻执行相关地方性法规及规范性文件，研究相关理论、政策和规划。深入调查研究，及时向县委报告工作情况并提出建议。</w:t>
      </w:r>
    </w:p>
    <w:p>
      <w:pPr>
        <w:snapToGrid w:val="0"/>
        <w:spacing w:line="520" w:lineRule="exact"/>
        <w:ind w:firstLine="640" w:firstLineChars="200"/>
        <w:rPr>
          <w:rFonts w:ascii="仿宋_GB2312"/>
          <w:szCs w:val="32"/>
        </w:rPr>
      </w:pPr>
      <w:r>
        <w:rPr>
          <w:rFonts w:hint="eastAsia" w:ascii="仿宋_GB2312"/>
          <w:szCs w:val="32"/>
        </w:rPr>
        <w:t>（2）统筹推进党建引领基层治理和基层政权建设，协调推进城乡社区治理体系、服务体系和治理能力建设，推动基层民主政治建设，指导监督基层群众自治制度的有效实施，健全基层群众自治机制。</w:t>
      </w:r>
    </w:p>
    <w:p>
      <w:pPr>
        <w:snapToGrid w:val="0"/>
        <w:spacing w:line="520" w:lineRule="exact"/>
        <w:ind w:firstLine="640" w:firstLineChars="200"/>
        <w:rPr>
          <w:rFonts w:ascii="仿宋_GB2312"/>
          <w:szCs w:val="32"/>
        </w:rPr>
      </w:pPr>
      <w:r>
        <w:rPr>
          <w:rFonts w:hint="eastAsia" w:ascii="仿宋_GB2312"/>
          <w:szCs w:val="32"/>
        </w:rPr>
        <w:t>（3）指导全县性社会组织党建工作，统一领导全县性行业协会商会党的工作，承办全县性行业协会商会负责人人选的审核。协调推动全县行业协会商会深化改革和转型发展，调查研究相关重大问题。</w:t>
      </w:r>
    </w:p>
    <w:p>
      <w:pPr>
        <w:snapToGrid w:val="0"/>
        <w:spacing w:line="520" w:lineRule="exact"/>
        <w:ind w:firstLine="640" w:firstLineChars="200"/>
        <w:rPr>
          <w:rFonts w:ascii="仿宋_GB2312"/>
          <w:szCs w:val="32"/>
        </w:rPr>
      </w:pPr>
      <w:r>
        <w:rPr>
          <w:rFonts w:hint="eastAsia" w:ascii="仿宋_GB2312"/>
          <w:szCs w:val="32"/>
        </w:rPr>
        <w:t>（4）指导、推动落实全县混合所有制企业、非公有制企业和新经济组织、新社会组织、新就业群体(以下简称“两企三新”)党建工作，指导协调相关企业单位、社会组织、就业群体中党员的教育、管理、监督和服务工作，研究完善相关领域群众利益协调机制。</w:t>
      </w:r>
    </w:p>
    <w:p>
      <w:pPr>
        <w:snapToGrid w:val="0"/>
        <w:spacing w:line="520" w:lineRule="exact"/>
        <w:ind w:firstLine="640" w:firstLineChars="200"/>
        <w:rPr>
          <w:rFonts w:ascii="仿宋_GB2312"/>
          <w:szCs w:val="32"/>
        </w:rPr>
      </w:pPr>
      <w:r>
        <w:rPr>
          <w:rFonts w:hint="eastAsia" w:ascii="仿宋_GB2312"/>
          <w:szCs w:val="32"/>
        </w:rPr>
        <w:t>（5）负责全县志愿服务工作的统筹规划、协调指导、督促检查，指导推动社会工作人才队伍建设、志愿服务人才队伍建设和阵地建设，以及志愿者服务组织的规范管理工作，协调推动社会工作服务体系和志愿服务体系建设。</w:t>
      </w:r>
    </w:p>
    <w:p>
      <w:pPr>
        <w:snapToGrid w:val="0"/>
        <w:spacing w:line="520" w:lineRule="exact"/>
        <w:ind w:firstLine="640" w:firstLineChars="200"/>
        <w:rPr>
          <w:rFonts w:ascii="仿宋_GB2312"/>
          <w:szCs w:val="32"/>
        </w:rPr>
      </w:pPr>
      <w:r>
        <w:rPr>
          <w:rFonts w:hint="eastAsia" w:ascii="仿宋_GB2312"/>
          <w:szCs w:val="32"/>
        </w:rPr>
        <w:t xml:space="preserve">（6）负责向县委、县政府反映来信来电来访中提出的重要建议、意见和问题，综合研判信访信息，开展调查研究，提出相关建议。负责处理县内外群众、境外人士、法人及其他组织通过信访渠道给县委、县政府及领导同志提出的来信来电，接待来访。 </w:t>
      </w:r>
    </w:p>
    <w:p>
      <w:pPr>
        <w:snapToGrid w:val="0"/>
        <w:spacing w:line="520" w:lineRule="exact"/>
        <w:ind w:firstLine="640" w:firstLineChars="200"/>
        <w:rPr>
          <w:rFonts w:ascii="仿宋_GB2312"/>
          <w:szCs w:val="32"/>
        </w:rPr>
      </w:pPr>
      <w:r>
        <w:rPr>
          <w:rFonts w:hint="eastAsia" w:ascii="仿宋_GB2312"/>
          <w:szCs w:val="32"/>
        </w:rPr>
        <w:t>（7）承办上级和县委、县政府等领导机关交办的信访事项，向各乡镇和县级各部门（单位）交办、转送信访事项，检查督促信访事项的办理。指导、处置群众进京到省到州集体上访、非接待场所上访和跨地区、跨部门的重要信访问题。</w:t>
      </w:r>
    </w:p>
    <w:p>
      <w:pPr>
        <w:snapToGrid w:val="0"/>
        <w:spacing w:line="520" w:lineRule="exact"/>
        <w:ind w:firstLine="640" w:firstLineChars="200"/>
        <w:rPr>
          <w:rFonts w:eastAsia="楷体_GB2312"/>
          <w:b/>
          <w:bCs/>
          <w:color w:val="000000"/>
          <w:kern w:val="0"/>
          <w:szCs w:val="32"/>
          <w:shd w:val="clear" w:color="auto" w:fill="FFFFFF"/>
          <w:lang w:val="zh-CN"/>
        </w:rPr>
      </w:pPr>
      <w:r>
        <w:rPr>
          <w:rFonts w:hint="eastAsia" w:ascii="仿宋_GB2312"/>
          <w:szCs w:val="32"/>
        </w:rPr>
        <w:t>（8）完成县委、县政府交办的其他任务。</w:t>
      </w:r>
    </w:p>
    <w:p>
      <w:pPr>
        <w:spacing w:line="578" w:lineRule="exact"/>
        <w:ind w:firstLine="642" w:firstLineChars="200"/>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（三）人员概况。</w:t>
      </w:r>
    </w:p>
    <w:p>
      <w:pPr>
        <w:pStyle w:val="28"/>
        <w:rPr>
          <w:rFonts w:ascii="仿宋_GB2312" w:eastAsia="仿宋_GB2312"/>
          <w:szCs w:val="32"/>
        </w:rPr>
      </w:pPr>
      <w:r>
        <w:rPr>
          <w:rFonts w:hint="eastAsia" w:ascii="仿宋_GB2312" w:eastAsia="仿宋_GB2312"/>
          <w:szCs w:val="32"/>
        </w:rPr>
        <w:t>截至2025年末，本年度年末实有人数为18人，比上年增加3人；其中：行政10人，包括公务员10人，工勤人员2人；事业人员6人，年末实有离退休人数为0人，比上年增加0人；年末实有其他人数为0人，比上年增加0人。</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二、部门资金收支情况</w:t>
      </w:r>
    </w:p>
    <w:p>
      <w:pPr>
        <w:widowControl/>
        <w:adjustRightInd w:val="0"/>
        <w:snapToGrid w:val="0"/>
        <w:spacing w:line="578" w:lineRule="exact"/>
        <w:ind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（一）收入情况。</w:t>
      </w:r>
    </w:p>
    <w:p>
      <w:pPr>
        <w:widowControl/>
        <w:adjustRightInd w:val="0"/>
        <w:snapToGrid w:val="0"/>
        <w:spacing w:line="578" w:lineRule="exact"/>
        <w:ind w:firstLine="640" w:firstLineChars="200"/>
        <w:contextualSpacing/>
        <w:jc w:val="left"/>
      </w:pPr>
      <w:r>
        <w:rPr>
          <w:rFonts w:ascii="仿宋_GB2312"/>
          <w:szCs w:val="32"/>
        </w:rPr>
        <w:t>202</w:t>
      </w:r>
      <w:r>
        <w:rPr>
          <w:rFonts w:hint="eastAsia" w:ascii="仿宋_GB2312"/>
          <w:szCs w:val="32"/>
        </w:rPr>
        <w:t>5</w:t>
      </w:r>
      <w:r>
        <w:rPr>
          <w:rFonts w:ascii="仿宋_GB2312"/>
          <w:szCs w:val="32"/>
        </w:rPr>
        <w:t>年</w:t>
      </w:r>
      <w:r>
        <w:rPr>
          <w:rFonts w:hint="eastAsia" w:ascii="仿宋_GB2312"/>
          <w:szCs w:val="32"/>
        </w:rPr>
        <w:t>年初预算数为330.39万元；本年度支出的年初预算数为330.39万元。本年度收入全年预算数为517.51万元，收入决算数为517.51万元，预算完成度为100.00%。本年度支出全年预算数为517.51万元，支出决算数为517.51万元，预算完成度为100.00%。</w:t>
      </w:r>
    </w:p>
    <w:p>
      <w:pPr>
        <w:widowControl/>
        <w:numPr>
          <w:ilvl w:val="0"/>
          <w:numId w:val="1"/>
        </w:numPr>
        <w:adjustRightInd w:val="0"/>
        <w:snapToGrid w:val="0"/>
        <w:spacing w:line="578" w:lineRule="exact"/>
        <w:ind w:left="0"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支出情况。</w:t>
      </w:r>
    </w:p>
    <w:p>
      <w:pPr>
        <w:widowControl/>
        <w:adjustRightInd w:val="0"/>
        <w:snapToGrid w:val="0"/>
        <w:spacing w:line="578" w:lineRule="exact"/>
        <w:ind w:firstLine="640" w:firstLineChars="200"/>
        <w:contextualSpacing/>
        <w:jc w:val="left"/>
        <w:rPr>
          <w:lang w:val="zh-CN"/>
        </w:rPr>
      </w:pPr>
      <w:r>
        <w:rPr>
          <w:rFonts w:hint="eastAsia" w:ascii="仿宋_GB2312"/>
          <w:szCs w:val="32"/>
        </w:rPr>
        <w:t>本单位本年度</w:t>
      </w:r>
      <w:r>
        <w:rPr>
          <w:rFonts w:ascii="仿宋_GB2312"/>
          <w:szCs w:val="32"/>
        </w:rPr>
        <w:t>年初预算</w:t>
      </w:r>
      <w:r>
        <w:rPr>
          <w:rFonts w:hint="eastAsia" w:ascii="仿宋_GB2312"/>
          <w:szCs w:val="32"/>
        </w:rPr>
        <w:t>支出为330.39万元。其中：一般公共服务支出为233.45万元，占比70.67%；社会保障和就业支出为50.83万元，占比15.38%；卫生健康支出为18.48万元，占比5.59%；住房保障支出为27.63万元，占比8.36%。</w:t>
      </w:r>
    </w:p>
    <w:p>
      <w:pPr>
        <w:widowControl/>
        <w:adjustRightInd w:val="0"/>
        <w:snapToGrid w:val="0"/>
        <w:spacing w:line="578" w:lineRule="exact"/>
        <w:ind w:firstLine="640" w:firstLineChars="200"/>
        <w:contextualSpacing/>
        <w:jc w:val="left"/>
        <w:rPr>
          <w:rFonts w:ascii="仿宋_GB2312"/>
          <w:szCs w:val="32"/>
        </w:rPr>
      </w:pPr>
      <w:r>
        <w:rPr>
          <w:rFonts w:hint="eastAsia" w:ascii="仿宋_GB2312"/>
          <w:szCs w:val="32"/>
        </w:rPr>
        <w:t>本单位本年度</w:t>
      </w:r>
      <w:r>
        <w:rPr>
          <w:rFonts w:ascii="仿宋_GB2312"/>
          <w:szCs w:val="32"/>
        </w:rPr>
        <w:t>决算</w:t>
      </w:r>
      <w:r>
        <w:rPr>
          <w:rFonts w:hint="eastAsia" w:ascii="仿宋_GB2312"/>
          <w:szCs w:val="32"/>
        </w:rPr>
        <w:t>支出为517.51万元。其中：一般公共服务支出为413.58万元，占比79.92%；社会保障和就业支出为54.02万元，占比10.44%；卫生健康支出为20.50万元，占比3.96%；住房保障支出为29.41万元，占比5.68%。</w:t>
      </w:r>
    </w:p>
    <w:p>
      <w:pPr>
        <w:spacing w:line="560" w:lineRule="exact"/>
        <w:ind w:firstLine="642" w:firstLineChars="200"/>
        <w:rPr>
          <w:rFonts w:ascii="楷体_GB2312" w:eastAsia="楷体_GB2312" w:cs="楷体_GB2312"/>
          <w:b/>
          <w:bCs/>
          <w:szCs w:val="32"/>
        </w:rPr>
      </w:pPr>
      <w:r>
        <w:rPr>
          <w:rFonts w:hint="eastAsia" w:ascii="楷体_GB2312" w:eastAsia="楷体_GB2312" w:cs="楷体_GB2312"/>
          <w:b/>
          <w:bCs/>
          <w:szCs w:val="32"/>
        </w:rPr>
        <w:t>（一）强化政治引领与理论武装，筑牢干事创业思想根基</w:t>
      </w:r>
    </w:p>
    <w:p>
      <w:pPr>
        <w:spacing w:line="560" w:lineRule="exact"/>
        <w:ind w:firstLine="640" w:firstLineChars="200"/>
        <w:rPr>
          <w:rFonts w:ascii="仿宋_GB2312" w:cs="仿宋_GB2312"/>
          <w:szCs w:val="32"/>
        </w:rPr>
      </w:pPr>
      <w:r>
        <w:rPr>
          <w:rFonts w:hint="eastAsia" w:ascii="仿宋_GB2312" w:cs="仿宋_GB2312"/>
          <w:szCs w:val="32"/>
        </w:rPr>
        <w:t>2025年，我部始终坚持将党的政治建设摆在首位，持续深化理论武装，确保社会工作与信访工作始终沿着正确的政治方向前进。</w:t>
      </w:r>
    </w:p>
    <w:p>
      <w:pPr>
        <w:spacing w:line="560" w:lineRule="exact"/>
        <w:ind w:firstLine="642" w:firstLineChars="200"/>
        <w:rPr>
          <w:rFonts w:ascii="仿宋_GB2312" w:cs="仿宋_GB2312"/>
          <w:szCs w:val="32"/>
        </w:rPr>
      </w:pPr>
      <w:r>
        <w:rPr>
          <w:rFonts w:hint="eastAsia" w:ascii="仿宋_GB2312" w:cs="仿宋_GB2312"/>
          <w:b/>
          <w:bCs/>
          <w:szCs w:val="32"/>
        </w:rPr>
        <w:t>一是强化思想政治建设，筑牢理论根基。</w:t>
      </w:r>
      <w:r>
        <w:rPr>
          <w:rFonts w:hint="eastAsia" w:ascii="仿宋_GB2312" w:cs="仿宋_GB2312"/>
          <w:szCs w:val="32"/>
        </w:rPr>
        <w:t>坚持把学习贯彻习近平新时代中国特色社会主义思想作为首要政治任务，严格落实“第一议题”与理论学习中心组制度，深入学习党的二十大及系列全会精神，贯彻习近平总书记对四川、阿坝工作的重要指示及关于社会工作、信访工作的重要论述，认真学习领会省委十二届七次全会、州委十二届七次全会和县委十四届九次全会精神，全年组织理论学习中心组学习5次、会前学纪学法12次，举办高质量集中学习研讨5次。推动全体干部读原著、学原文、悟原理，不断提高政治判断力、政治领悟力、政治执行力，切实把学习成果转化为推动黑水社会工作和信访事业发展的实际成效。</w:t>
      </w:r>
    </w:p>
    <w:p>
      <w:pPr>
        <w:widowControl/>
        <w:ind w:firstLine="642" w:firstLineChars="200"/>
        <w:jc w:val="left"/>
        <w:rPr>
          <w:rFonts w:ascii="仿宋_GB2312" w:cs="仿宋_GB2312"/>
          <w:szCs w:val="32"/>
        </w:rPr>
      </w:pPr>
      <w:r>
        <w:rPr>
          <w:rFonts w:hint="eastAsia" w:ascii="仿宋_GB2312" w:cs="仿宋_GB2312"/>
          <w:b/>
          <w:bCs/>
          <w:szCs w:val="32"/>
        </w:rPr>
        <w:t>二是压实全面从严治党主体责任，强化组织保障。</w:t>
      </w:r>
      <w:r>
        <w:rPr>
          <w:rFonts w:hint="eastAsia" w:ascii="仿宋_GB2312" w:cs="仿宋_GB2312"/>
          <w:szCs w:val="32"/>
        </w:rPr>
        <w:t>严格落实全面从严治党主体责任，专题研究部署党风廉政和意识形态工作2次，开展季度分析研判报告3次，全覆盖谈心谈话1次。严格执行“三会一课”，深入开展三个意识教育活动，推动“三个意识”教育走深走实，实现入脑入心。加强意识形态阵地管理，定期排查风险，筑牢思想防线。强化党员干部日常教育管理监督，增强拒腐防变能力，着力打造政治坚定、业务精通、作风过硬、纪律严明的社会工作与信访干部队伍。</w:t>
      </w:r>
    </w:p>
    <w:p>
      <w:pPr>
        <w:spacing w:line="560" w:lineRule="exact"/>
        <w:ind w:firstLine="642" w:firstLineChars="200"/>
        <w:rPr>
          <w:rFonts w:ascii="仿宋_GB2312" w:cs="仿宋_GB2312"/>
          <w:szCs w:val="32"/>
        </w:rPr>
      </w:pPr>
      <w:r>
        <w:rPr>
          <w:rFonts w:hint="eastAsia" w:ascii="仿宋_GB2312" w:cs="仿宋_GB2312"/>
          <w:b/>
          <w:bCs/>
          <w:szCs w:val="32"/>
        </w:rPr>
        <w:t>三是深化纪律作风建设，推进问题整改到位。</w:t>
      </w:r>
      <w:r>
        <w:rPr>
          <w:rFonts w:hint="eastAsia" w:ascii="仿宋_GB2312" w:cs="仿宋_GB2312"/>
          <w:szCs w:val="32"/>
        </w:rPr>
        <w:t>常态化开展党纪法规和警示教育，严格执行《县委社会工作部深入贯彻中央八项规定精神学习教育任务计划》，组织全体党员干部对照“两个清单”共28项具体问题，全面开展个人自查、相互提醒、集体研判，深入查找思想认识、工作作风、廉洁自律等方面差距。班子成员共查摆问题7条，班子问题2条；针对县委“四不”问题专项整治要求，16名干部职工共查找问题71个，建立整改清单并实行销号管理，明确措施、时限与进展，确保问题整改到位。持续整治形式主义、官僚主义，推动作风建设常态长效。</w:t>
      </w:r>
    </w:p>
    <w:p>
      <w:pPr>
        <w:numPr>
          <w:ilvl w:val="0"/>
          <w:numId w:val="2"/>
        </w:numPr>
        <w:spacing w:line="560" w:lineRule="exact"/>
        <w:ind w:left="0" w:firstLine="642" w:firstLineChars="200"/>
        <w:rPr>
          <w:rFonts w:ascii="楷体_GB2312" w:eastAsia="楷体_GB2312" w:cs="楷体_GB2312"/>
          <w:b/>
          <w:bCs/>
          <w:szCs w:val="32"/>
        </w:rPr>
      </w:pPr>
      <w:r>
        <w:rPr>
          <w:rFonts w:hint="eastAsia" w:ascii="楷体_GB2312" w:eastAsia="楷体_GB2312" w:cs="楷体_GB2312"/>
          <w:b/>
          <w:bCs/>
          <w:szCs w:val="32"/>
        </w:rPr>
        <w:t>以“两个覆盖”为抓手，持续推动新兴领域党建工作提质增效</w:t>
      </w:r>
    </w:p>
    <w:p>
      <w:pPr>
        <w:spacing w:line="560" w:lineRule="exact"/>
        <w:ind w:firstLine="640" w:firstLineChars="200"/>
        <w:rPr>
          <w:rFonts w:ascii="仿宋_GB2312" w:cs="仿宋_GB2312"/>
          <w:szCs w:val="32"/>
        </w:rPr>
      </w:pPr>
      <w:r>
        <w:rPr>
          <w:rFonts w:hint="eastAsia" w:ascii="仿宋_GB2312" w:cs="仿宋_GB2312"/>
          <w:szCs w:val="32"/>
        </w:rPr>
        <w:t>2025年县委社会工作部坚持把扩大党组织和党的工作“两个覆盖”作为提升新兴领域党建质量的重要抓手，以严密组织体系激发治理活力，推动党的组织优势转化为发展优势。</w:t>
      </w:r>
    </w:p>
    <w:p>
      <w:pPr>
        <w:spacing w:line="560" w:lineRule="exact"/>
        <w:ind w:firstLine="642" w:firstLineChars="200"/>
        <w:rPr>
          <w:rFonts w:ascii="仿宋_GB2312" w:cs="仿宋_GB2312"/>
          <w:szCs w:val="32"/>
        </w:rPr>
      </w:pPr>
      <w:r>
        <w:rPr>
          <w:rFonts w:hint="eastAsia" w:ascii="仿宋_GB2312" w:cs="仿宋_GB2312"/>
          <w:b/>
          <w:bCs/>
          <w:szCs w:val="32"/>
        </w:rPr>
        <w:t>一是精准摸排，夯实工作基础。</w:t>
      </w:r>
      <w:r>
        <w:rPr>
          <w:rFonts w:hint="eastAsia" w:ascii="仿宋_GB2312" w:cs="仿宋_GB2312"/>
          <w:szCs w:val="32"/>
        </w:rPr>
        <w:t>严格落实州委部署，对标“三有”标准，组织力量开展全覆盖、多轮次摸底排查，全面掌握20家“三有”非公企业、35个社会组织及货车司机、快递员、网约配送员等新就业群体基本情况，厘清重点行业底数，分类建立动态管理台账，切实做到底数清、情况明。</w:t>
      </w:r>
    </w:p>
    <w:p>
      <w:pPr>
        <w:spacing w:line="560" w:lineRule="exact"/>
        <w:ind w:firstLine="642" w:firstLineChars="200"/>
        <w:rPr>
          <w:rFonts w:ascii="仿宋_GB2312" w:cs="仿宋_GB2312"/>
          <w:szCs w:val="32"/>
        </w:rPr>
      </w:pPr>
      <w:r>
        <w:rPr>
          <w:rFonts w:hint="eastAsia" w:ascii="仿宋_GB2312" w:cs="仿宋_GB2312"/>
          <w:b/>
          <w:bCs/>
          <w:szCs w:val="32"/>
        </w:rPr>
        <w:t>二是精准施策，提升覆盖质量。</w:t>
      </w:r>
      <w:r>
        <w:rPr>
          <w:rFonts w:hint="eastAsia" w:ascii="仿宋_GB2312" w:cs="仿宋_GB2312"/>
          <w:szCs w:val="32"/>
        </w:rPr>
        <w:t>优化调整“两新”工委成员单位至34个，健全《工委工作规则》，制定《2025年工作要点》通过召开党组织书记述职评议会、“两个覆盖”攻坚部署会，压紧压实管行业就要管党建责任。联动主管部门，细化“一企一策”，灵活运用单独组建、联合组建等方式，全力推动组织覆盖。全年新组建，智选人力、川藏旅游、均衡建设等3个“两新”党支部。</w:t>
      </w:r>
    </w:p>
    <w:p>
      <w:pPr>
        <w:spacing w:line="560" w:lineRule="exact"/>
        <w:ind w:firstLine="642" w:firstLineChars="200"/>
        <w:rPr>
          <w:rFonts w:ascii="仿宋_GB2312" w:cs="仿宋_GB2312"/>
          <w:szCs w:val="32"/>
        </w:rPr>
      </w:pPr>
      <w:r>
        <w:rPr>
          <w:rFonts w:hint="eastAsia" w:ascii="仿宋_GB2312" w:cs="仿宋_GB2312"/>
          <w:b/>
          <w:bCs/>
          <w:szCs w:val="32"/>
        </w:rPr>
        <w:t>三是精准指导，规范组织运行。</w:t>
      </w:r>
      <w:r>
        <w:rPr>
          <w:rFonts w:hint="eastAsia" w:ascii="仿宋_GB2312" w:cs="仿宋_GB2312"/>
          <w:szCs w:val="32"/>
        </w:rPr>
        <w:t>将理论学习与业务指导相结合，组织56名“两新”党员开展理论学习30余次，聚焦党组织生活不规范，作用发挥不充分，专题举办党建业务专题培训1次，举办2025年度新兴领域党员能力提升培训班1期，邀请成都理工大、品德社工专家团队和县党校教师专题授课，引导其用党的创新理论武装头脑、指导实践、推动工作。协同交通、住建和文广旅等行业党委，开展全覆盖督导走访4轮，现场反馈并督促整改问题25个，指导完成4个支部换届，新发展党员8名。落实9个支部“七一”活动经费9500元，保障党建活动务实有效。</w:t>
      </w:r>
    </w:p>
    <w:p>
      <w:pPr>
        <w:spacing w:line="560" w:lineRule="exact"/>
        <w:ind w:firstLine="642" w:firstLineChars="200"/>
        <w:rPr>
          <w:rFonts w:ascii="仿宋_GB2312" w:cs="仿宋_GB2312"/>
          <w:szCs w:val="32"/>
        </w:rPr>
      </w:pPr>
      <w:r>
        <w:rPr>
          <w:rFonts w:hint="eastAsia" w:ascii="仿宋_GB2312" w:cs="仿宋_GB2312"/>
          <w:b/>
          <w:bCs/>
          <w:szCs w:val="32"/>
        </w:rPr>
        <w:t>四是精准培育，健全保障机制。</w:t>
      </w:r>
      <w:r>
        <w:rPr>
          <w:rFonts w:hint="eastAsia" w:ascii="仿宋_GB2312" w:cs="仿宋_GB2312"/>
          <w:szCs w:val="32"/>
        </w:rPr>
        <w:t>严格对标标准化规范化建设要求，2025年重点培育黑水县宏运农村、宏达出租客运有限责任公司联合党支部等2个标准化建设示范点，以及三奥雪域泉水有限公司党支部等2个特色经验示范点，发挥典型引领作用；制定《黑水县新兴领域困难诉求摸排化解服务机制》，组建涵盖政策法规、权益维护、市场拓展、司法诉讼等领域的“两新”专家库（专家20名），并同步建立“两新”人才蓄水池，为诉求化解提供智力与人才支撑。</w:t>
      </w:r>
    </w:p>
    <w:p>
      <w:pPr>
        <w:spacing w:line="560" w:lineRule="exact"/>
        <w:ind w:firstLine="642" w:firstLineChars="200"/>
        <w:rPr>
          <w:rFonts w:ascii="仿宋_GB2312" w:cs="仿宋_GB2312"/>
          <w:szCs w:val="32"/>
        </w:rPr>
      </w:pPr>
      <w:r>
        <w:rPr>
          <w:rFonts w:hint="eastAsia" w:ascii="仿宋_GB2312" w:cs="仿宋_GB2312"/>
          <w:b/>
          <w:bCs/>
          <w:szCs w:val="32"/>
        </w:rPr>
        <w:t>五是精准服务，建强暖新阵地。</w:t>
      </w:r>
      <w:r>
        <w:rPr>
          <w:rFonts w:hint="eastAsia" w:ascii="仿宋_GB2312" w:cs="仿宋_GB2312"/>
          <w:szCs w:val="32"/>
        </w:rPr>
        <w:t>有效整合临街</w:t>
      </w:r>
      <w:r>
        <w:rPr>
          <w:rFonts w:hint="eastAsia" w:ascii="仿宋_GB2312" w:cs="仿宋_GB2312"/>
          <w:bCs/>
          <w:color w:val="000000"/>
          <w:szCs w:val="32"/>
        </w:rPr>
        <w:t>银行营业厅、环卫休息亭等现有资源</w:t>
      </w:r>
      <w:r>
        <w:rPr>
          <w:rFonts w:hint="eastAsia" w:ascii="仿宋_GB2312" w:cs="仿宋_GB2312"/>
          <w:szCs w:val="32"/>
        </w:rPr>
        <w:t>，因地制宜打造“1+9”“暖新之家”“暖新驿站”服务矩阵，为新就业群体提供歇脚饮水、政策咨询等多元化暖心服务，有效增强组织归属感和群体凝聚力。</w:t>
      </w:r>
    </w:p>
    <w:p>
      <w:pPr>
        <w:numPr>
          <w:ilvl w:val="0"/>
          <w:numId w:val="2"/>
        </w:numPr>
        <w:spacing w:line="560" w:lineRule="exact"/>
        <w:ind w:left="0" w:firstLine="642" w:firstLineChars="200"/>
        <w:rPr>
          <w:rFonts w:ascii="楷体_GB2312" w:eastAsia="楷体_GB2312" w:cs="楷体_GB2312"/>
          <w:b/>
          <w:bCs/>
          <w:szCs w:val="32"/>
        </w:rPr>
      </w:pPr>
      <w:r>
        <w:rPr>
          <w:rFonts w:hint="eastAsia" w:ascii="楷体_GB2312" w:eastAsia="楷体_GB2312" w:cs="楷体_GB2312"/>
          <w:b/>
          <w:bCs/>
          <w:szCs w:val="32"/>
        </w:rPr>
        <w:t>夯实党建引领基层治理与基层政权建设根基，提升基层治理效能</w:t>
      </w:r>
    </w:p>
    <w:p>
      <w:pPr>
        <w:pStyle w:val="28"/>
        <w:rPr>
          <w:rFonts w:ascii="仿宋_GB2312" w:eastAsia="仿宋_GB2312" w:cs="仿宋_GB2312"/>
          <w:szCs w:val="32"/>
        </w:rPr>
      </w:pPr>
      <w:r>
        <w:rPr>
          <w:rFonts w:hint="eastAsia" w:ascii="仿宋_GB2312" w:eastAsia="仿宋_GB2312" w:cs="仿宋_GB2312"/>
          <w:szCs w:val="32"/>
        </w:rPr>
        <w:t>县委社会工作部坚持系统谋划、整体推进，以强组织、优服务、重赋能为关键抓手，全面提升黑水基层治理现代化水平。</w:t>
      </w:r>
    </w:p>
    <w:p>
      <w:pPr>
        <w:spacing w:line="560" w:lineRule="exact"/>
        <w:ind w:firstLine="642" w:firstLineChars="200"/>
        <w:rPr>
          <w:rFonts w:ascii="仿宋_GB2312" w:cs="仿宋_GB2312"/>
          <w:szCs w:val="32"/>
        </w:rPr>
      </w:pPr>
      <w:r>
        <w:rPr>
          <w:rFonts w:hint="eastAsia" w:ascii="仿宋_GB2312" w:cs="仿宋_GB2312"/>
          <w:b/>
          <w:bCs/>
          <w:szCs w:val="32"/>
        </w:rPr>
        <w:t>一是强化党建引领，提升跨域服务与流动治理成效。</w:t>
      </w:r>
      <w:r>
        <w:rPr>
          <w:rFonts w:hint="eastAsia" w:ascii="仿宋_GB2312" w:cs="仿宋_GB2312"/>
          <w:szCs w:val="32"/>
        </w:rPr>
        <w:t>7月召开全县党建引领基层治理协调机制会，制发《黑水县党建引领基层治理协调机制2025年工作要点》，压实牵头部门职责，形成齐抓共管的格局；针对我县外出务工人员多的实际，为破解异地办事难题，构建“12345”服务管理机制，在都江堰市政务服务大厅设立“黑水县跨域通办”专窗，提供藏汉双语服务，梳理社保医保、户籍迁移等26项高频跨域事项，编制《黑水县跨域通办事项目录》，截至目前，“跨域通办”窗口累计受理各类政务服务事项500余件，按时办结率、群众满意度均达100%；以“微网实格”为抓手，依托“1+19”流动党员党支部和驻外党群服务中心，打造省内外融合联动的流动网格矩阵，管理服务外出务工人员2.2万余人，解决群众需求500余次。</w:t>
      </w:r>
    </w:p>
    <w:p>
      <w:pPr>
        <w:spacing w:line="560" w:lineRule="exact"/>
        <w:ind w:firstLine="642" w:firstLineChars="200"/>
        <w:rPr>
          <w:rFonts w:ascii="仿宋_GB2312" w:cs="仿宋_GB2312"/>
          <w:szCs w:val="32"/>
        </w:rPr>
      </w:pPr>
      <w:r>
        <w:rPr>
          <w:rFonts w:hint="eastAsia" w:ascii="仿宋_GB2312" w:cs="仿宋_GB2312"/>
          <w:b/>
          <w:bCs/>
          <w:szCs w:val="32"/>
        </w:rPr>
        <w:t>二是聚焦“小马拉大车”，全面推进基层效能提升与减负赋能。</w:t>
      </w:r>
      <w:r>
        <w:rPr>
          <w:rFonts w:hint="eastAsia" w:ascii="仿宋_GB2312" w:cs="仿宋_GB2312"/>
          <w:szCs w:val="32"/>
        </w:rPr>
        <w:t>为切实减轻基层工作负担，提升基层服务效能，以“轻车、减负、赋能”为抓手，进一步厘清权责边界，今年以来各乡镇平均梳理凝练履职事项265项（含基本履职事项113项、配合履职事项102项、上级部门收回事项50项）；全面优化15个乡镇一体化政务服务平台基础配置，健全县、乡、村三级网上政务服务体系，受理办结政务服务事项620件，实现基层线上阵地全覆盖；整治“指尖上的形式主义”，清理解散网络群组28个，关停微信小程序1个、政务公众号4个，进一步规范网络群组和政务公众号的使用；持续开展村级挂牌清理“回头看”，统一规范外部挂牌“一横四竖一标识”，针对部分村（社区）内部标识牌杂乱、上墙内容冗余、证明事项不规范等问题，坚持季度督查，强化反馈整改，严防反弹回潮，切实为基层减负松绑。</w:t>
      </w:r>
    </w:p>
    <w:p>
      <w:pPr>
        <w:spacing w:line="560" w:lineRule="exact"/>
        <w:ind w:firstLine="642" w:firstLineChars="200"/>
        <w:rPr>
          <w:rFonts w:ascii="仿宋_GB2312" w:cs="仿宋_GB2312"/>
          <w:szCs w:val="32"/>
        </w:rPr>
      </w:pPr>
      <w:r>
        <w:rPr>
          <w:rFonts w:hint="eastAsia" w:ascii="仿宋_GB2312" w:cs="仿宋_GB2312"/>
          <w:b/>
          <w:bCs/>
          <w:szCs w:val="32"/>
        </w:rPr>
        <w:t>三是协同发力抓实村级换届，夯实基层组织基础。</w:t>
      </w:r>
      <w:r>
        <w:rPr>
          <w:rFonts w:hint="eastAsia" w:ascii="仿宋_GB2312" w:cs="仿宋_GB2312"/>
          <w:szCs w:val="32"/>
        </w:rPr>
        <w:t>全面梳理上一轮村级换届相关资料，深化换届政策学习；会同组织部门全覆盖开展好村级换届调研，对重点村、难点村开展提级调研3次，对全县上一届各村的职数（含村委会主任和副主任的设置）进行数据统计分析，并运用成果对本届村“两委”职数设置提出了合理的建议意见；启动换届试点工作以来，多次赴维古乡会商村委会换届细节，明确各方责任，制定详尽流程图与时间表，确保环环相扣、压茬推进。同步对各村“两委”班子再次调查摸底，为确保换届工作“五个清楚”（班子现状、村情选情、重点难点、突出问题、群众诉求）奠定坚实基础。</w:t>
      </w:r>
    </w:p>
    <w:p>
      <w:pPr>
        <w:pStyle w:val="14"/>
        <w:widowControl/>
        <w:shd w:val="clear" w:color="auto" w:fill="FFFFFF"/>
        <w:ind w:firstLine="642" w:firstLineChars="200"/>
      </w:pPr>
      <w:r>
        <w:rPr>
          <w:rFonts w:hint="eastAsia" w:ascii="仿宋_GB2312" w:cs="仿宋_GB2312"/>
          <w:b/>
          <w:bCs/>
          <w:sz w:val="32"/>
          <w:szCs w:val="32"/>
        </w:rPr>
        <w:t>四是深化试点建设与队伍赋能，提升社区治理专业化水平。</w:t>
      </w:r>
      <w:r>
        <w:rPr>
          <w:rFonts w:ascii="仿宋_GB2312" w:cs="仿宋_GB2312"/>
          <w:sz w:val="32"/>
          <w:szCs w:val="32"/>
        </w:rPr>
        <w:t>深化城乡社区治理试点，形成水电移民安置社区治理方案，</w:t>
      </w:r>
      <w:r>
        <w:rPr>
          <w:rFonts w:hint="eastAsia" w:ascii="仿宋_GB2312" w:cs="仿宋_GB2312"/>
          <w:sz w:val="32"/>
          <w:szCs w:val="32"/>
        </w:rPr>
        <w:t>报省州审定；</w:t>
      </w:r>
      <w:r>
        <w:rPr>
          <w:rFonts w:ascii="仿宋_GB2312" w:cs="仿宋_GB2312"/>
          <w:sz w:val="32"/>
          <w:szCs w:val="32"/>
        </w:rPr>
        <w:t>完成“补短提能”项目基建</w:t>
      </w:r>
      <w:r>
        <w:rPr>
          <w:rFonts w:hint="eastAsia" w:ascii="仿宋_GB2312" w:cs="仿宋_GB2312"/>
          <w:sz w:val="32"/>
          <w:szCs w:val="32"/>
        </w:rPr>
        <w:t>，购买服务按合同有序推进，累计开展服务活动6期；结合黑水县社区工作实际，</w:t>
      </w:r>
      <w:r>
        <w:rPr>
          <w:rFonts w:ascii="仿宋_GB2312" w:cs="仿宋_GB2312"/>
          <w:sz w:val="32"/>
          <w:szCs w:val="32"/>
        </w:rPr>
        <w:t>招聘社区工作者7人</w:t>
      </w:r>
      <w:r>
        <w:rPr>
          <w:rFonts w:hint="eastAsia" w:ascii="仿宋_GB2312" w:cs="仿宋_GB2312"/>
          <w:sz w:val="32"/>
          <w:szCs w:val="32"/>
        </w:rPr>
        <w:t>，并完成初任培训</w:t>
      </w:r>
      <w:r>
        <w:rPr>
          <w:rFonts w:ascii="仿宋_GB2312" w:cs="仿宋_GB2312"/>
          <w:sz w:val="32"/>
          <w:szCs w:val="32"/>
        </w:rPr>
        <w:t>。</w:t>
      </w:r>
      <w:r>
        <w:rPr>
          <w:rFonts w:hint="eastAsia" w:ascii="仿宋_GB2312" w:cs="仿宋_GB2312"/>
          <w:sz w:val="32"/>
          <w:szCs w:val="32"/>
        </w:rPr>
        <w:t>统筹资源开展</w:t>
      </w:r>
      <w:r>
        <w:rPr>
          <w:rFonts w:ascii="仿宋_GB2312" w:cs="仿宋_GB2312"/>
          <w:sz w:val="32"/>
          <w:szCs w:val="32"/>
        </w:rPr>
        <w:t>社会工作者职业资格考</w:t>
      </w:r>
      <w:r>
        <w:rPr>
          <w:rFonts w:hint="eastAsia" w:ascii="仿宋_GB2312" w:cs="仿宋_GB2312"/>
          <w:sz w:val="32"/>
          <w:szCs w:val="32"/>
        </w:rPr>
        <w:t>前</w:t>
      </w:r>
      <w:r>
        <w:rPr>
          <w:rFonts w:ascii="仿宋_GB2312" w:cs="仿宋_GB2312"/>
          <w:sz w:val="32"/>
          <w:szCs w:val="32"/>
        </w:rPr>
        <w:t>培训，</w:t>
      </w:r>
      <w:r>
        <w:rPr>
          <w:rFonts w:hint="eastAsia" w:ascii="仿宋_GB2312" w:cs="仿宋_GB2312"/>
          <w:sz w:val="32"/>
          <w:szCs w:val="32"/>
        </w:rPr>
        <w:t>取得</w:t>
      </w:r>
      <w:r>
        <w:rPr>
          <w:rFonts w:ascii="仿宋_GB2312" w:cs="仿宋_GB2312"/>
          <w:sz w:val="32"/>
          <w:szCs w:val="32"/>
        </w:rPr>
        <w:t>108人报考10人</w:t>
      </w:r>
      <w:r>
        <w:rPr>
          <w:rFonts w:hint="eastAsia" w:ascii="仿宋_GB2312" w:cs="仿宋_GB2312"/>
          <w:sz w:val="32"/>
          <w:szCs w:val="32"/>
        </w:rPr>
        <w:t>取得资格证的成果</w:t>
      </w:r>
      <w:r>
        <w:rPr>
          <w:rFonts w:ascii="仿宋_GB2312" w:cs="仿宋_GB2312"/>
          <w:sz w:val="32"/>
          <w:szCs w:val="32"/>
        </w:rPr>
        <w:t>，为社工队伍提升服务水平注入</w:t>
      </w:r>
      <w:r>
        <w:rPr>
          <w:rFonts w:hint="eastAsia" w:ascii="仿宋_GB2312" w:cs="仿宋_GB2312"/>
          <w:sz w:val="32"/>
          <w:szCs w:val="32"/>
        </w:rPr>
        <w:t>了</w:t>
      </w:r>
      <w:r>
        <w:rPr>
          <w:rFonts w:ascii="仿宋_GB2312" w:cs="仿宋_GB2312"/>
          <w:sz w:val="32"/>
          <w:szCs w:val="32"/>
        </w:rPr>
        <w:t>专业能力</w:t>
      </w:r>
      <w:r>
        <w:rPr>
          <w:rFonts w:hint="eastAsia" w:ascii="仿宋_GB2312" w:cs="仿宋_GB2312"/>
          <w:sz w:val="32"/>
          <w:szCs w:val="32"/>
        </w:rPr>
        <w:t>。</w:t>
      </w:r>
    </w:p>
    <w:p>
      <w:pPr>
        <w:numPr>
          <w:ilvl w:val="0"/>
          <w:numId w:val="2"/>
        </w:numPr>
        <w:spacing w:line="560" w:lineRule="exact"/>
        <w:ind w:left="0" w:firstLine="642" w:firstLineChars="200"/>
        <w:rPr>
          <w:rFonts w:ascii="楷体_GB2312" w:eastAsia="楷体_GB2312" w:cs="楷体_GB2312"/>
          <w:b/>
          <w:color w:val="000000"/>
          <w:szCs w:val="32"/>
        </w:rPr>
      </w:pPr>
      <w:r>
        <w:rPr>
          <w:rFonts w:hint="eastAsia" w:ascii="楷体_GB2312" w:eastAsia="楷体_GB2312" w:cs="楷体_GB2312"/>
          <w:b/>
          <w:color w:val="000000"/>
          <w:szCs w:val="32"/>
        </w:rPr>
        <w:t>聚力服务群众，统筹推进信访法治化与“社工+志愿服务”高质量发展</w:t>
      </w:r>
    </w:p>
    <w:p>
      <w:pPr>
        <w:pStyle w:val="28"/>
        <w:rPr>
          <w:rFonts w:ascii="仿宋_GB2312" w:eastAsia="仿宋_GB2312" w:cs="仿宋_GB2312"/>
          <w:szCs w:val="32"/>
        </w:rPr>
      </w:pPr>
      <w:r>
        <w:rPr>
          <w:rFonts w:hint="eastAsia" w:ascii="仿宋_GB2312" w:eastAsia="仿宋_GB2312" w:cs="仿宋_GB2312"/>
          <w:szCs w:val="32"/>
        </w:rPr>
        <w:t>严格落实《县委社会工作部统一领导县信访局有关事项的意见（试行）》，进一步畅通人民建议征集渠道，推动信访工作法治化、“社工+志愿服务”深度融合，不断提升服务质效和群众满意度。</w:t>
      </w:r>
    </w:p>
    <w:p>
      <w:pPr>
        <w:pStyle w:val="28"/>
        <w:rPr>
          <w:rFonts w:ascii="仿宋_GB2312" w:eastAsia="仿宋_GB2312" w:cs="仿宋_GB2312"/>
          <w:szCs w:val="32"/>
        </w:rPr>
      </w:pPr>
      <w:r>
        <w:rPr>
          <w:rFonts w:hint="eastAsia" w:ascii="仿宋_GB2312" w:eastAsia="仿宋_GB2312" w:cs="仿宋_GB2312"/>
          <w:b/>
          <w:bCs/>
          <w:szCs w:val="32"/>
        </w:rPr>
        <w:t>一是</w:t>
      </w:r>
      <w:r>
        <w:rPr>
          <w:rFonts w:ascii="仿宋_GB2312" w:eastAsia="仿宋_GB2312" w:cs="仿宋_GB2312"/>
          <w:b/>
          <w:bCs/>
          <w:szCs w:val="32"/>
        </w:rPr>
        <w:t>深入推进信访工作法治化与积案化解，提升治理效能。</w:t>
      </w:r>
      <w:r>
        <w:rPr>
          <w:rFonts w:hint="eastAsia" w:ascii="仿宋_GB2312" w:eastAsia="仿宋_GB2312" w:cs="仿宋_GB2312"/>
          <w:szCs w:val="32"/>
        </w:rPr>
        <w:t>县委社会工作部</w:t>
      </w:r>
      <w:r>
        <w:rPr>
          <w:rFonts w:ascii="仿宋_GB2312" w:eastAsia="仿宋_GB2312" w:cs="仿宋_GB2312"/>
          <w:szCs w:val="32"/>
        </w:rPr>
        <w:t>严格落实《信访工作条例》，制定实施年度法治化方案，通过线上线下相结合的方式开展宣传进社区、进乡村、进企业等活动，累计发放宣传资料160余份，接受群众咨询20余人次，有效引导群众依法、理性、有序信访</w:t>
      </w:r>
      <w:r>
        <w:rPr>
          <w:rFonts w:hint="eastAsia" w:ascii="仿宋_GB2312" w:eastAsia="仿宋_GB2312" w:cs="仿宋_GB2312"/>
          <w:szCs w:val="32"/>
        </w:rPr>
        <w:t>；</w:t>
      </w:r>
      <w:r>
        <w:rPr>
          <w:rFonts w:ascii="仿宋_GB2312" w:eastAsia="仿宋_GB2312" w:cs="仿宋_GB2312"/>
          <w:szCs w:val="32"/>
        </w:rPr>
        <w:t>指导乡镇和部门严格对照信访法治化“导引图”和工作指南规范办理流程，强化“双向规范”</w:t>
      </w:r>
      <w:r>
        <w:rPr>
          <w:rFonts w:hint="eastAsia" w:ascii="仿宋_GB2312" w:eastAsia="仿宋_GB2312" w:cs="仿宋_GB2312"/>
          <w:szCs w:val="32"/>
        </w:rPr>
        <w:t>；</w:t>
      </w:r>
      <w:r>
        <w:rPr>
          <w:rFonts w:ascii="仿宋_GB2312" w:eastAsia="仿宋_GB2312" w:cs="仿宋_GB2312"/>
          <w:szCs w:val="32"/>
        </w:rPr>
        <w:t>同时，聚力攻坚信访积案，坚持“实质性化解”导向，对州交办的2件信访积案实行县级领导包案，由县信联办牵头召开多部门协调会统筹资源、合力攻坚，超前完成化解任务，推动信访工作全面步入法治化轨道。</w:t>
      </w:r>
    </w:p>
    <w:p>
      <w:pPr>
        <w:pStyle w:val="14"/>
        <w:widowControl/>
        <w:shd w:val="clear" w:color="auto" w:fill="FFFFFF"/>
        <w:ind w:firstLine="642" w:firstLineChars="200"/>
        <w:rPr>
          <w:rFonts w:ascii="仿宋_GB2312" w:cs="仿宋_GB2312"/>
          <w:sz w:val="32"/>
          <w:szCs w:val="32"/>
        </w:rPr>
      </w:pPr>
      <w:r>
        <w:rPr>
          <w:rFonts w:hint="eastAsia" w:ascii="仿宋_GB2312" w:cs="仿宋_GB2312"/>
          <w:b/>
          <w:bCs/>
          <w:sz w:val="32"/>
          <w:szCs w:val="32"/>
        </w:rPr>
        <w:t>二</w:t>
      </w:r>
      <w:r>
        <w:rPr>
          <w:rFonts w:ascii="仿宋_GB2312" w:cs="仿宋_GB2312"/>
          <w:b/>
          <w:bCs/>
          <w:sz w:val="32"/>
          <w:szCs w:val="32"/>
        </w:rPr>
        <w:t>是依法规范办理信访事项</w:t>
      </w:r>
      <w:r>
        <w:rPr>
          <w:rFonts w:hint="eastAsia" w:ascii="仿宋_GB2312" w:cs="仿宋_GB2312"/>
          <w:b/>
          <w:bCs/>
          <w:sz w:val="32"/>
          <w:szCs w:val="32"/>
        </w:rPr>
        <w:t>，夯实</w:t>
      </w:r>
      <w:r>
        <w:rPr>
          <w:rFonts w:ascii="仿宋_GB2312" w:cs="仿宋_GB2312"/>
          <w:b/>
          <w:bCs/>
          <w:sz w:val="32"/>
          <w:szCs w:val="32"/>
        </w:rPr>
        <w:t>主责主业。</w:t>
      </w:r>
      <w:r>
        <w:rPr>
          <w:rFonts w:ascii="仿宋_GB2312" w:cs="仿宋_GB2312"/>
          <w:sz w:val="32"/>
          <w:szCs w:val="32"/>
        </w:rPr>
        <w:t>严格履行信访工作核心职责，高标准办理各级领导信箱、网上信访、走访转交办等各类信访事项，确保群众诉求“件件有着落、事事有回音”。截至10月30日，全县共受理信访总量68批118人次，办结66件，信访渠道保持畅通，办理流程规范有序。</w:t>
      </w:r>
    </w:p>
    <w:p>
      <w:pPr>
        <w:pStyle w:val="14"/>
        <w:widowControl/>
        <w:shd w:val="clear" w:color="auto" w:fill="FFFFFF"/>
        <w:ind w:firstLine="642" w:firstLineChars="200"/>
        <w:rPr>
          <w:color w:val="000000"/>
          <w:sz w:val="32"/>
          <w:szCs w:val="32"/>
        </w:rPr>
      </w:pPr>
      <w:r>
        <w:rPr>
          <w:rFonts w:hint="eastAsia"/>
          <w:b/>
          <w:bCs/>
          <w:color w:val="000000"/>
          <w:sz w:val="32"/>
          <w:szCs w:val="32"/>
        </w:rPr>
        <w:t>三是常态化开展排查化解矛盾与重点时期保障。</w:t>
      </w:r>
      <w:r>
        <w:rPr>
          <w:color w:val="000000"/>
          <w:sz w:val="32"/>
          <w:szCs w:val="32"/>
        </w:rPr>
        <w:t>深化“微网实格+信访”工作模式，依托网格力量以源头预防和多元化解为核心，全面排查各类矛盾纠纷</w:t>
      </w:r>
      <w:r>
        <w:rPr>
          <w:rFonts w:hint="eastAsia"/>
          <w:color w:val="000000"/>
          <w:sz w:val="32"/>
          <w:szCs w:val="32"/>
        </w:rPr>
        <w:t>和</w:t>
      </w:r>
      <w:r>
        <w:rPr>
          <w:color w:val="000000"/>
          <w:sz w:val="32"/>
          <w:szCs w:val="32"/>
        </w:rPr>
        <w:t>风险隐患</w:t>
      </w:r>
      <w:r>
        <w:rPr>
          <w:rFonts w:hint="eastAsia"/>
          <w:color w:val="000000"/>
          <w:sz w:val="32"/>
          <w:szCs w:val="32"/>
        </w:rPr>
        <w:t>，</w:t>
      </w:r>
      <w:r>
        <w:rPr>
          <w:color w:val="000000"/>
          <w:sz w:val="32"/>
          <w:szCs w:val="32"/>
        </w:rPr>
        <w:t>将大量风险隐患化解在早在小</w:t>
      </w:r>
      <w:r>
        <w:rPr>
          <w:rFonts w:hint="eastAsia"/>
          <w:color w:val="000000"/>
          <w:sz w:val="32"/>
          <w:szCs w:val="32"/>
        </w:rPr>
        <w:t>，</w:t>
      </w:r>
      <w:r>
        <w:rPr>
          <w:color w:val="000000"/>
          <w:sz w:val="32"/>
          <w:szCs w:val="32"/>
        </w:rPr>
        <w:t>截至目前，共排查矛盾纠纷21件，成功化解15件，化解率达71%</w:t>
      </w:r>
      <w:r>
        <w:rPr>
          <w:rFonts w:hint="eastAsia"/>
          <w:color w:val="000000"/>
          <w:sz w:val="32"/>
          <w:szCs w:val="32"/>
        </w:rPr>
        <w:t>；</w:t>
      </w:r>
      <w:r>
        <w:rPr>
          <w:color w:val="000000"/>
          <w:sz w:val="32"/>
          <w:szCs w:val="32"/>
        </w:rPr>
        <w:t>加强统筹协调，强化重大节点信访保障，切实筑牢社会稳定防线</w:t>
      </w:r>
      <w:r>
        <w:rPr>
          <w:rFonts w:hint="eastAsia"/>
          <w:color w:val="000000"/>
          <w:sz w:val="32"/>
          <w:szCs w:val="32"/>
        </w:rPr>
        <w:t>，</w:t>
      </w:r>
      <w:r>
        <w:rPr>
          <w:color w:val="000000"/>
          <w:sz w:val="32"/>
          <w:szCs w:val="32"/>
        </w:rPr>
        <w:t>在全国全省</w:t>
      </w:r>
      <w:r>
        <w:rPr>
          <w:rFonts w:hint="eastAsia"/>
          <w:color w:val="000000"/>
          <w:sz w:val="32"/>
          <w:szCs w:val="32"/>
        </w:rPr>
        <w:t>两会</w:t>
      </w:r>
      <w:r>
        <w:rPr>
          <w:color w:val="000000"/>
          <w:sz w:val="32"/>
          <w:szCs w:val="32"/>
        </w:rPr>
        <w:t>、中央巡视组在川巡视、成都世运会等重</w:t>
      </w:r>
      <w:r>
        <w:rPr>
          <w:rFonts w:hint="eastAsia"/>
          <w:color w:val="000000"/>
          <w:sz w:val="32"/>
          <w:szCs w:val="32"/>
        </w:rPr>
        <w:t>要时段</w:t>
      </w:r>
      <w:r>
        <w:rPr>
          <w:color w:val="000000"/>
          <w:sz w:val="32"/>
          <w:szCs w:val="32"/>
        </w:rPr>
        <w:t>，精准研判梳理重点群体5批、重点人员10人</w:t>
      </w:r>
      <w:r>
        <w:rPr>
          <w:rFonts w:hint="eastAsia"/>
          <w:color w:val="000000"/>
          <w:sz w:val="32"/>
          <w:szCs w:val="32"/>
        </w:rPr>
        <w:t>；</w:t>
      </w:r>
      <w:r>
        <w:rPr>
          <w:color w:val="000000"/>
          <w:sz w:val="32"/>
          <w:szCs w:val="32"/>
        </w:rPr>
        <w:t>通过稳控包案、压实责任、派驻力量等举措</w:t>
      </w:r>
      <w:r>
        <w:rPr>
          <w:rFonts w:hint="eastAsia"/>
          <w:color w:val="000000"/>
          <w:sz w:val="32"/>
          <w:szCs w:val="32"/>
        </w:rPr>
        <w:t>，全面落实县级领导接访10批10人次，下访64批72人次</w:t>
      </w:r>
      <w:r>
        <w:rPr>
          <w:color w:val="000000"/>
          <w:sz w:val="32"/>
          <w:szCs w:val="32"/>
        </w:rPr>
        <w:t>，圆满完成信访安全保障任务，</w:t>
      </w:r>
    </w:p>
    <w:p>
      <w:pPr>
        <w:pStyle w:val="14"/>
        <w:widowControl/>
        <w:shd w:val="clear" w:color="auto" w:fill="FFFFFF"/>
        <w:ind w:firstLine="642" w:firstLineChars="200"/>
      </w:pPr>
      <w:r>
        <w:rPr>
          <w:rFonts w:hint="eastAsia" w:ascii="仿宋_GB2312" w:cs="仿宋_GB2312"/>
          <w:b/>
          <w:bCs/>
          <w:sz w:val="32"/>
          <w:szCs w:val="32"/>
        </w:rPr>
        <w:t>四</w:t>
      </w:r>
      <w:r>
        <w:rPr>
          <w:rFonts w:ascii="仿宋_GB2312" w:cs="仿宋_GB2312"/>
          <w:b/>
          <w:bCs/>
          <w:sz w:val="32"/>
          <w:szCs w:val="32"/>
        </w:rPr>
        <w:t>是拓展社工服务与志愿服务，精准回应</w:t>
      </w:r>
      <w:r>
        <w:rPr>
          <w:rFonts w:hint="eastAsia" w:ascii="仿宋_GB2312" w:cs="仿宋_GB2312"/>
          <w:b/>
          <w:bCs/>
          <w:sz w:val="32"/>
          <w:szCs w:val="32"/>
        </w:rPr>
        <w:t>群众</w:t>
      </w:r>
      <w:r>
        <w:rPr>
          <w:rFonts w:ascii="仿宋_GB2312" w:cs="仿宋_GB2312"/>
          <w:b/>
          <w:bCs/>
          <w:sz w:val="32"/>
          <w:szCs w:val="32"/>
        </w:rPr>
        <w:t>需求。</w:t>
      </w:r>
      <w:r>
        <w:rPr>
          <w:rFonts w:ascii="仿宋_GB2312" w:cs="仿宋_GB2312"/>
          <w:sz w:val="32"/>
          <w:szCs w:val="32"/>
        </w:rPr>
        <w:t>持续推进“三区”计划，建立常态化关爱机制，面向“一老一小”等群体开展红色宣讲、心理团辅、安全自护等主题活动5期，服务少年儿童160余人</w:t>
      </w:r>
      <w:r>
        <w:rPr>
          <w:rFonts w:hint="eastAsia" w:ascii="仿宋_GB2312" w:cs="仿宋_GB2312"/>
          <w:sz w:val="32"/>
          <w:szCs w:val="32"/>
        </w:rPr>
        <w:t>；</w:t>
      </w:r>
      <w:r>
        <w:rPr>
          <w:rFonts w:ascii="仿宋_GB2312" w:cs="仿宋_GB2312"/>
          <w:sz w:val="32"/>
          <w:szCs w:val="32"/>
        </w:rPr>
        <w:t>统筹8支常备志愿队伍开展常态化服务，在“学雷锋纪念日”</w:t>
      </w:r>
      <w:r>
        <w:rPr>
          <w:rFonts w:hint="eastAsia" w:ascii="仿宋_GB2312" w:cs="仿宋_GB2312"/>
          <w:sz w:val="32"/>
          <w:szCs w:val="32"/>
        </w:rPr>
        <w:t>“</w:t>
      </w:r>
      <w:r>
        <w:rPr>
          <w:rFonts w:ascii="仿宋_GB2312" w:cs="仿宋_GB2312"/>
          <w:sz w:val="32"/>
          <w:szCs w:val="32"/>
        </w:rPr>
        <w:t>庆华诞、暖中秋、护平安、好客阿坝</w:t>
      </w:r>
      <w:r>
        <w:rPr>
          <w:rFonts w:hint="eastAsia" w:ascii="仿宋_GB2312" w:cs="仿宋_GB2312"/>
          <w:sz w:val="32"/>
          <w:szCs w:val="32"/>
        </w:rPr>
        <w:t>”</w:t>
      </w:r>
      <w:r>
        <w:rPr>
          <w:rFonts w:ascii="仿宋_GB2312" w:cs="仿宋_GB2312"/>
          <w:sz w:val="32"/>
          <w:szCs w:val="32"/>
        </w:rPr>
        <w:t>等节点累计开展活动139场，参与志愿者近千人次，惠及群众2000余名</w:t>
      </w:r>
      <w:r>
        <w:rPr>
          <w:rFonts w:hint="eastAsia" w:ascii="仿宋_GB2312" w:cs="仿宋_GB2312"/>
          <w:sz w:val="32"/>
          <w:szCs w:val="32"/>
        </w:rPr>
        <w:t>。</w:t>
      </w:r>
    </w:p>
    <w:p>
      <w:pPr>
        <w:widowControl/>
        <w:adjustRightInd w:val="0"/>
        <w:snapToGrid w:val="0"/>
        <w:spacing w:line="578" w:lineRule="exact"/>
        <w:ind w:firstLine="321" w:firstLineChars="100"/>
        <w:contextualSpacing/>
        <w:jc w:val="left"/>
        <w:rPr>
          <w:color w:val="000000"/>
          <w:kern w:val="0"/>
          <w:szCs w:val="32"/>
          <w:shd w:val="clear" w:color="auto" w:fill="FFFFFF"/>
          <w:lang w:val="zh-CN"/>
        </w:rPr>
      </w:pPr>
      <w:r>
        <w:rPr>
          <w:rFonts w:eastAsia="楷体_GB2312"/>
          <w:b/>
          <w:bCs/>
          <w:color w:val="000000"/>
          <w:kern w:val="0"/>
          <w:szCs w:val="32"/>
          <w:shd w:val="clear" w:color="auto" w:fill="FFFFFF"/>
          <w:lang w:val="zh-CN"/>
        </w:rPr>
        <w:t>（三）</w:t>
      </w:r>
      <w:r>
        <w:rPr>
          <w:rFonts w:eastAsia="楷体_GB2312"/>
          <w:b/>
          <w:szCs w:val="32"/>
        </w:rPr>
        <w:t>结余分配和结转结余情况。</w:t>
      </w:r>
      <w:r>
        <w:rPr>
          <w:rFonts w:hint="eastAsia" w:ascii="仿宋_GB2312" w:cs="仿宋_GB2312"/>
          <w:szCs w:val="32"/>
        </w:rPr>
        <w:t>2025</w:t>
      </w:r>
      <w:r>
        <w:rPr>
          <w:rFonts w:hint="eastAsia"/>
          <w:szCs w:val="32"/>
        </w:rPr>
        <w:t>年决算报表</w:t>
      </w:r>
      <w:r>
        <w:rPr>
          <w:color w:val="000000"/>
          <w:kern w:val="0"/>
          <w:szCs w:val="32"/>
          <w:shd w:val="clear" w:color="auto" w:fill="FFFFFF"/>
        </w:rPr>
        <w:t>结转结余为0元。</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三、部门预算绩效分析</w:t>
      </w:r>
    </w:p>
    <w:p>
      <w:pPr>
        <w:adjustRightInd w:val="0"/>
        <w:snapToGrid w:val="0"/>
        <w:spacing w:line="578" w:lineRule="exact"/>
        <w:ind w:firstLine="642" w:firstLineChars="200"/>
        <w:contextualSpacing/>
        <w:jc w:val="left"/>
        <w:rPr>
          <w:color w:val="000000"/>
          <w:kern w:val="0"/>
          <w:szCs w:val="32"/>
          <w:shd w:val="clear" w:color="auto" w:fill="FFFFFF"/>
          <w:lang w:val="zh-CN"/>
        </w:rPr>
      </w:pPr>
      <w:r>
        <w:rPr>
          <w:rFonts w:eastAsia="楷体_GB2312"/>
          <w:b/>
          <w:bCs/>
          <w:color w:val="000000"/>
          <w:kern w:val="0"/>
          <w:szCs w:val="32"/>
          <w:shd w:val="clear" w:color="auto" w:fill="FFFFFF"/>
          <w:lang w:val="zh-CN"/>
        </w:rPr>
        <w:t>（一）部门预算总体绩效分析。</w:t>
      </w:r>
      <w:r>
        <w:rPr>
          <w:rFonts w:hint="eastAsia" w:eastAsia="楷体_GB2312"/>
          <w:b/>
          <w:bCs/>
          <w:color w:val="000000"/>
          <w:kern w:val="0"/>
          <w:szCs w:val="32"/>
          <w:shd w:val="clear" w:color="auto" w:fill="FFFFFF"/>
          <w:lang w:val="zh-CN"/>
        </w:rPr>
        <w:t>指标分值</w:t>
      </w:r>
      <w:r>
        <w:rPr>
          <w:rFonts w:hint="eastAsia" w:eastAsia="楷体_GB2312"/>
          <w:b/>
          <w:bCs/>
          <w:color w:val="000000"/>
          <w:kern w:val="0"/>
          <w:szCs w:val="32"/>
          <w:shd w:val="clear" w:color="auto" w:fill="FFFFFF"/>
        </w:rPr>
        <w:t>65</w:t>
      </w:r>
      <w:r>
        <w:rPr>
          <w:rFonts w:hint="eastAsia" w:eastAsia="楷体_GB2312"/>
          <w:b/>
          <w:bCs/>
          <w:color w:val="000000"/>
          <w:kern w:val="0"/>
          <w:szCs w:val="32"/>
          <w:shd w:val="clear" w:color="auto" w:fill="FFFFFF"/>
          <w:lang w:val="zh-CN"/>
        </w:rPr>
        <w:t>分，自评得分</w:t>
      </w:r>
      <w:r>
        <w:rPr>
          <w:rFonts w:hint="eastAsia" w:eastAsia="楷体_GB2312"/>
          <w:b/>
          <w:bCs/>
          <w:color w:val="000000"/>
          <w:kern w:val="0"/>
          <w:szCs w:val="32"/>
          <w:shd w:val="clear" w:color="auto" w:fill="FFFFFF"/>
        </w:rPr>
        <w:t>62.18</w:t>
      </w:r>
      <w:r>
        <w:rPr>
          <w:rFonts w:hint="eastAsia" w:eastAsia="楷体_GB2312"/>
          <w:b/>
          <w:bCs/>
          <w:color w:val="000000"/>
          <w:kern w:val="0"/>
          <w:szCs w:val="32"/>
          <w:shd w:val="clear" w:color="auto" w:fill="FFFFFF"/>
          <w:lang w:val="zh-CN"/>
        </w:rPr>
        <w:t>分。</w:t>
      </w:r>
    </w:p>
    <w:p>
      <w:pPr>
        <w:adjustRightInd w:val="0"/>
        <w:snapToGrid w:val="0"/>
        <w:spacing w:line="578" w:lineRule="exact"/>
        <w:ind w:firstLine="642" w:firstLineChars="200"/>
        <w:contextualSpacing/>
        <w:jc w:val="left"/>
        <w:rPr>
          <w:rFonts w:ascii="楷体_GB2312" w:eastAsia="楷体_GB2312" w:cs="楷体_GB2312"/>
          <w:b/>
          <w:bCs/>
          <w:color w:val="000000"/>
          <w:kern w:val="0"/>
          <w:szCs w:val="32"/>
          <w:shd w:val="clear" w:color="auto" w:fill="FFFFFF"/>
          <w:lang w:val="zh-CN"/>
        </w:rPr>
      </w:pPr>
      <w:r>
        <w:rPr>
          <w:rFonts w:hint="eastAsia" w:ascii="仿宋_GB2312" w:cs="仿宋_GB2312"/>
          <w:b/>
          <w:bCs/>
          <w:color w:val="000000"/>
          <w:kern w:val="0"/>
          <w:szCs w:val="32"/>
          <w:shd w:val="clear" w:color="auto" w:fill="FFFFFF"/>
          <w:lang w:val="zh-CN"/>
        </w:rPr>
        <w:t>1.履职效能。指标分值15分，自评得分15分。</w:t>
      </w:r>
    </w:p>
    <w:p>
      <w:pPr>
        <w:adjustRightInd w:val="0"/>
        <w:snapToGrid w:val="0"/>
        <w:spacing w:line="578" w:lineRule="exact"/>
        <w:ind w:firstLine="640" w:firstLineChars="200"/>
        <w:contextualSpacing/>
        <w:jc w:val="left"/>
        <w:rPr>
          <w:color w:val="000000"/>
          <w:kern w:val="0"/>
          <w:szCs w:val="32"/>
          <w:shd w:val="clear" w:color="auto" w:fill="FFFFFF"/>
          <w:lang w:val="zh-CN"/>
        </w:rPr>
      </w:pPr>
      <w:r>
        <w:rPr>
          <w:rFonts w:hint="eastAsia"/>
          <w:color w:val="000000"/>
          <w:kern w:val="0"/>
          <w:szCs w:val="32"/>
          <w:shd w:val="clear" w:color="auto" w:fill="FFFFFF"/>
          <w:lang w:val="zh-CN"/>
        </w:rPr>
        <w:t>核心职能目标</w:t>
      </w:r>
      <w:r>
        <w:rPr>
          <w:color w:val="000000"/>
          <w:kern w:val="0"/>
          <w:szCs w:val="32"/>
          <w:shd w:val="clear" w:color="auto" w:fill="FFFFFF"/>
          <w:lang w:val="zh-CN"/>
        </w:rPr>
        <w:t>一：基本支出，在职人员工资保险。目标完成情况，</w:t>
      </w:r>
      <w:r>
        <w:rPr>
          <w:color w:val="000000"/>
          <w:kern w:val="0"/>
          <w:szCs w:val="32"/>
          <w:shd w:val="clear" w:color="auto" w:fill="FFFFFF"/>
        </w:rPr>
        <w:t>截止到</w:t>
      </w:r>
      <w:r>
        <w:rPr>
          <w:color w:val="000000"/>
          <w:kern w:val="0"/>
          <w:szCs w:val="32"/>
          <w:shd w:val="clear" w:color="auto" w:fill="FFFFFF"/>
          <w:lang w:val="zh-CN"/>
        </w:rPr>
        <w:t>202</w:t>
      </w:r>
      <w:r>
        <w:rPr>
          <w:rFonts w:hint="eastAsia"/>
          <w:color w:val="000000"/>
          <w:kern w:val="0"/>
          <w:szCs w:val="32"/>
          <w:shd w:val="clear" w:color="auto" w:fill="FFFFFF"/>
        </w:rPr>
        <w:t>5</w:t>
      </w:r>
      <w:r>
        <w:rPr>
          <w:color w:val="000000"/>
          <w:kern w:val="0"/>
          <w:szCs w:val="32"/>
          <w:shd w:val="clear" w:color="auto" w:fill="FFFFFF"/>
          <w:lang w:val="zh-CN"/>
        </w:rPr>
        <w:t>年底我单位如期完成预算</w:t>
      </w:r>
      <w:r>
        <w:rPr>
          <w:rFonts w:hint="eastAsia"/>
          <w:color w:val="000000"/>
          <w:kern w:val="0"/>
          <w:szCs w:val="32"/>
          <w:shd w:val="clear" w:color="auto" w:fill="FFFFFF"/>
        </w:rPr>
        <w:t>18</w:t>
      </w:r>
      <w:r>
        <w:rPr>
          <w:color w:val="000000"/>
          <w:kern w:val="0"/>
          <w:szCs w:val="32"/>
          <w:shd w:val="clear" w:color="auto" w:fill="FFFFFF"/>
          <w:lang w:val="zh-CN"/>
        </w:rPr>
        <w:t>人全年工资保险发放。该资金开支范围、标准及支付进度，支付依据合规合法，资金支付与绩效目标相符。</w:t>
      </w:r>
    </w:p>
    <w:p>
      <w:pPr>
        <w:adjustRightInd w:val="0"/>
        <w:snapToGrid w:val="0"/>
        <w:spacing w:line="578" w:lineRule="exact"/>
        <w:ind w:firstLine="640" w:firstLineChars="200"/>
        <w:contextualSpacing/>
        <w:jc w:val="left"/>
        <w:rPr>
          <w:color w:val="000000"/>
          <w:kern w:val="0"/>
          <w:szCs w:val="32"/>
          <w:shd w:val="clear" w:color="auto" w:fill="FFFFFF"/>
          <w:lang w:val="zh-CN"/>
        </w:rPr>
      </w:pPr>
      <w:r>
        <w:rPr>
          <w:rFonts w:hint="eastAsia"/>
          <w:color w:val="000000"/>
          <w:kern w:val="0"/>
          <w:szCs w:val="32"/>
          <w:shd w:val="clear" w:color="auto" w:fill="FFFFFF"/>
          <w:lang w:val="zh-CN"/>
        </w:rPr>
        <w:t>核心职能目标</w:t>
      </w:r>
      <w:r>
        <w:rPr>
          <w:color w:val="000000"/>
          <w:kern w:val="0"/>
          <w:szCs w:val="32"/>
          <w:shd w:val="clear" w:color="auto" w:fill="FFFFFF"/>
          <w:lang w:val="zh-CN"/>
        </w:rPr>
        <w:t>二：</w:t>
      </w:r>
      <w:r>
        <w:rPr>
          <w:rFonts w:hint="eastAsia"/>
          <w:color w:val="000000"/>
          <w:kern w:val="0"/>
          <w:szCs w:val="32"/>
          <w:shd w:val="clear" w:color="auto" w:fill="FFFFFF"/>
          <w:lang w:val="zh-CN"/>
        </w:rPr>
        <w:t>推进两新组织发展工作履职效果</w:t>
      </w:r>
      <w:r>
        <w:rPr>
          <w:color w:val="000000"/>
          <w:kern w:val="0"/>
          <w:szCs w:val="32"/>
          <w:shd w:val="clear" w:color="auto" w:fill="FFFFFF"/>
          <w:lang w:val="zh-CN"/>
        </w:rPr>
        <w:t>。目标完成情况，</w:t>
      </w:r>
      <w:r>
        <w:rPr>
          <w:color w:val="000000"/>
          <w:kern w:val="0"/>
          <w:szCs w:val="32"/>
          <w:shd w:val="clear" w:color="auto" w:fill="FFFFFF"/>
        </w:rPr>
        <w:t>截止到</w:t>
      </w:r>
      <w:r>
        <w:rPr>
          <w:color w:val="000000"/>
          <w:kern w:val="0"/>
          <w:szCs w:val="32"/>
          <w:shd w:val="clear" w:color="auto" w:fill="FFFFFF"/>
          <w:lang w:val="zh-CN"/>
        </w:rPr>
        <w:t>202</w:t>
      </w:r>
      <w:r>
        <w:rPr>
          <w:rFonts w:hint="eastAsia"/>
          <w:color w:val="000000"/>
          <w:kern w:val="0"/>
          <w:szCs w:val="32"/>
          <w:shd w:val="clear" w:color="auto" w:fill="FFFFFF"/>
        </w:rPr>
        <w:t>5</w:t>
      </w:r>
      <w:r>
        <w:rPr>
          <w:color w:val="000000"/>
          <w:kern w:val="0"/>
          <w:szCs w:val="32"/>
          <w:shd w:val="clear" w:color="auto" w:fill="FFFFFF"/>
          <w:lang w:val="zh-CN"/>
        </w:rPr>
        <w:t>年底我单位</w:t>
      </w:r>
      <w:r>
        <w:rPr>
          <w:rFonts w:hint="eastAsia"/>
          <w:color w:val="000000"/>
          <w:kern w:val="0"/>
          <w:szCs w:val="32"/>
          <w:shd w:val="clear" w:color="auto" w:fill="FFFFFF"/>
          <w:lang w:val="zh-CN"/>
        </w:rPr>
        <w:t>组织各行业部门全面开展</w:t>
      </w:r>
      <w:r>
        <w:rPr>
          <w:rFonts w:hint="eastAsia"/>
          <w:color w:val="000000"/>
          <w:kern w:val="0"/>
          <w:szCs w:val="32"/>
          <w:shd w:val="clear" w:color="auto" w:fill="FFFFFF"/>
        </w:rPr>
        <w:t>新建工作</w:t>
      </w:r>
      <w:r>
        <w:rPr>
          <w:rFonts w:hint="eastAsia"/>
          <w:color w:val="000000"/>
          <w:kern w:val="0"/>
          <w:szCs w:val="32"/>
          <w:shd w:val="clear" w:color="auto" w:fill="FFFFFF"/>
          <w:lang w:val="zh-CN"/>
        </w:rPr>
        <w:t>，2025年新建两新党组织4个。</w:t>
      </w:r>
      <w:r>
        <w:rPr>
          <w:color w:val="000000"/>
          <w:kern w:val="0"/>
          <w:szCs w:val="32"/>
          <w:shd w:val="clear" w:color="auto" w:fill="FFFFFF"/>
          <w:lang w:val="zh-CN"/>
        </w:rPr>
        <w:t>该资金开支范围、标准及支付进度，支付依据合规合法，资金支付与预算相符。</w:t>
      </w:r>
    </w:p>
    <w:p>
      <w:pPr>
        <w:adjustRightInd w:val="0"/>
        <w:snapToGrid w:val="0"/>
        <w:spacing w:line="578" w:lineRule="exact"/>
        <w:ind w:firstLine="640" w:firstLineChars="200"/>
        <w:contextualSpacing/>
        <w:jc w:val="left"/>
        <w:rPr>
          <w:lang w:val="zh-CN"/>
        </w:rPr>
      </w:pPr>
      <w:r>
        <w:rPr>
          <w:rFonts w:hint="eastAsia"/>
          <w:color w:val="000000"/>
          <w:kern w:val="0"/>
          <w:szCs w:val="32"/>
          <w:shd w:val="clear" w:color="auto" w:fill="FFFFFF"/>
          <w:lang w:val="zh-CN"/>
        </w:rPr>
        <w:t>核心职能目标</w:t>
      </w:r>
      <w:r>
        <w:rPr>
          <w:color w:val="000000"/>
          <w:kern w:val="0"/>
          <w:szCs w:val="32"/>
          <w:shd w:val="clear" w:color="auto" w:fill="FFFFFF"/>
          <w:lang w:val="zh-CN"/>
        </w:rPr>
        <w:t>三：</w:t>
      </w:r>
      <w:r>
        <w:rPr>
          <w:rFonts w:hint="eastAsia"/>
          <w:color w:val="000000"/>
          <w:kern w:val="0"/>
          <w:szCs w:val="32"/>
          <w:shd w:val="clear" w:color="auto" w:fill="FFFFFF"/>
          <w:lang w:val="zh-CN"/>
        </w:rPr>
        <w:t>培育两新党员工作履职效果</w:t>
      </w:r>
      <w:r>
        <w:rPr>
          <w:color w:val="000000"/>
          <w:kern w:val="0"/>
          <w:szCs w:val="32"/>
          <w:shd w:val="clear" w:color="auto" w:fill="FFFFFF"/>
          <w:lang w:val="zh-CN"/>
        </w:rPr>
        <w:t>。目标完成情况，</w:t>
      </w:r>
      <w:r>
        <w:rPr>
          <w:color w:val="000000"/>
          <w:kern w:val="0"/>
          <w:szCs w:val="32"/>
          <w:shd w:val="clear" w:color="auto" w:fill="FFFFFF"/>
        </w:rPr>
        <w:t>截止到</w:t>
      </w:r>
      <w:r>
        <w:rPr>
          <w:color w:val="000000"/>
          <w:kern w:val="0"/>
          <w:szCs w:val="32"/>
          <w:shd w:val="clear" w:color="auto" w:fill="FFFFFF"/>
          <w:lang w:val="zh-CN"/>
        </w:rPr>
        <w:t>202</w:t>
      </w:r>
      <w:r>
        <w:rPr>
          <w:rFonts w:hint="eastAsia"/>
          <w:color w:val="000000"/>
          <w:kern w:val="0"/>
          <w:szCs w:val="32"/>
          <w:shd w:val="clear" w:color="auto" w:fill="FFFFFF"/>
        </w:rPr>
        <w:t>5</w:t>
      </w:r>
      <w:r>
        <w:rPr>
          <w:color w:val="000000"/>
          <w:kern w:val="0"/>
          <w:szCs w:val="32"/>
          <w:shd w:val="clear" w:color="auto" w:fill="FFFFFF"/>
          <w:lang w:val="zh-CN"/>
        </w:rPr>
        <w:t>年底我单位</w:t>
      </w:r>
      <w:r>
        <w:rPr>
          <w:rFonts w:hint="eastAsia"/>
          <w:color w:val="000000"/>
          <w:kern w:val="0"/>
          <w:szCs w:val="32"/>
          <w:shd w:val="clear" w:color="auto" w:fill="FFFFFF"/>
          <w:lang w:val="zh-CN"/>
        </w:rPr>
        <w:t>发展两新党员6名。</w:t>
      </w:r>
      <w:r>
        <w:rPr>
          <w:color w:val="000000"/>
          <w:kern w:val="0"/>
          <w:szCs w:val="32"/>
          <w:shd w:val="clear" w:color="auto" w:fill="FFFFFF"/>
          <w:lang w:val="zh-CN"/>
        </w:rPr>
        <w:t>该资金开支范围、标准及支付进度，支付依据合规合法，资金支付与预算相符。</w:t>
      </w:r>
    </w:p>
    <w:p>
      <w:pPr>
        <w:adjustRightInd w:val="0"/>
        <w:snapToGrid w:val="0"/>
        <w:spacing w:line="578" w:lineRule="exact"/>
        <w:ind w:left="640" w:leftChars="200"/>
        <w:contextualSpacing/>
        <w:jc w:val="left"/>
        <w:rPr>
          <w:rFonts w:eastAsia="楷体_GB2312"/>
          <w:b/>
          <w:bCs/>
          <w:color w:val="000000"/>
          <w:kern w:val="0"/>
          <w:szCs w:val="32"/>
          <w:shd w:val="clear" w:color="auto" w:fill="FFFFFF"/>
          <w:lang w:val="zh-CN"/>
        </w:rPr>
      </w:pPr>
      <w:r>
        <w:rPr>
          <w:rFonts w:hint="eastAsia" w:eastAsia="楷体_GB2312"/>
          <w:b/>
          <w:bCs/>
          <w:color w:val="000000"/>
          <w:kern w:val="0"/>
          <w:szCs w:val="32"/>
          <w:shd w:val="clear" w:color="auto" w:fill="FFFFFF"/>
        </w:rPr>
        <w:t>2.</w:t>
      </w:r>
      <w:r>
        <w:rPr>
          <w:rFonts w:eastAsia="楷体_GB2312"/>
          <w:b/>
          <w:bCs/>
          <w:color w:val="000000"/>
          <w:kern w:val="0"/>
          <w:szCs w:val="32"/>
          <w:shd w:val="clear" w:color="auto" w:fill="FFFFFF"/>
          <w:lang w:val="zh-CN"/>
        </w:rPr>
        <w:t>预算管理。指标分值25分，自评得分</w:t>
      </w:r>
      <w:r>
        <w:rPr>
          <w:rFonts w:hint="eastAsia" w:eastAsia="楷体_GB2312"/>
          <w:b/>
          <w:bCs/>
          <w:color w:val="000000"/>
          <w:kern w:val="0"/>
          <w:szCs w:val="32"/>
          <w:shd w:val="clear" w:color="auto" w:fill="FFFFFF"/>
        </w:rPr>
        <w:t>22.18</w:t>
      </w:r>
      <w:r>
        <w:rPr>
          <w:rFonts w:eastAsia="楷体_GB2312"/>
          <w:b/>
          <w:bCs/>
          <w:color w:val="000000"/>
          <w:kern w:val="0"/>
          <w:szCs w:val="32"/>
          <w:shd w:val="clear" w:color="auto" w:fill="FFFFFF"/>
          <w:lang w:val="zh-CN"/>
        </w:rPr>
        <w:t>分。</w:t>
      </w:r>
    </w:p>
    <w:p>
      <w:pPr>
        <w:adjustRightInd w:val="0"/>
        <w:snapToGrid w:val="0"/>
        <w:spacing w:line="578" w:lineRule="exact"/>
        <w:ind w:firstLine="640" w:firstLineChars="200"/>
        <w:contextualSpacing/>
        <w:jc w:val="left"/>
        <w:rPr>
          <w:rFonts w:ascii="楷体_GB2312" w:eastAsia="楷体_GB2312" w:cs="楷体_GB2312"/>
          <w:color w:val="000000"/>
          <w:kern w:val="0"/>
          <w:szCs w:val="32"/>
          <w:shd w:val="clear" w:color="auto" w:fill="FFFFFF"/>
          <w:lang w:val="zh-CN"/>
        </w:rPr>
      </w:pPr>
      <w:r>
        <w:rPr>
          <w:rFonts w:ascii="仿宋_GB2312"/>
          <w:szCs w:val="32"/>
        </w:rPr>
        <w:t>预算编制质量：</w:t>
      </w:r>
      <w:r>
        <w:rPr>
          <w:rFonts w:hint="eastAsia" w:ascii="仿宋_GB2312"/>
          <w:szCs w:val="32"/>
        </w:rPr>
        <w:t>本单位本年度支出年初预算数为545.39万元，本年度支出调整预算数为545.39万元，支出执行数为519.96万元，预算支出完成度为100.00%</w:t>
      </w:r>
      <w:r>
        <w:rPr>
          <w:rFonts w:ascii="仿宋_GB2312"/>
          <w:szCs w:val="32"/>
        </w:rPr>
        <w:t>。</w:t>
      </w:r>
      <w:r>
        <w:rPr>
          <w:rFonts w:ascii="仿宋_GB2312"/>
          <w:szCs w:val="32"/>
        </w:rPr>
        <w:t>截止到</w:t>
      </w:r>
      <w:r>
        <w:rPr>
          <w:rFonts w:ascii="仿宋_GB2312"/>
          <w:szCs w:val="32"/>
        </w:rPr>
        <w:t>202</w:t>
      </w:r>
      <w:r>
        <w:rPr>
          <w:rFonts w:hint="eastAsia" w:ascii="仿宋_GB2312"/>
          <w:szCs w:val="32"/>
        </w:rPr>
        <w:t>4</w:t>
      </w:r>
      <w:r>
        <w:rPr>
          <w:rFonts w:ascii="仿宋_GB2312"/>
          <w:szCs w:val="32"/>
        </w:rPr>
        <w:t>年度我单位</w:t>
      </w:r>
      <w:r>
        <w:rPr>
          <w:rFonts w:hint="eastAsia" w:ascii="仿宋_GB2312"/>
          <w:szCs w:val="32"/>
        </w:rPr>
        <w:t>该项指标得分=（1-财政拨款预算偏离度）×100%×4+（1-资产配置预算偏离度）×100%×2+（1-政府采购预算偏离度）×100%×2。偏离度=|预算执行数-年初预算数|÷年初预算数。=（1-0.04）*100%*4+（1-0）*100%*2+（1-0）*100%*2=7.84</w:t>
      </w:r>
      <w:r>
        <w:rPr>
          <w:rFonts w:ascii="仿宋_GB2312"/>
          <w:szCs w:val="32"/>
        </w:rPr>
        <w:t>。</w:t>
      </w:r>
      <w:r>
        <w:rPr>
          <w:rFonts w:hint="eastAsia" w:ascii="仿宋_GB2312"/>
          <w:szCs w:val="32"/>
          <w:lang w:val="zh-CN"/>
        </w:rPr>
        <w:t>指标分值</w:t>
      </w:r>
      <w:r>
        <w:rPr>
          <w:rFonts w:hint="eastAsia" w:ascii="仿宋_GB2312"/>
          <w:szCs w:val="32"/>
        </w:rPr>
        <w:t>8</w:t>
      </w:r>
      <w:r>
        <w:rPr>
          <w:rFonts w:hint="eastAsia" w:ascii="仿宋_GB2312"/>
          <w:szCs w:val="32"/>
          <w:lang w:val="zh-CN"/>
        </w:rPr>
        <w:t>分，自评得分</w:t>
      </w:r>
      <w:r>
        <w:rPr>
          <w:rFonts w:hint="eastAsia" w:ascii="仿宋_GB2312"/>
          <w:szCs w:val="32"/>
        </w:rPr>
        <w:t>7.84</w:t>
      </w:r>
      <w:r>
        <w:rPr>
          <w:rFonts w:hint="eastAsia" w:ascii="仿宋_GB2312"/>
          <w:szCs w:val="32"/>
          <w:lang w:val="zh-CN"/>
        </w:rPr>
        <w:t>分。</w:t>
      </w:r>
    </w:p>
    <w:p>
      <w:pPr>
        <w:adjustRightInd w:val="0"/>
        <w:snapToGrid w:val="0"/>
        <w:spacing w:line="578" w:lineRule="exact"/>
        <w:ind w:firstLine="640" w:firstLineChars="200"/>
        <w:contextualSpacing/>
        <w:jc w:val="left"/>
        <w:rPr>
          <w:rFonts w:ascii="仿宋_GB2312"/>
          <w:szCs w:val="32"/>
          <w:lang w:val="zh-CN"/>
        </w:rPr>
      </w:pPr>
      <w:r>
        <w:rPr>
          <w:rFonts w:ascii="楷体_GB2312" w:eastAsia="楷体_GB2312" w:cs="楷体_GB2312"/>
          <w:color w:val="000000"/>
          <w:kern w:val="0"/>
          <w:szCs w:val="32"/>
          <w:shd w:val="clear" w:color="auto" w:fill="FFFFFF"/>
          <w:lang w:val="zh-CN"/>
        </w:rPr>
        <w:t>单位收入统筹</w:t>
      </w:r>
      <w:r>
        <w:rPr>
          <w:rFonts w:ascii="仿宋_GB2312"/>
          <w:szCs w:val="32"/>
        </w:rPr>
        <w:t>：</w:t>
      </w:r>
      <w:r>
        <w:rPr>
          <w:rFonts w:hint="eastAsia" w:ascii="仿宋_GB2312"/>
          <w:szCs w:val="32"/>
        </w:rPr>
        <w:t>我单位不涉及该项指标</w:t>
      </w:r>
      <w:r>
        <w:rPr>
          <w:rFonts w:ascii="仿宋_GB2312"/>
          <w:szCs w:val="32"/>
        </w:rPr>
        <w:t>。</w:t>
      </w:r>
      <w:r>
        <w:rPr>
          <w:rFonts w:hint="eastAsia" w:ascii="仿宋_GB2312"/>
          <w:szCs w:val="32"/>
          <w:lang w:val="zh-CN"/>
        </w:rPr>
        <w:t>指标分值</w:t>
      </w:r>
      <w:r>
        <w:rPr>
          <w:rFonts w:hint="eastAsia" w:ascii="仿宋_GB2312"/>
          <w:szCs w:val="32"/>
        </w:rPr>
        <w:t>4</w:t>
      </w:r>
      <w:r>
        <w:rPr>
          <w:rFonts w:hint="eastAsia" w:ascii="仿宋_GB2312"/>
          <w:szCs w:val="32"/>
          <w:lang w:val="zh-CN"/>
        </w:rPr>
        <w:t>分，自评得分</w:t>
      </w:r>
      <w:r>
        <w:rPr>
          <w:rFonts w:hint="eastAsia" w:ascii="仿宋_GB2312"/>
          <w:szCs w:val="32"/>
        </w:rPr>
        <w:t>4</w:t>
      </w:r>
      <w:r>
        <w:rPr>
          <w:rFonts w:hint="eastAsia" w:ascii="仿宋_GB2312"/>
          <w:szCs w:val="32"/>
          <w:lang w:val="zh-CN"/>
        </w:rPr>
        <w:t>分。</w:t>
      </w:r>
    </w:p>
    <w:p>
      <w:pPr>
        <w:adjustRightInd w:val="0"/>
        <w:snapToGrid w:val="0"/>
        <w:spacing w:line="578" w:lineRule="exact"/>
        <w:ind w:firstLine="640" w:firstLineChars="200"/>
        <w:contextualSpacing/>
        <w:jc w:val="left"/>
        <w:rPr>
          <w:rFonts w:ascii="仿宋_GB2312"/>
          <w:szCs w:val="32"/>
          <w:lang w:val="zh-CN"/>
        </w:rPr>
      </w:pPr>
      <w:r>
        <w:rPr>
          <w:rFonts w:hint="eastAsia" w:ascii="仿宋_GB2312"/>
          <w:szCs w:val="32"/>
        </w:rPr>
        <w:t>支出执行进度</w:t>
      </w:r>
      <w:r>
        <w:rPr>
          <w:rFonts w:ascii="仿宋_GB2312"/>
          <w:szCs w:val="32"/>
        </w:rPr>
        <w:t>：</w:t>
      </w:r>
      <w:r>
        <w:rPr>
          <w:rFonts w:hint="eastAsia" w:ascii="仿宋_GB2312"/>
          <w:szCs w:val="32"/>
        </w:rPr>
        <w:t>1-6月支出数据201.3，1-10月支出数,394.21万元。该项指标得分=（1至6月预算执行数÷（部门预算数×50%）×2）+（1-1至6月支出预警金额占比×0.8-1至6月支出违规金额占比×0.2）+（1至10月预算执行数÷（部门预算数×83.33%）×2）+（1-1至10月支出预警金额占比×0.8-1至10月支出违规金额占比×0.2）。我单位最终项指标得分=(201.30/(545.39*0.5)*2)+(0*0.8-0*0.2)+(394.21*(545.39*83.33%)*2)+(116.7/(545.39*83.33%)*0.8-0*0.2)=3.42。</w:t>
      </w:r>
      <w:r>
        <w:rPr>
          <w:rFonts w:hint="eastAsia" w:ascii="仿宋_GB2312"/>
          <w:szCs w:val="32"/>
          <w:lang w:val="zh-CN"/>
        </w:rPr>
        <w:t>指标分值</w:t>
      </w:r>
      <w:r>
        <w:rPr>
          <w:rFonts w:hint="eastAsia" w:ascii="仿宋_GB2312"/>
          <w:szCs w:val="32"/>
        </w:rPr>
        <w:t>6</w:t>
      </w:r>
      <w:r>
        <w:rPr>
          <w:rFonts w:hint="eastAsia" w:ascii="仿宋_GB2312"/>
          <w:szCs w:val="32"/>
          <w:lang w:val="zh-CN"/>
        </w:rPr>
        <w:t>分，自评得分</w:t>
      </w:r>
      <w:r>
        <w:rPr>
          <w:rFonts w:hint="eastAsia" w:ascii="仿宋_GB2312"/>
          <w:szCs w:val="32"/>
        </w:rPr>
        <w:t>3.42</w:t>
      </w:r>
      <w:r>
        <w:rPr>
          <w:rFonts w:hint="eastAsia" w:ascii="仿宋_GB2312"/>
          <w:szCs w:val="32"/>
          <w:lang w:val="zh-CN"/>
        </w:rPr>
        <w:t>分。</w:t>
      </w:r>
    </w:p>
    <w:p>
      <w:pPr>
        <w:adjustRightInd w:val="0"/>
        <w:snapToGrid w:val="0"/>
        <w:spacing w:line="578" w:lineRule="exact"/>
        <w:ind w:firstLine="640" w:firstLineChars="200"/>
        <w:contextualSpacing/>
        <w:jc w:val="left"/>
        <w:rPr>
          <w:rFonts w:ascii="仿宋_GB2312"/>
          <w:szCs w:val="32"/>
        </w:rPr>
      </w:pPr>
      <w:r>
        <w:rPr>
          <w:rFonts w:hint="eastAsia" w:ascii="仿宋_GB2312"/>
          <w:szCs w:val="32"/>
        </w:rPr>
        <w:t>预算年终结余:2025年结转结余25.43万元。该项指标得分=（1-部门整体预算结余率）×100%×2。部门整体预算结余率为当年年终部门预算注销金额和结转金额占部门预算总金额的比率。我单位最终项指标得分=(1-0.04)*100%*2=1.92。</w:t>
      </w:r>
      <w:r>
        <w:rPr>
          <w:rFonts w:hint="eastAsia" w:ascii="仿宋_GB2312"/>
          <w:szCs w:val="32"/>
          <w:lang w:val="zh-CN"/>
        </w:rPr>
        <w:t>指标分值2分，自评得分</w:t>
      </w:r>
      <w:r>
        <w:rPr>
          <w:rFonts w:hint="eastAsia" w:ascii="仿宋_GB2312"/>
          <w:szCs w:val="32"/>
        </w:rPr>
        <w:t>1.92</w:t>
      </w:r>
      <w:r>
        <w:rPr>
          <w:rFonts w:hint="eastAsia" w:ascii="仿宋_GB2312"/>
          <w:szCs w:val="32"/>
          <w:lang w:val="zh-CN"/>
        </w:rPr>
        <w:t>分。</w:t>
      </w:r>
    </w:p>
    <w:p>
      <w:pPr>
        <w:adjustRightInd w:val="0"/>
        <w:snapToGrid w:val="0"/>
        <w:spacing w:line="578" w:lineRule="exact"/>
        <w:ind w:firstLine="640" w:firstLineChars="200"/>
        <w:contextualSpacing/>
        <w:jc w:val="left"/>
        <w:rPr>
          <w:lang w:val="zh-CN"/>
        </w:rPr>
      </w:pPr>
      <w:r>
        <w:rPr>
          <w:rFonts w:ascii="仿宋_GB2312"/>
          <w:szCs w:val="32"/>
        </w:rPr>
        <w:t>严控一般性支出</w:t>
      </w:r>
      <w:r>
        <w:rPr>
          <w:rFonts w:hint="eastAsia" w:ascii="仿宋_GB2312"/>
          <w:szCs w:val="32"/>
        </w:rPr>
        <w:t>：我单位严控“三公”经费、会议、培训、差旅、办节办展、办公设备购置、信息网络及软件购置更新、课题经费等8项一般性支出。我单位2024年9月成立，无法对比上年数据</w:t>
      </w:r>
      <w:r>
        <w:rPr>
          <w:rFonts w:hint="eastAsia" w:ascii="仿宋_GB2312"/>
          <w:szCs w:val="32"/>
          <w:lang w:val="zh-CN"/>
        </w:rPr>
        <w:t>指标分值</w:t>
      </w:r>
      <w:r>
        <w:rPr>
          <w:rFonts w:hint="eastAsia" w:ascii="仿宋_GB2312"/>
          <w:szCs w:val="32"/>
        </w:rPr>
        <w:t>5</w:t>
      </w:r>
      <w:r>
        <w:rPr>
          <w:rFonts w:hint="eastAsia" w:ascii="仿宋_GB2312"/>
          <w:szCs w:val="32"/>
          <w:lang w:val="zh-CN"/>
        </w:rPr>
        <w:t>分，自评得分</w:t>
      </w:r>
      <w:r>
        <w:rPr>
          <w:rFonts w:hint="eastAsia" w:ascii="仿宋_GB2312"/>
          <w:szCs w:val="32"/>
        </w:rPr>
        <w:t>5</w:t>
      </w:r>
      <w:r>
        <w:rPr>
          <w:rFonts w:hint="eastAsia" w:ascii="仿宋_GB2312"/>
          <w:szCs w:val="32"/>
          <w:lang w:val="zh-CN"/>
        </w:rPr>
        <w:t>分。</w:t>
      </w:r>
    </w:p>
    <w:p>
      <w:pPr>
        <w:adjustRightInd w:val="0"/>
        <w:snapToGrid w:val="0"/>
        <w:spacing w:line="578" w:lineRule="exact"/>
        <w:ind w:left="640" w:leftChars="200"/>
        <w:contextualSpacing/>
        <w:jc w:val="left"/>
        <w:rPr>
          <w:rFonts w:eastAsia="楷体_GB2312"/>
          <w:b/>
          <w:bCs/>
          <w:color w:val="000000"/>
          <w:kern w:val="0"/>
          <w:szCs w:val="32"/>
          <w:shd w:val="clear" w:color="auto" w:fill="FFFFFF"/>
          <w:lang w:val="zh-CN"/>
        </w:rPr>
      </w:pPr>
      <w:r>
        <w:rPr>
          <w:rFonts w:hint="eastAsia" w:eastAsia="楷体_GB2312"/>
          <w:b/>
          <w:bCs/>
          <w:color w:val="000000"/>
          <w:kern w:val="0"/>
          <w:szCs w:val="32"/>
          <w:shd w:val="clear" w:color="auto" w:fill="FFFFFF"/>
        </w:rPr>
        <w:t>3.</w:t>
      </w:r>
      <w:r>
        <w:rPr>
          <w:rFonts w:eastAsia="楷体_GB2312"/>
          <w:b/>
          <w:bCs/>
          <w:color w:val="000000"/>
          <w:kern w:val="0"/>
          <w:szCs w:val="32"/>
          <w:shd w:val="clear" w:color="auto" w:fill="FFFFFF"/>
          <w:lang w:val="zh-CN"/>
        </w:rPr>
        <w:t>财务管理。指标分值</w:t>
      </w:r>
      <w:r>
        <w:rPr>
          <w:rFonts w:hint="eastAsia" w:eastAsia="楷体_GB2312"/>
          <w:b/>
          <w:bCs/>
          <w:color w:val="000000"/>
          <w:kern w:val="0"/>
          <w:szCs w:val="32"/>
          <w:shd w:val="clear" w:color="auto" w:fill="FFFFFF"/>
        </w:rPr>
        <w:t>10</w:t>
      </w:r>
      <w:r>
        <w:rPr>
          <w:rFonts w:eastAsia="楷体_GB2312"/>
          <w:b/>
          <w:bCs/>
          <w:color w:val="000000"/>
          <w:kern w:val="0"/>
          <w:szCs w:val="32"/>
          <w:shd w:val="clear" w:color="auto" w:fill="FFFFFF"/>
          <w:lang w:val="zh-CN"/>
        </w:rPr>
        <w:t>分，自评得分</w:t>
      </w:r>
      <w:r>
        <w:rPr>
          <w:rFonts w:hint="eastAsia" w:eastAsia="楷体_GB2312"/>
          <w:b/>
          <w:bCs/>
          <w:color w:val="000000"/>
          <w:kern w:val="0"/>
          <w:szCs w:val="32"/>
          <w:shd w:val="clear" w:color="auto" w:fill="FFFFFF"/>
        </w:rPr>
        <w:t>10</w:t>
      </w:r>
      <w:r>
        <w:rPr>
          <w:rFonts w:eastAsia="楷体_GB2312"/>
          <w:b/>
          <w:bCs/>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财务管理制度：强化制度建设。不断强化财务管理制度建设，依据相关法律、法规及管理办法，制定符合我</w:t>
      </w:r>
      <w:r>
        <w:rPr>
          <w:rFonts w:hint="eastAsia" w:ascii="仿宋_GB2312" w:cs="仿宋_GB2312"/>
          <w:color w:val="000000"/>
          <w:kern w:val="0"/>
          <w:szCs w:val="32"/>
          <w:shd w:val="clear" w:color="auto" w:fill="FFFFFF"/>
        </w:rPr>
        <w:t>单位</w:t>
      </w:r>
      <w:r>
        <w:rPr>
          <w:rFonts w:hint="eastAsia" w:ascii="仿宋_GB2312" w:cs="仿宋_GB2312"/>
          <w:color w:val="000000"/>
          <w:kern w:val="0"/>
          <w:szCs w:val="32"/>
          <w:shd w:val="clear" w:color="auto" w:fill="FFFFFF"/>
          <w:lang w:val="zh-CN"/>
        </w:rPr>
        <w:t>财务制度，着重从预算绩效管理主要内容和环节，规范操作程序和质量控制要求，构建起工作有指导、实施有方案、内部有规程等相互支撑制度体系。指标分值</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rPr>
      </w:pPr>
      <w:r>
        <w:rPr>
          <w:rFonts w:hint="eastAsia" w:ascii="仿宋_GB2312" w:cs="仿宋_GB2312"/>
          <w:color w:val="000000"/>
          <w:kern w:val="0"/>
          <w:szCs w:val="32"/>
          <w:shd w:val="clear" w:color="auto" w:fill="FFFFFF"/>
          <w:lang w:val="zh-CN"/>
        </w:rPr>
        <w:t>财务岗位设置：我</w:t>
      </w:r>
      <w:r>
        <w:rPr>
          <w:rFonts w:hint="eastAsia" w:ascii="仿宋_GB2312" w:cs="仿宋_GB2312"/>
          <w:color w:val="000000"/>
          <w:kern w:val="0"/>
          <w:szCs w:val="32"/>
          <w:shd w:val="clear" w:color="auto" w:fill="FFFFFF"/>
        </w:rPr>
        <w:t>单位</w:t>
      </w:r>
      <w:r>
        <w:rPr>
          <w:rFonts w:hint="eastAsia" w:ascii="仿宋_GB2312" w:cs="仿宋_GB2312"/>
          <w:color w:val="000000"/>
          <w:kern w:val="0"/>
          <w:szCs w:val="32"/>
          <w:shd w:val="clear" w:color="auto" w:fill="FFFFFF"/>
          <w:lang w:val="zh-CN"/>
        </w:rPr>
        <w:t>按照财务制度规定</w:t>
      </w:r>
      <w:r>
        <w:rPr>
          <w:rFonts w:hint="eastAsia" w:ascii="仿宋_GB2312" w:cs="仿宋_GB2312"/>
          <w:color w:val="000000"/>
          <w:kern w:val="0"/>
          <w:szCs w:val="32"/>
          <w:shd w:val="clear" w:color="auto" w:fill="FFFFFF"/>
        </w:rPr>
        <w:t>,设立会计、出纳岗位，相互监督。</w:t>
      </w:r>
      <w:r>
        <w:rPr>
          <w:rFonts w:hint="eastAsia" w:ascii="仿宋_GB2312" w:cs="仿宋_GB2312"/>
          <w:color w:val="000000"/>
          <w:kern w:val="0"/>
          <w:szCs w:val="32"/>
          <w:shd w:val="clear" w:color="auto" w:fill="FFFFFF"/>
          <w:lang w:val="zh-CN"/>
        </w:rPr>
        <w:t>指标分值</w:t>
      </w:r>
      <w:r>
        <w:rPr>
          <w:rFonts w:hint="eastAsia" w:ascii="仿宋_GB2312" w:cs="仿宋_GB2312"/>
          <w:color w:val="000000"/>
          <w:kern w:val="0"/>
          <w:szCs w:val="32"/>
          <w:shd w:val="clear" w:color="auto" w:fill="FFFFFF"/>
        </w:rPr>
        <w:t>2</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2</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资金使用规范：本年度收到预算资金</w:t>
      </w:r>
      <w:r>
        <w:rPr>
          <w:rFonts w:hint="eastAsia" w:ascii="仿宋_GB2312" w:cs="仿宋_GB2312"/>
          <w:color w:val="000000"/>
          <w:kern w:val="0"/>
          <w:szCs w:val="32"/>
          <w:shd w:val="clear" w:color="auto" w:fill="FFFFFF"/>
        </w:rPr>
        <w:t>545.39</w:t>
      </w:r>
      <w:r>
        <w:rPr>
          <w:rFonts w:hint="eastAsia" w:ascii="仿宋_GB2312" w:cs="仿宋_GB2312"/>
          <w:color w:val="000000"/>
          <w:kern w:val="0"/>
          <w:szCs w:val="32"/>
          <w:shd w:val="clear" w:color="auto" w:fill="FFFFFF"/>
          <w:lang w:val="zh-CN"/>
        </w:rPr>
        <w:t>万元，实际使用</w:t>
      </w:r>
      <w:r>
        <w:rPr>
          <w:rFonts w:hint="eastAsia" w:ascii="仿宋_GB2312" w:cs="仿宋_GB2312"/>
          <w:color w:val="000000"/>
          <w:kern w:val="0"/>
          <w:szCs w:val="32"/>
          <w:shd w:val="clear" w:color="auto" w:fill="FFFFFF"/>
        </w:rPr>
        <w:t>519.96</w:t>
      </w:r>
      <w:r>
        <w:rPr>
          <w:rFonts w:hint="eastAsia" w:ascii="仿宋_GB2312" w:cs="仿宋_GB2312"/>
          <w:color w:val="000000"/>
          <w:kern w:val="0"/>
          <w:szCs w:val="32"/>
          <w:shd w:val="clear" w:color="auto" w:fill="FFFFFF"/>
          <w:lang w:val="zh-CN"/>
        </w:rPr>
        <w:t>万元，</w:t>
      </w:r>
      <w:r>
        <w:rPr>
          <w:rFonts w:hint="eastAsia" w:ascii="仿宋_GB2312" w:cs="仿宋_GB2312"/>
          <w:color w:val="000000"/>
          <w:kern w:val="0"/>
          <w:szCs w:val="32"/>
          <w:shd w:val="clear" w:color="auto" w:fill="FFFFFF"/>
        </w:rPr>
        <w:t>结余资金25.43万元。主要原因是项目为跨年项目，2025年未完工。</w:t>
      </w:r>
      <w:r>
        <w:rPr>
          <w:rFonts w:hint="eastAsia" w:ascii="仿宋_GB2312" w:cs="仿宋_GB2312"/>
          <w:color w:val="000000"/>
          <w:kern w:val="0"/>
          <w:szCs w:val="32"/>
          <w:shd w:val="clear" w:color="auto" w:fill="FFFFFF"/>
          <w:lang w:val="zh-CN"/>
        </w:rPr>
        <w:t>资金使用过程中严格按照单位财务管理制度要求执行，提高资金使用的合规性。指标分值</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w:t>
      </w:r>
    </w:p>
    <w:p>
      <w:pPr>
        <w:spacing w:line="360" w:lineRule="auto"/>
        <w:ind w:firstLine="642" w:firstLineChars="200"/>
        <w:rPr>
          <w:rFonts w:ascii="仿宋_GB2312" w:cs="仿宋_GB2312"/>
          <w:b/>
          <w:bCs/>
          <w:szCs w:val="32"/>
          <w:lang w:val="zh-CN"/>
        </w:rPr>
      </w:pPr>
      <w:r>
        <w:rPr>
          <w:rFonts w:hint="eastAsia" w:eastAsia="楷体_GB2312"/>
          <w:b/>
          <w:bCs/>
          <w:color w:val="000000"/>
          <w:kern w:val="0"/>
          <w:szCs w:val="32"/>
          <w:shd w:val="clear" w:color="auto" w:fill="FFFFFF"/>
        </w:rPr>
        <w:t>4.</w:t>
      </w:r>
      <w:r>
        <w:rPr>
          <w:rFonts w:eastAsia="楷体_GB2312"/>
          <w:b/>
          <w:bCs/>
          <w:color w:val="000000"/>
          <w:kern w:val="0"/>
          <w:szCs w:val="32"/>
          <w:shd w:val="clear" w:color="auto" w:fill="FFFFFF"/>
          <w:lang w:val="zh-CN"/>
        </w:rPr>
        <w:t>资产管理。</w:t>
      </w:r>
      <w:r>
        <w:rPr>
          <w:rFonts w:hint="eastAsia" w:ascii="仿宋_GB2312" w:cs="仿宋_GB2312"/>
          <w:b/>
          <w:bCs/>
          <w:szCs w:val="32"/>
          <w:lang w:val="zh-CN"/>
        </w:rPr>
        <w:t>指标分值</w:t>
      </w:r>
      <w:r>
        <w:rPr>
          <w:rFonts w:hint="eastAsia" w:ascii="仿宋_GB2312" w:cs="仿宋_GB2312"/>
          <w:b/>
          <w:bCs/>
          <w:szCs w:val="32"/>
        </w:rPr>
        <w:t>9</w:t>
      </w:r>
      <w:r>
        <w:rPr>
          <w:rFonts w:hint="eastAsia" w:ascii="仿宋_GB2312" w:cs="仿宋_GB2312"/>
          <w:b/>
          <w:bCs/>
          <w:szCs w:val="32"/>
          <w:lang w:val="zh-CN"/>
        </w:rPr>
        <w:t>分，自评得分</w:t>
      </w:r>
      <w:r>
        <w:rPr>
          <w:rFonts w:hint="eastAsia" w:ascii="仿宋_GB2312" w:cs="仿宋_GB2312"/>
          <w:b/>
          <w:bCs/>
          <w:szCs w:val="32"/>
        </w:rPr>
        <w:t>9</w:t>
      </w:r>
      <w:r>
        <w:rPr>
          <w:rFonts w:hint="eastAsia" w:ascii="仿宋_GB2312" w:cs="仿宋_GB2312"/>
          <w:b/>
          <w:bCs/>
          <w:szCs w:val="32"/>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rPr>
      </w:pPr>
      <w:r>
        <w:rPr>
          <w:rFonts w:hint="eastAsia" w:ascii="仿宋_GB2312" w:cs="仿宋_GB2312"/>
          <w:color w:val="000000"/>
          <w:kern w:val="0"/>
          <w:szCs w:val="32"/>
          <w:shd w:val="clear" w:color="auto" w:fill="FFFFFF"/>
          <w:lang w:val="zh-CN"/>
        </w:rPr>
        <w:t>人均资产变化率</w:t>
      </w:r>
      <w:r>
        <w:rPr>
          <w:rFonts w:hint="eastAsia" w:ascii="仿宋_GB2312" w:cs="仿宋_GB2312"/>
          <w:color w:val="000000"/>
          <w:kern w:val="0"/>
          <w:szCs w:val="32"/>
          <w:shd w:val="clear" w:color="auto" w:fill="FFFFFF"/>
        </w:rPr>
        <w:t>=(期末人均资产-期初人均资产)/期初人均资产*100%。均符合相关规定，低于规定值。</w:t>
      </w:r>
      <w:r>
        <w:rPr>
          <w:rFonts w:hint="eastAsia" w:ascii="仿宋_GB2312" w:cs="仿宋_GB2312"/>
          <w:color w:val="000000"/>
          <w:kern w:val="0"/>
          <w:szCs w:val="32"/>
          <w:shd w:val="clear" w:color="auto" w:fill="FFFFFF"/>
          <w:lang w:val="zh-CN"/>
        </w:rPr>
        <w:t>指标分值</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资产利用率。</w:t>
      </w:r>
      <w:r>
        <w:rPr>
          <w:rFonts w:hint="default" w:ascii="仿宋_GB2312" w:cs="仿宋_GB2312"/>
          <w:color w:val="000000"/>
          <w:kern w:val="0"/>
          <w:szCs w:val="32"/>
          <w:shd w:val="clear" w:color="auto" w:fill="FFFFFF"/>
        </w:rPr>
        <w:t>截止到</w:t>
      </w:r>
      <w:r>
        <w:rPr>
          <w:rFonts w:hint="eastAsia" w:ascii="仿宋_GB2312" w:cs="仿宋_GB2312"/>
          <w:color w:val="000000"/>
          <w:kern w:val="0"/>
          <w:szCs w:val="32"/>
          <w:shd w:val="clear" w:color="auto" w:fill="FFFFFF"/>
          <w:lang w:val="zh-CN"/>
        </w:rPr>
        <w:t>202</w:t>
      </w:r>
      <w:r>
        <w:rPr>
          <w:rFonts w:hint="eastAsia" w:ascii="仿宋_GB2312" w:cs="仿宋_GB2312"/>
          <w:color w:val="000000"/>
          <w:kern w:val="0"/>
          <w:szCs w:val="32"/>
          <w:shd w:val="clear" w:color="auto" w:fill="FFFFFF"/>
        </w:rPr>
        <w:t>5</w:t>
      </w:r>
      <w:r>
        <w:rPr>
          <w:rFonts w:hint="eastAsia" w:ascii="仿宋_GB2312" w:cs="仿宋_GB2312"/>
          <w:color w:val="000000"/>
          <w:kern w:val="0"/>
          <w:szCs w:val="32"/>
          <w:shd w:val="clear" w:color="auto" w:fill="FFFFFF"/>
          <w:lang w:val="zh-CN"/>
        </w:rPr>
        <w:t>年12月31日，固定资产总计</w:t>
      </w:r>
      <w:r>
        <w:rPr>
          <w:rFonts w:hint="eastAsia" w:ascii="仿宋_GB2312" w:cs="仿宋_GB2312"/>
          <w:color w:val="000000"/>
          <w:kern w:val="0"/>
          <w:szCs w:val="32"/>
          <w:shd w:val="clear" w:color="auto" w:fill="FFFFFF"/>
        </w:rPr>
        <w:t>117.10</w:t>
      </w:r>
      <w:r>
        <w:rPr>
          <w:rFonts w:hint="eastAsia" w:ascii="仿宋_GB2312" w:cs="仿宋_GB2312"/>
          <w:color w:val="000000"/>
          <w:kern w:val="0"/>
          <w:szCs w:val="32"/>
          <w:shd w:val="clear" w:color="auto" w:fill="FFFFFF"/>
          <w:lang w:val="zh-CN"/>
        </w:rPr>
        <w:t>万元，在用的固定资产总计</w:t>
      </w:r>
      <w:r>
        <w:rPr>
          <w:rFonts w:hint="eastAsia" w:ascii="仿宋_GB2312" w:cs="仿宋_GB2312"/>
          <w:color w:val="000000"/>
          <w:kern w:val="0"/>
          <w:szCs w:val="32"/>
          <w:shd w:val="clear" w:color="auto" w:fill="FFFFFF"/>
        </w:rPr>
        <w:t>117.10</w:t>
      </w:r>
      <w:r>
        <w:rPr>
          <w:rFonts w:hint="eastAsia" w:ascii="仿宋_GB2312" w:cs="仿宋_GB2312"/>
          <w:color w:val="000000"/>
          <w:kern w:val="0"/>
          <w:szCs w:val="32"/>
          <w:shd w:val="clear" w:color="auto" w:fill="FFFFFF"/>
          <w:lang w:val="zh-CN"/>
        </w:rPr>
        <w:t>万元，固定资产在用率达100%。指标分值</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资产盘活率。资产闲置</w:t>
      </w:r>
      <w:r>
        <w:rPr>
          <w:rFonts w:hint="eastAsia" w:ascii="仿宋_GB2312" w:cs="仿宋_GB2312"/>
          <w:color w:val="000000"/>
          <w:kern w:val="0"/>
          <w:szCs w:val="32"/>
          <w:shd w:val="clear" w:color="auto" w:fill="FFFFFF"/>
        </w:rPr>
        <w:t>0万元，</w:t>
      </w:r>
      <w:r>
        <w:rPr>
          <w:rFonts w:hint="eastAsia" w:ascii="仿宋_GB2312" w:cs="仿宋_GB2312"/>
          <w:color w:val="000000"/>
          <w:kern w:val="0"/>
          <w:szCs w:val="32"/>
          <w:shd w:val="clear" w:color="auto" w:fill="FFFFFF"/>
          <w:lang w:val="zh-CN"/>
        </w:rPr>
        <w:t>资产盘活率达</w:t>
      </w:r>
      <w:r>
        <w:rPr>
          <w:rFonts w:hint="eastAsia" w:ascii="仿宋_GB2312" w:cs="仿宋_GB2312"/>
          <w:color w:val="000000"/>
          <w:kern w:val="0"/>
          <w:szCs w:val="32"/>
          <w:shd w:val="clear" w:color="auto" w:fill="FFFFFF"/>
        </w:rPr>
        <w:t>100%。</w:t>
      </w:r>
      <w:r>
        <w:rPr>
          <w:rFonts w:hint="eastAsia" w:ascii="仿宋_GB2312" w:cs="仿宋_GB2312"/>
          <w:color w:val="000000"/>
          <w:kern w:val="0"/>
          <w:szCs w:val="32"/>
          <w:shd w:val="clear" w:color="auto" w:fill="FFFFFF"/>
          <w:lang w:val="zh-CN"/>
        </w:rPr>
        <w:t>指标分值</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2" w:firstLineChars="200"/>
        <w:contextualSpacing/>
        <w:jc w:val="left"/>
        <w:rPr>
          <w:rFonts w:ascii="仿宋_GB2312" w:cs="仿宋_GB2312"/>
          <w:b/>
          <w:bCs/>
          <w:color w:val="000000"/>
          <w:kern w:val="0"/>
          <w:szCs w:val="32"/>
          <w:shd w:val="clear" w:color="auto" w:fill="FFFFFF"/>
          <w:lang w:val="zh-CN"/>
        </w:rPr>
      </w:pPr>
      <w:r>
        <w:rPr>
          <w:rFonts w:hint="eastAsia" w:ascii="仿宋_GB2312" w:cs="仿宋_GB2312"/>
          <w:b/>
          <w:bCs/>
          <w:color w:val="000000"/>
          <w:kern w:val="0"/>
          <w:szCs w:val="32"/>
          <w:shd w:val="clear" w:color="auto" w:fill="FFFFFF"/>
        </w:rPr>
        <w:t>5.</w:t>
      </w:r>
      <w:r>
        <w:rPr>
          <w:rFonts w:hint="eastAsia" w:ascii="仿宋_GB2312" w:cs="仿宋_GB2312"/>
          <w:b/>
          <w:bCs/>
          <w:color w:val="000000"/>
          <w:kern w:val="0"/>
          <w:szCs w:val="32"/>
          <w:shd w:val="clear" w:color="auto" w:fill="FFFFFF"/>
          <w:lang w:val="zh-CN"/>
        </w:rPr>
        <w:t>采购管理。指标分值</w:t>
      </w:r>
      <w:r>
        <w:rPr>
          <w:rFonts w:hint="eastAsia" w:ascii="仿宋_GB2312" w:cs="仿宋_GB2312"/>
          <w:b/>
          <w:bCs/>
          <w:color w:val="000000"/>
          <w:kern w:val="0"/>
          <w:szCs w:val="32"/>
          <w:shd w:val="clear" w:color="auto" w:fill="FFFFFF"/>
        </w:rPr>
        <w:t>6</w:t>
      </w:r>
      <w:r>
        <w:rPr>
          <w:rFonts w:hint="eastAsia" w:ascii="仿宋_GB2312" w:cs="仿宋_GB2312"/>
          <w:b/>
          <w:bCs/>
          <w:color w:val="000000"/>
          <w:kern w:val="0"/>
          <w:szCs w:val="32"/>
          <w:shd w:val="clear" w:color="auto" w:fill="FFFFFF"/>
          <w:lang w:val="zh-CN"/>
        </w:rPr>
        <w:t>分，自评得分</w:t>
      </w:r>
      <w:r>
        <w:rPr>
          <w:rFonts w:hint="eastAsia" w:ascii="仿宋_GB2312" w:cs="仿宋_GB2312"/>
          <w:b/>
          <w:bCs/>
          <w:color w:val="000000"/>
          <w:kern w:val="0"/>
          <w:szCs w:val="32"/>
          <w:shd w:val="clear" w:color="auto" w:fill="FFFFFF"/>
        </w:rPr>
        <w:t>6</w:t>
      </w:r>
      <w:r>
        <w:rPr>
          <w:rFonts w:hint="eastAsia" w:ascii="仿宋_GB2312" w:cs="仿宋_GB2312"/>
          <w:b/>
          <w:bCs/>
          <w:color w:val="000000"/>
          <w:kern w:val="0"/>
          <w:szCs w:val="32"/>
          <w:shd w:val="clear" w:color="auto" w:fill="FFFFFF"/>
          <w:lang w:val="zh-CN"/>
        </w:rPr>
        <w:t>分。</w:t>
      </w:r>
    </w:p>
    <w:p>
      <w:pPr>
        <w:spacing w:line="360" w:lineRule="auto"/>
        <w:ind w:firstLine="640" w:firstLineChars="200"/>
        <w:rPr>
          <w:rFonts w:ascii="仿宋_GB2312" w:cs="仿宋_GB2312"/>
          <w:szCs w:val="32"/>
        </w:rPr>
      </w:pPr>
      <w:r>
        <w:rPr>
          <w:rFonts w:hint="eastAsia" w:ascii="仿宋_GB2312" w:cs="仿宋_GB2312"/>
          <w:szCs w:val="32"/>
        </w:rPr>
        <w:t>采购执行率：采购执行规范性，2025年年度政府采购货物计划1.93万元，支出1.93万元，政府采购工程支出0万元，政府采购服务支出1.58万元。</w:t>
      </w:r>
      <w:r>
        <w:rPr>
          <w:rFonts w:hint="eastAsia" w:ascii="仿宋_GB2312"/>
          <w:szCs w:val="32"/>
          <w:lang w:val="zh-CN"/>
        </w:rPr>
        <w:t>指标分值</w:t>
      </w:r>
      <w:r>
        <w:rPr>
          <w:rFonts w:hint="eastAsia" w:ascii="仿宋_GB2312"/>
          <w:szCs w:val="32"/>
        </w:rPr>
        <w:t>3</w:t>
      </w:r>
      <w:r>
        <w:rPr>
          <w:rFonts w:hint="eastAsia" w:ascii="仿宋_GB2312"/>
          <w:szCs w:val="32"/>
          <w:lang w:val="zh-CN"/>
        </w:rPr>
        <w:t>分，自评得分</w:t>
      </w:r>
      <w:r>
        <w:rPr>
          <w:rFonts w:hint="eastAsia" w:ascii="仿宋_GB2312"/>
          <w:szCs w:val="32"/>
        </w:rPr>
        <w:t>3</w:t>
      </w:r>
      <w:r>
        <w:rPr>
          <w:rFonts w:hint="eastAsia" w:ascii="仿宋_GB2312"/>
          <w:szCs w:val="32"/>
          <w:lang w:val="zh-CN"/>
        </w:rPr>
        <w:t>分。</w:t>
      </w:r>
    </w:p>
    <w:p>
      <w:pPr>
        <w:snapToGrid w:val="0"/>
        <w:spacing w:line="360" w:lineRule="auto"/>
        <w:ind w:firstLine="640" w:firstLineChars="200"/>
        <w:rPr>
          <w:rFonts w:ascii="仿宋_GB2312"/>
          <w:szCs w:val="32"/>
          <w:lang w:val="zh-CN"/>
        </w:rPr>
      </w:pPr>
      <w:r>
        <w:rPr>
          <w:rFonts w:hint="eastAsia" w:ascii="仿宋_GB2312" w:cs="仿宋_GB2312"/>
          <w:szCs w:val="32"/>
        </w:rPr>
        <w:t>支持中小企业发展：政府采购授予中小企业合同金额3.51万元，其中：授予小微企业合同金额</w:t>
      </w:r>
      <w:r>
        <w:rPr>
          <w:rFonts w:ascii="仿宋_GB2312" w:cs="仿宋_GB2312"/>
          <w:szCs w:val="32"/>
        </w:rPr>
        <w:t>0</w:t>
      </w:r>
      <w:r>
        <w:rPr>
          <w:rFonts w:hint="eastAsia" w:ascii="仿宋_GB2312" w:cs="仿宋_GB2312"/>
          <w:szCs w:val="32"/>
        </w:rPr>
        <w:t>万元。</w:t>
      </w:r>
      <w:r>
        <w:rPr>
          <w:rFonts w:hint="eastAsia" w:ascii="仿宋_GB2312"/>
          <w:szCs w:val="32"/>
          <w:lang w:val="zh-CN"/>
        </w:rPr>
        <w:t>指标分值</w:t>
      </w:r>
      <w:r>
        <w:rPr>
          <w:rFonts w:hint="eastAsia" w:ascii="仿宋_GB2312"/>
          <w:szCs w:val="32"/>
        </w:rPr>
        <w:t>3</w:t>
      </w:r>
      <w:r>
        <w:rPr>
          <w:rFonts w:hint="eastAsia" w:ascii="仿宋_GB2312"/>
          <w:szCs w:val="32"/>
          <w:lang w:val="zh-CN"/>
        </w:rPr>
        <w:t>分，自评得分</w:t>
      </w:r>
      <w:r>
        <w:rPr>
          <w:rFonts w:hint="eastAsia" w:ascii="仿宋_GB2312"/>
          <w:szCs w:val="32"/>
        </w:rPr>
        <w:t>3</w:t>
      </w:r>
      <w:r>
        <w:rPr>
          <w:rFonts w:hint="eastAsia" w:ascii="仿宋_GB2312"/>
          <w:szCs w:val="32"/>
          <w:lang w:val="zh-CN"/>
        </w:rPr>
        <w:t>分。</w:t>
      </w:r>
    </w:p>
    <w:p>
      <w:pPr>
        <w:widowControl/>
        <w:adjustRightInd w:val="0"/>
        <w:snapToGrid w:val="0"/>
        <w:spacing w:line="578" w:lineRule="exact"/>
        <w:ind w:firstLine="642" w:firstLineChars="200"/>
        <w:contextualSpacing/>
        <w:jc w:val="left"/>
        <w:rPr>
          <w:rFonts w:eastAsia="楷体_GB2312"/>
          <w:b/>
          <w:bCs/>
          <w:color w:val="000000"/>
          <w:kern w:val="0"/>
          <w:szCs w:val="32"/>
          <w:shd w:val="clear" w:color="auto" w:fill="FFFFFF"/>
        </w:rPr>
      </w:pPr>
      <w:r>
        <w:rPr>
          <w:rFonts w:eastAsia="楷体_GB2312"/>
          <w:b/>
          <w:bCs/>
          <w:color w:val="000000"/>
          <w:kern w:val="0"/>
          <w:szCs w:val="32"/>
          <w:shd w:val="clear" w:color="auto" w:fill="FFFFFF"/>
          <w:lang w:val="zh-CN"/>
        </w:rPr>
        <w:t>（二）部门预算项目绩效分析。</w:t>
      </w:r>
      <w:r>
        <w:rPr>
          <w:rFonts w:hint="eastAsia" w:eastAsia="楷体_GB2312"/>
          <w:b/>
          <w:bCs/>
          <w:color w:val="000000"/>
          <w:kern w:val="0"/>
          <w:szCs w:val="32"/>
          <w:shd w:val="clear" w:color="auto" w:fill="FFFFFF"/>
          <w:lang w:val="zh-CN"/>
        </w:rPr>
        <w:t>指标分值</w:t>
      </w:r>
      <w:r>
        <w:rPr>
          <w:rFonts w:hint="eastAsia" w:eastAsia="楷体_GB2312"/>
          <w:b/>
          <w:bCs/>
          <w:color w:val="000000"/>
          <w:kern w:val="0"/>
          <w:szCs w:val="32"/>
          <w:shd w:val="clear" w:color="auto" w:fill="FFFFFF"/>
        </w:rPr>
        <w:t>35分，自评得分35分。</w:t>
      </w:r>
    </w:p>
    <w:p>
      <w:pPr>
        <w:snapToGrid w:val="0"/>
        <w:spacing w:line="360" w:lineRule="auto"/>
        <w:ind w:firstLine="640" w:firstLineChars="200"/>
        <w:rPr>
          <w:color w:val="000000"/>
          <w:kern w:val="0"/>
          <w:szCs w:val="32"/>
          <w:shd w:val="clear" w:color="auto" w:fill="FFFFFF"/>
        </w:rPr>
      </w:pPr>
    </w:p>
    <w:p>
      <w:pPr>
        <w:adjustRightInd w:val="0"/>
        <w:snapToGrid w:val="0"/>
        <w:spacing w:line="578" w:lineRule="exact"/>
        <w:ind w:firstLine="640" w:firstLineChars="200"/>
        <w:contextualSpacing/>
        <w:jc w:val="left"/>
        <w:rPr>
          <w:color w:val="000000"/>
          <w:kern w:val="0"/>
          <w:szCs w:val="32"/>
          <w:shd w:val="clear" w:color="auto" w:fill="FFFFFF"/>
          <w:lang w:val="zh-CN"/>
        </w:rPr>
      </w:pPr>
      <w:r>
        <w:rPr>
          <w:color w:val="000000"/>
          <w:kern w:val="0"/>
          <w:szCs w:val="32"/>
          <w:shd w:val="clear" w:color="auto" w:fill="FFFFFF"/>
        </w:rPr>
        <w:t>常年项目绩效分析。</w:t>
      </w:r>
      <w:r>
        <w:rPr>
          <w:color w:val="000000"/>
          <w:kern w:val="0"/>
          <w:szCs w:val="32"/>
          <w:shd w:val="clear" w:color="auto" w:fill="FFFFFF"/>
          <w:lang w:val="zh-CN"/>
        </w:rPr>
        <w:t>该类项目总数</w:t>
      </w:r>
      <w:r>
        <w:rPr>
          <w:rFonts w:hint="eastAsia"/>
          <w:color w:val="000000"/>
          <w:kern w:val="0"/>
          <w:szCs w:val="32"/>
          <w:shd w:val="clear" w:color="auto" w:fill="FFFFFF"/>
        </w:rPr>
        <w:t>2</w:t>
      </w:r>
      <w:r>
        <w:rPr>
          <w:color w:val="000000"/>
          <w:kern w:val="0"/>
          <w:szCs w:val="32"/>
          <w:shd w:val="clear" w:color="auto" w:fill="FFFFFF"/>
          <w:lang w:val="zh-CN"/>
        </w:rPr>
        <w:t>个，涉及预算总金额</w:t>
      </w:r>
      <w:r>
        <w:rPr>
          <w:color w:val="000000"/>
          <w:kern w:val="0"/>
          <w:szCs w:val="32"/>
          <w:shd w:val="clear" w:color="auto" w:fill="FFFFFF"/>
        </w:rPr>
        <w:t xml:space="preserve">   </w:t>
      </w:r>
      <w:r>
        <w:rPr>
          <w:rFonts w:hint="eastAsia"/>
          <w:color w:val="000000"/>
          <w:kern w:val="0"/>
          <w:szCs w:val="32"/>
          <w:shd w:val="clear" w:color="auto" w:fill="FFFFFF"/>
        </w:rPr>
        <w:t>28.32</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月预算执行总体进度为</w:t>
      </w:r>
      <w:r>
        <w:rPr>
          <w:color w:val="000000"/>
          <w:kern w:val="0"/>
          <w:szCs w:val="32"/>
          <w:shd w:val="clear" w:color="auto" w:fill="FFFFFF"/>
        </w:rPr>
        <w:t xml:space="preserve"> </w:t>
      </w:r>
      <w:r>
        <w:rPr>
          <w:rFonts w:hint="eastAsia"/>
          <w:color w:val="000000"/>
          <w:kern w:val="0"/>
          <w:szCs w:val="32"/>
          <w:shd w:val="clear" w:color="auto" w:fill="FFFFFF"/>
        </w:rPr>
        <w:t>100</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rPr>
        <w:t>0</w:t>
      </w:r>
      <w:r>
        <w:rPr>
          <w:color w:val="000000"/>
          <w:kern w:val="0"/>
          <w:szCs w:val="32"/>
          <w:shd w:val="clear" w:color="auto" w:fill="FFFFFF"/>
          <w:lang w:val="zh-CN"/>
        </w:rPr>
        <w:t>个。</w:t>
      </w:r>
    </w:p>
    <w:p>
      <w:pPr>
        <w:adjustRightInd w:val="0"/>
        <w:snapToGrid w:val="0"/>
        <w:spacing w:line="578" w:lineRule="exact"/>
        <w:ind w:firstLine="640" w:firstLineChars="200"/>
        <w:contextualSpacing/>
        <w:jc w:val="left"/>
        <w:rPr>
          <w:color w:val="000000"/>
          <w:kern w:val="0"/>
          <w:szCs w:val="32"/>
          <w:shd w:val="clear" w:color="auto" w:fill="FFFFFF"/>
          <w:lang w:val="zh-CN"/>
        </w:rPr>
      </w:pPr>
      <w:r>
        <w:rPr>
          <w:color w:val="000000"/>
          <w:kern w:val="0"/>
          <w:szCs w:val="32"/>
          <w:shd w:val="clear" w:color="auto" w:fill="FFFFFF"/>
        </w:rPr>
        <w:t>阶段（</w:t>
      </w:r>
      <w:r>
        <w:rPr>
          <w:rFonts w:hint="eastAsia"/>
          <w:color w:val="000000"/>
          <w:kern w:val="0"/>
          <w:szCs w:val="32"/>
          <w:shd w:val="clear" w:color="auto" w:fill="FFFFFF"/>
        </w:rPr>
        <w:t>含</w:t>
      </w:r>
      <w:r>
        <w:rPr>
          <w:color w:val="000000"/>
          <w:kern w:val="0"/>
          <w:szCs w:val="32"/>
          <w:shd w:val="clear" w:color="auto" w:fill="FFFFFF"/>
        </w:rPr>
        <w:t>一次性）项目绩效分析。</w:t>
      </w:r>
      <w:r>
        <w:rPr>
          <w:color w:val="000000"/>
          <w:kern w:val="0"/>
          <w:szCs w:val="32"/>
          <w:shd w:val="clear" w:color="auto" w:fill="FFFFFF"/>
          <w:lang w:val="zh-CN"/>
        </w:rPr>
        <w:t>该类项目总数</w:t>
      </w:r>
      <w:r>
        <w:rPr>
          <w:rFonts w:hint="eastAsia"/>
          <w:color w:val="000000"/>
          <w:kern w:val="0"/>
          <w:szCs w:val="32"/>
          <w:shd w:val="clear" w:color="auto" w:fill="FFFFFF"/>
        </w:rPr>
        <w:t>4</w:t>
      </w:r>
      <w:r>
        <w:rPr>
          <w:color w:val="000000"/>
          <w:kern w:val="0"/>
          <w:szCs w:val="32"/>
          <w:shd w:val="clear" w:color="auto" w:fill="FFFFFF"/>
          <w:lang w:val="zh-CN"/>
        </w:rPr>
        <w:t>个，涉及预算总金额</w:t>
      </w:r>
      <w:r>
        <w:rPr>
          <w:rFonts w:hint="eastAsia"/>
          <w:color w:val="000000"/>
          <w:kern w:val="0"/>
          <w:szCs w:val="32"/>
          <w:shd w:val="clear" w:color="auto" w:fill="FFFFFF"/>
        </w:rPr>
        <w:t>101.59</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w:t>
      </w:r>
      <w:r>
        <w:rPr>
          <w:rFonts w:hint="eastAsia"/>
          <w:color w:val="000000"/>
          <w:kern w:val="0"/>
          <w:szCs w:val="32"/>
          <w:shd w:val="clear" w:color="auto" w:fill="FFFFFF"/>
        </w:rPr>
        <w:t>数77.16万元，</w:t>
      </w:r>
      <w:r>
        <w:rPr>
          <w:color w:val="000000"/>
          <w:kern w:val="0"/>
          <w:szCs w:val="32"/>
          <w:shd w:val="clear" w:color="auto" w:fill="FFFFFF"/>
          <w:lang w:val="zh-CN"/>
        </w:rPr>
        <w:t>总体进度为</w:t>
      </w:r>
      <w:r>
        <w:rPr>
          <w:rFonts w:hint="eastAsia"/>
          <w:color w:val="000000"/>
          <w:kern w:val="0"/>
          <w:szCs w:val="32"/>
          <w:shd w:val="clear" w:color="auto" w:fill="FFFFFF"/>
        </w:rPr>
        <w:t>75.95</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rPr>
        <w:t>1</w:t>
      </w:r>
      <w:r>
        <w:rPr>
          <w:color w:val="000000"/>
          <w:kern w:val="0"/>
          <w:szCs w:val="32"/>
          <w:shd w:val="clear" w:color="auto" w:fill="FFFFFF"/>
          <w:lang w:val="zh-CN"/>
        </w:rPr>
        <w:t>个。</w:t>
      </w:r>
    </w:p>
    <w:p>
      <w:pPr>
        <w:adjustRightInd w:val="0"/>
        <w:snapToGrid w:val="0"/>
        <w:spacing w:line="578" w:lineRule="exact"/>
        <w:ind w:firstLine="642" w:firstLineChars="200"/>
        <w:contextualSpacing/>
        <w:jc w:val="left"/>
        <w:rPr>
          <w:b/>
          <w:bCs/>
          <w:color w:val="000000"/>
          <w:kern w:val="0"/>
          <w:szCs w:val="32"/>
          <w:shd w:val="clear" w:color="auto" w:fill="FFFFFF"/>
          <w:lang w:val="zh-CN"/>
        </w:rPr>
      </w:pPr>
      <w:r>
        <w:rPr>
          <w:rFonts w:hint="eastAsia" w:ascii="仿宋_GB2312" w:cs="仿宋_GB2312"/>
          <w:b/>
          <w:bCs/>
          <w:color w:val="000000"/>
          <w:kern w:val="0"/>
          <w:szCs w:val="32"/>
          <w:shd w:val="clear" w:color="auto" w:fill="FFFFFF"/>
        </w:rPr>
        <w:t>1.</w:t>
      </w:r>
      <w:r>
        <w:rPr>
          <w:rFonts w:hint="eastAsia" w:ascii="仿宋_GB2312" w:cs="仿宋_GB2312"/>
          <w:b/>
          <w:bCs/>
          <w:color w:val="000000"/>
          <w:kern w:val="0"/>
          <w:szCs w:val="32"/>
          <w:shd w:val="clear" w:color="auto" w:fill="FFFFFF"/>
          <w:lang w:val="zh-CN"/>
        </w:rPr>
        <w:t>项目决策。</w:t>
      </w:r>
      <w:r>
        <w:rPr>
          <w:rFonts w:ascii="仿宋_GB2312" w:cs="仿宋_GB2312"/>
          <w:b/>
          <w:bCs/>
          <w:color w:val="000000"/>
          <w:kern w:val="0"/>
          <w:szCs w:val="32"/>
          <w:shd w:val="clear" w:color="auto" w:fill="FFFFFF"/>
          <w:lang w:val="zh-CN"/>
        </w:rPr>
        <w:t>指标分值</w:t>
      </w:r>
      <w:r>
        <w:rPr>
          <w:rFonts w:hint="eastAsia" w:ascii="仿宋_GB2312" w:cs="仿宋_GB2312"/>
          <w:b/>
          <w:bCs/>
          <w:color w:val="000000"/>
          <w:kern w:val="0"/>
          <w:szCs w:val="32"/>
          <w:shd w:val="clear" w:color="auto" w:fill="FFFFFF"/>
        </w:rPr>
        <w:t>12</w:t>
      </w:r>
      <w:r>
        <w:rPr>
          <w:rFonts w:ascii="仿宋_GB2312" w:cs="仿宋_GB2312"/>
          <w:b/>
          <w:bCs/>
          <w:color w:val="000000"/>
          <w:kern w:val="0"/>
          <w:szCs w:val="32"/>
          <w:shd w:val="clear" w:color="auto" w:fill="FFFFFF"/>
          <w:lang w:val="zh-CN"/>
        </w:rPr>
        <w:t>分，自评得分</w:t>
      </w:r>
      <w:r>
        <w:rPr>
          <w:rFonts w:hint="eastAsia" w:ascii="仿宋_GB2312" w:cs="仿宋_GB2312"/>
          <w:b/>
          <w:bCs/>
          <w:color w:val="000000"/>
          <w:kern w:val="0"/>
          <w:szCs w:val="32"/>
          <w:shd w:val="clear" w:color="auto" w:fill="FFFFFF"/>
        </w:rPr>
        <w:t>12</w:t>
      </w:r>
      <w:r>
        <w:rPr>
          <w:rFonts w:ascii="仿宋_GB2312" w:cs="仿宋_GB2312"/>
          <w:b/>
          <w:bCs/>
          <w:color w:val="000000"/>
          <w:kern w:val="0"/>
          <w:szCs w:val="32"/>
          <w:shd w:val="clear" w:color="auto" w:fill="FFFFFF"/>
          <w:lang w:val="zh-CN"/>
        </w:rPr>
        <w:t>分</w:t>
      </w:r>
      <w:r>
        <w:rPr>
          <w:b/>
          <w:bCs/>
          <w:color w:val="000000"/>
          <w:kern w:val="0"/>
          <w:szCs w:val="32"/>
          <w:shd w:val="clear" w:color="auto" w:fill="FFFFFF"/>
          <w:lang w:val="zh-CN"/>
        </w:rPr>
        <w:t>。</w:t>
      </w:r>
    </w:p>
    <w:p>
      <w:pPr>
        <w:spacing w:line="360" w:lineRule="auto"/>
        <w:ind w:firstLine="640" w:firstLineChars="200"/>
        <w:rPr>
          <w:rFonts w:ascii="仿宋_GB2312" w:cs="仿宋_GB2312"/>
          <w:szCs w:val="32"/>
          <w:lang w:val="zh-CN"/>
        </w:rPr>
      </w:pPr>
      <w:r>
        <w:rPr>
          <w:rFonts w:hint="eastAsia" w:ascii="仿宋_GB2312" w:cs="仿宋_GB2312"/>
          <w:szCs w:val="32"/>
        </w:rPr>
        <w:t>决策程序;我单位从项目立项必要性、投入经济性、目标合理性、实施可行性、筹资合规性。按照厉行节约的要求，结合项目开支情况结合实际需求、相关费用标准及市场价格水平，重点对目标数量是否合理、投入是否经济、预算测算是否准确、测算过程是否详细、测算依据是否充分等方面进行了分析。</w:t>
      </w:r>
      <w:r>
        <w:rPr>
          <w:rFonts w:hint="eastAsia" w:ascii="仿宋_GB2312" w:cs="仿宋_GB2312"/>
          <w:szCs w:val="32"/>
          <w:lang w:val="zh-CN"/>
        </w:rPr>
        <w:t>确定项目实施。指标分值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ascii="仿宋_GB2312" w:cs="仿宋_GB2312"/>
          <w:szCs w:val="32"/>
        </w:rPr>
      </w:pPr>
      <w:r>
        <w:rPr>
          <w:rFonts w:hint="eastAsia" w:ascii="仿宋_GB2312" w:cs="仿宋_GB2312"/>
          <w:szCs w:val="32"/>
          <w:lang w:val="zh-CN"/>
        </w:rPr>
        <w:t>目标设置</w:t>
      </w:r>
      <w:r>
        <w:rPr>
          <w:rFonts w:hint="eastAsia" w:ascii="仿宋_GB2312" w:cs="仿宋_GB2312"/>
          <w:szCs w:val="32"/>
        </w:rPr>
        <w:t>:</w:t>
      </w:r>
      <w:r>
        <w:rPr>
          <w:rFonts w:hint="eastAsia" w:ascii="仿宋_GB2312" w:cs="仿宋_GB2312"/>
          <w:szCs w:val="32"/>
          <w:lang w:val="zh-CN"/>
        </w:rPr>
        <w:t>申报的</w:t>
      </w:r>
      <w:r>
        <w:rPr>
          <w:rFonts w:hint="eastAsia" w:ascii="仿宋_GB2312" w:cs="仿宋_GB2312"/>
          <w:szCs w:val="32"/>
        </w:rPr>
        <w:t>资金项目内容</w:t>
      </w:r>
      <w:r>
        <w:rPr>
          <w:rFonts w:hint="eastAsia" w:ascii="仿宋_GB2312" w:cs="仿宋_GB2312"/>
          <w:szCs w:val="32"/>
          <w:lang w:val="zh-CN"/>
        </w:rPr>
        <w:t>与具体实施内容相符的、申报目标是合理可行。指标分值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lang w:val="zh-CN"/>
        </w:rPr>
      </w:pPr>
      <w:r>
        <w:rPr>
          <w:rFonts w:hint="eastAsia" w:ascii="仿宋_GB2312" w:cs="仿宋_GB2312"/>
          <w:szCs w:val="32"/>
        </w:rPr>
        <w:t>项目入库；我单位按照项目建设要求在规定时间完成项目入库。</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2" w:firstLineChars="200"/>
        <w:rPr>
          <w:rFonts w:ascii="仿宋_GB2312" w:cs="仿宋_GB2312"/>
          <w:b/>
          <w:bCs/>
          <w:szCs w:val="32"/>
          <w:lang w:val="zh-CN"/>
        </w:rPr>
      </w:pPr>
      <w:r>
        <w:rPr>
          <w:rFonts w:hint="eastAsia" w:ascii="仿宋_GB2312" w:cs="仿宋_GB2312"/>
          <w:b/>
          <w:bCs/>
          <w:szCs w:val="32"/>
        </w:rPr>
        <w:t>2.</w:t>
      </w:r>
      <w:r>
        <w:rPr>
          <w:rFonts w:hint="eastAsia" w:ascii="仿宋_GB2312" w:cs="仿宋_GB2312"/>
          <w:b/>
          <w:bCs/>
          <w:szCs w:val="32"/>
          <w:lang w:val="zh-CN"/>
        </w:rPr>
        <w:t>项目执行。指标分值</w:t>
      </w:r>
      <w:r>
        <w:rPr>
          <w:rFonts w:hint="eastAsia" w:ascii="仿宋_GB2312" w:cs="仿宋_GB2312"/>
          <w:b/>
          <w:bCs/>
          <w:szCs w:val="32"/>
        </w:rPr>
        <w:t>12</w:t>
      </w:r>
      <w:r>
        <w:rPr>
          <w:rFonts w:hint="eastAsia" w:ascii="仿宋_GB2312" w:cs="仿宋_GB2312"/>
          <w:b/>
          <w:bCs/>
          <w:szCs w:val="32"/>
          <w:lang w:val="zh-CN"/>
        </w:rPr>
        <w:t>分，自评得分</w:t>
      </w:r>
      <w:r>
        <w:rPr>
          <w:rFonts w:hint="eastAsia" w:ascii="仿宋_GB2312" w:cs="仿宋_GB2312"/>
          <w:b/>
          <w:bCs/>
          <w:szCs w:val="32"/>
        </w:rPr>
        <w:t>12</w:t>
      </w:r>
      <w:r>
        <w:rPr>
          <w:rFonts w:hint="eastAsia" w:ascii="仿宋_GB2312" w:cs="仿宋_GB2312"/>
          <w:b/>
          <w:bCs/>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rPr>
        <w:t>执行同向：各项目实际列支内容是否与绩效目标设置方向相符。项目组织管理架构及具体实施流程，包括机构设置、监管措施、执行相关管理制度等符合相关规定。</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rPr>
        <w:t>项目调整：按照资金分配，设立项目，未调整。</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lang w:val="zh-CN"/>
        </w:rPr>
      </w:pPr>
      <w:r>
        <w:rPr>
          <w:rFonts w:hint="eastAsia" w:ascii="仿宋_GB2312" w:cs="仿宋_GB2312"/>
          <w:szCs w:val="32"/>
        </w:rPr>
        <w:t>执行结果：资金开支范围、标准及支付进度，支付依据合规合法，资金支付与预算相符。</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2" w:firstLineChars="200"/>
        <w:rPr>
          <w:rFonts w:ascii="仿宋_GB2312" w:cs="仿宋_GB2312"/>
          <w:b/>
          <w:bCs/>
          <w:szCs w:val="32"/>
          <w:lang w:val="zh-CN"/>
        </w:rPr>
      </w:pPr>
      <w:r>
        <w:rPr>
          <w:rFonts w:hint="eastAsia" w:ascii="仿宋_GB2312" w:cs="仿宋_GB2312"/>
          <w:b/>
          <w:bCs/>
          <w:szCs w:val="32"/>
          <w:lang w:val="zh-CN"/>
        </w:rPr>
        <w:t>3.目标实现。指标分值</w:t>
      </w:r>
      <w:r>
        <w:rPr>
          <w:rFonts w:hint="eastAsia" w:ascii="仿宋_GB2312" w:cs="仿宋_GB2312"/>
          <w:b/>
          <w:bCs/>
          <w:szCs w:val="32"/>
        </w:rPr>
        <w:t>11</w:t>
      </w:r>
      <w:r>
        <w:rPr>
          <w:rFonts w:hint="eastAsia" w:ascii="仿宋_GB2312" w:cs="仿宋_GB2312"/>
          <w:b/>
          <w:bCs/>
          <w:szCs w:val="32"/>
          <w:lang w:val="zh-CN"/>
        </w:rPr>
        <w:t>分，自评得分</w:t>
      </w:r>
      <w:r>
        <w:rPr>
          <w:rFonts w:hint="eastAsia" w:ascii="仿宋_GB2312" w:cs="仿宋_GB2312"/>
          <w:b/>
          <w:bCs/>
          <w:szCs w:val="32"/>
        </w:rPr>
        <w:t>11</w:t>
      </w:r>
      <w:r>
        <w:rPr>
          <w:rFonts w:hint="eastAsia" w:ascii="仿宋_GB2312" w:cs="仿宋_GB2312"/>
          <w:b/>
          <w:bCs/>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lang w:val="zh-CN"/>
        </w:rPr>
        <w:t>目标完成：项目从经济、社会、生态、可持续效益以及服务对象满意度等方面科学制定目标任务。</w:t>
      </w:r>
      <w:r>
        <w:rPr>
          <w:rFonts w:hint="default" w:ascii="仿宋_GB2312" w:cs="仿宋_GB2312"/>
          <w:szCs w:val="32"/>
        </w:rPr>
        <w:t>截止到</w:t>
      </w:r>
      <w:r>
        <w:rPr>
          <w:rFonts w:hint="eastAsia" w:ascii="仿宋_GB2312" w:cs="仿宋_GB2312"/>
          <w:szCs w:val="32"/>
        </w:rPr>
        <w:t>2025年年底</w:t>
      </w:r>
      <w:r>
        <w:rPr>
          <w:rFonts w:hint="eastAsia" w:ascii="仿宋_GB2312" w:cs="仿宋_GB2312"/>
          <w:szCs w:val="32"/>
          <w:lang w:val="zh-CN"/>
        </w:rPr>
        <w:t>项目按照目标任务完成数量、质量、时效、成本等计划完成目标。指标分值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lang w:val="zh-CN"/>
        </w:rPr>
        <w:t>目标偏离：预算项目绩效目标数量指标实现程度与预期目标的无偏离情况。各项目实际工作中达到预期的目标或标准，与设定的绩效目标之间不存在差异。指标分值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eastAsia="楷体_GB2312"/>
          <w:color w:val="000000"/>
          <w:kern w:val="0"/>
          <w:szCs w:val="32"/>
          <w:shd w:val="clear" w:color="auto" w:fill="FFFFFF"/>
          <w:lang w:val="zh-CN"/>
        </w:rPr>
      </w:pPr>
      <w:r>
        <w:rPr>
          <w:rFonts w:hint="eastAsia" w:ascii="仿宋_GB2312" w:cs="仿宋_GB2312"/>
          <w:szCs w:val="32"/>
          <w:lang w:val="zh-CN"/>
        </w:rPr>
        <w:t>实现效果：加快构建全方位、全过程、全覆盖预算绩效管理体系，财政资源配置效率和资金使用效益实现“双提升”。指标分值</w:t>
      </w:r>
      <w:r>
        <w:rPr>
          <w:rFonts w:hint="eastAsia" w:ascii="仿宋_GB2312" w:cs="仿宋_GB2312"/>
          <w:szCs w:val="32"/>
        </w:rPr>
        <w:t>3</w:t>
      </w:r>
      <w:r>
        <w:rPr>
          <w:rFonts w:hint="eastAsia" w:ascii="仿宋_GB2312" w:cs="仿宋_GB2312"/>
          <w:szCs w:val="32"/>
          <w:lang w:val="zh-CN"/>
        </w:rPr>
        <w:t>分，自评得分</w:t>
      </w:r>
      <w:r>
        <w:rPr>
          <w:rFonts w:hint="eastAsia" w:ascii="仿宋_GB2312" w:cs="仿宋_GB2312"/>
          <w:szCs w:val="32"/>
        </w:rPr>
        <w:t>3</w:t>
      </w:r>
      <w:r>
        <w:rPr>
          <w:rFonts w:hint="eastAsia" w:ascii="仿宋_GB2312" w:cs="仿宋_GB2312"/>
          <w:szCs w:val="32"/>
          <w:lang w:val="zh-CN"/>
        </w:rPr>
        <w:t>分。</w:t>
      </w:r>
    </w:p>
    <w:p>
      <w:pPr>
        <w:spacing w:line="360" w:lineRule="auto"/>
        <w:ind w:firstLine="640" w:firstLineChars="200"/>
        <w:rPr>
          <w:rFonts w:ascii="仿宋_GB2312" w:cs="仿宋_GB2312"/>
          <w:szCs w:val="32"/>
        </w:rPr>
      </w:pPr>
      <w:r>
        <w:rPr>
          <w:rFonts w:hint="eastAsia" w:ascii="仿宋_GB2312" w:cs="仿宋_GB2312"/>
          <w:szCs w:val="32"/>
        </w:rPr>
        <w:t>我单位不涉及2025年度国有资本经营预算、社会保险基金预算。</w:t>
      </w:r>
      <w:r>
        <w:rPr>
          <w:rFonts w:hint="default" w:ascii="仿宋_GB2312" w:cs="仿宋_GB2312"/>
          <w:szCs w:val="32"/>
        </w:rPr>
        <w:t>截止到</w:t>
      </w:r>
      <w:r>
        <w:rPr>
          <w:rFonts w:hint="eastAsia" w:ascii="仿宋_GB2312" w:cs="仿宋_GB2312"/>
          <w:szCs w:val="32"/>
        </w:rPr>
        <w:t>2025年12月31日，采购执行规范性，年度政府采购货物计划3.51万元，支出3.51万元，政府采购工程支出0万元，政府采购服务支出</w:t>
      </w:r>
      <w:r>
        <w:rPr>
          <w:rFonts w:ascii="仿宋_GB2312" w:cs="仿宋_GB2312"/>
          <w:szCs w:val="32"/>
        </w:rPr>
        <w:t>0</w:t>
      </w:r>
      <w:r>
        <w:rPr>
          <w:rFonts w:hint="eastAsia" w:ascii="仿宋_GB2312" w:cs="仿宋_GB2312"/>
          <w:szCs w:val="32"/>
        </w:rPr>
        <w:t>万元。</w:t>
      </w:r>
    </w:p>
    <w:p>
      <w:pPr>
        <w:numPr>
          <w:ilvl w:val="0"/>
          <w:numId w:val="1"/>
        </w:numPr>
        <w:snapToGrid w:val="0"/>
        <w:spacing w:line="578" w:lineRule="exact"/>
        <w:ind w:left="0" w:firstLine="642" w:firstLineChars="200"/>
        <w:jc w:val="left"/>
        <w:rPr>
          <w:rFonts w:eastAsia="楷体_GB2312"/>
          <w:b/>
          <w:bCs/>
          <w:szCs w:val="32"/>
          <w:lang w:val="zh-CN"/>
        </w:rPr>
      </w:pPr>
      <w:r>
        <w:rPr>
          <w:rFonts w:eastAsia="楷体_GB2312"/>
          <w:b/>
          <w:bCs/>
          <w:szCs w:val="32"/>
          <w:lang w:val="zh-CN"/>
        </w:rPr>
        <w:t>绩效结果应用情况。</w:t>
      </w:r>
    </w:p>
    <w:p>
      <w:pPr>
        <w:spacing w:line="360" w:lineRule="auto"/>
        <w:ind w:firstLine="640" w:firstLineChars="200"/>
        <w:rPr>
          <w:rFonts w:ascii="仿宋_GB2312" w:cs="仿宋_GB2312"/>
          <w:szCs w:val="32"/>
        </w:rPr>
      </w:pPr>
      <w:r>
        <w:rPr>
          <w:rFonts w:hint="eastAsia" w:ascii="仿宋_GB2312" w:cs="仿宋_GB2312"/>
          <w:szCs w:val="32"/>
        </w:rPr>
        <w:t>我单位</w:t>
      </w:r>
      <w:r>
        <w:rPr>
          <w:rFonts w:hint="eastAsia" w:ascii="仿宋_GB2312" w:cs="仿宋_GB2312"/>
          <w:szCs w:val="32"/>
          <w:lang w:val="zh-CN"/>
        </w:rPr>
        <w:t>于202</w:t>
      </w:r>
      <w:r>
        <w:rPr>
          <w:rFonts w:hint="eastAsia" w:ascii="仿宋_GB2312" w:cs="仿宋_GB2312"/>
          <w:szCs w:val="32"/>
        </w:rPr>
        <w:t>5</w:t>
      </w:r>
      <w:r>
        <w:rPr>
          <w:rFonts w:hint="eastAsia" w:ascii="仿宋_GB2312" w:cs="仿宋_GB2312"/>
          <w:szCs w:val="32"/>
          <w:lang w:val="zh-CN"/>
        </w:rPr>
        <w:t>年</w:t>
      </w:r>
      <w:r>
        <w:rPr>
          <w:rFonts w:hint="eastAsia" w:ascii="仿宋_GB2312" w:cs="仿宋_GB2312"/>
          <w:szCs w:val="32"/>
        </w:rPr>
        <w:t>6</w:t>
      </w:r>
      <w:r>
        <w:rPr>
          <w:rFonts w:hint="eastAsia" w:ascii="仿宋_GB2312" w:cs="仿宋_GB2312"/>
          <w:szCs w:val="32"/>
          <w:lang w:val="zh-CN"/>
        </w:rPr>
        <w:t>月</w:t>
      </w:r>
      <w:r>
        <w:rPr>
          <w:rFonts w:hint="eastAsia" w:ascii="仿宋_GB2312" w:cs="仿宋_GB2312"/>
          <w:szCs w:val="32"/>
        </w:rPr>
        <w:t>3</w:t>
      </w:r>
      <w:r>
        <w:rPr>
          <w:rFonts w:hint="eastAsia" w:ascii="仿宋_GB2312" w:cs="仿宋_GB2312"/>
          <w:szCs w:val="32"/>
          <w:lang w:val="zh-CN"/>
        </w:rPr>
        <w:t>日在黑水县人民政府信息公开网站上公开了《202</w:t>
      </w:r>
      <w:r>
        <w:rPr>
          <w:rFonts w:hint="eastAsia" w:ascii="仿宋_GB2312" w:cs="仿宋_GB2312"/>
          <w:szCs w:val="32"/>
        </w:rPr>
        <w:t>5</w:t>
      </w:r>
      <w:r>
        <w:rPr>
          <w:rFonts w:hint="eastAsia" w:ascii="仿宋_GB2312" w:cs="仿宋_GB2312"/>
          <w:szCs w:val="32"/>
          <w:lang w:val="zh-CN"/>
        </w:rPr>
        <w:t>年预算编制说明》，202</w:t>
      </w:r>
      <w:r>
        <w:rPr>
          <w:rFonts w:hint="eastAsia" w:ascii="仿宋_GB2312" w:cs="仿宋_GB2312"/>
          <w:szCs w:val="32"/>
        </w:rPr>
        <w:t>6</w:t>
      </w:r>
      <w:r>
        <w:rPr>
          <w:rFonts w:hint="eastAsia" w:ascii="仿宋_GB2312" w:cs="仿宋_GB2312"/>
          <w:szCs w:val="32"/>
          <w:lang w:val="zh-CN"/>
        </w:rPr>
        <w:t>年</w:t>
      </w:r>
      <w:r>
        <w:rPr>
          <w:rFonts w:hint="eastAsia" w:ascii="仿宋_GB2312" w:cs="仿宋_GB2312"/>
          <w:szCs w:val="32"/>
        </w:rPr>
        <w:t>3</w:t>
      </w:r>
      <w:r>
        <w:rPr>
          <w:rFonts w:hint="eastAsia" w:ascii="仿宋_GB2312" w:cs="仿宋_GB2312"/>
          <w:szCs w:val="32"/>
          <w:lang w:val="zh-CN"/>
        </w:rPr>
        <w:t>月</w:t>
      </w:r>
      <w:r>
        <w:rPr>
          <w:rFonts w:hint="eastAsia" w:ascii="仿宋_GB2312" w:cs="仿宋_GB2312"/>
          <w:szCs w:val="32"/>
        </w:rPr>
        <w:t>3</w:t>
      </w:r>
      <w:r>
        <w:rPr>
          <w:rFonts w:hint="eastAsia" w:ascii="仿宋_GB2312" w:cs="仿宋_GB2312"/>
          <w:szCs w:val="32"/>
          <w:lang w:val="zh-CN"/>
        </w:rPr>
        <w:t>日在黑水县人民政府信息公开网站上公开了《202</w:t>
      </w:r>
      <w:r>
        <w:rPr>
          <w:rFonts w:hint="eastAsia" w:ascii="仿宋_GB2312" w:cs="仿宋_GB2312"/>
          <w:szCs w:val="32"/>
        </w:rPr>
        <w:t>6</w:t>
      </w:r>
      <w:r>
        <w:rPr>
          <w:rFonts w:hint="eastAsia" w:ascii="仿宋_GB2312" w:cs="仿宋_GB2312"/>
          <w:szCs w:val="32"/>
          <w:lang w:val="zh-CN"/>
        </w:rPr>
        <w:t>年预算编制说明》</w:t>
      </w:r>
    </w:p>
    <w:p>
      <w:pPr>
        <w:spacing w:line="360" w:lineRule="auto"/>
        <w:ind w:firstLine="640" w:firstLineChars="200"/>
        <w:rPr>
          <w:rFonts w:ascii="仿宋_GB2312" w:cs="仿宋_GB2312"/>
          <w:szCs w:val="32"/>
          <w:lang w:val="zh-CN"/>
        </w:rPr>
      </w:pPr>
      <w:r>
        <w:rPr>
          <w:rFonts w:hint="eastAsia" w:ascii="仿宋_GB2312" w:cs="仿宋_GB2312"/>
          <w:szCs w:val="32"/>
          <w:lang w:val="zh-CN"/>
        </w:rPr>
        <w:t>202</w:t>
      </w:r>
      <w:r>
        <w:rPr>
          <w:rFonts w:hint="eastAsia" w:ascii="仿宋_GB2312" w:cs="仿宋_GB2312"/>
          <w:szCs w:val="32"/>
        </w:rPr>
        <w:t>5</w:t>
      </w:r>
      <w:r>
        <w:rPr>
          <w:rFonts w:hint="eastAsia" w:ascii="仿宋_GB2312" w:cs="仿宋_GB2312"/>
          <w:szCs w:val="32"/>
          <w:lang w:val="zh-CN"/>
        </w:rPr>
        <w:t>年</w:t>
      </w:r>
      <w:r>
        <w:rPr>
          <w:rFonts w:hint="eastAsia" w:ascii="仿宋_GB2312" w:cs="仿宋_GB2312"/>
          <w:szCs w:val="32"/>
        </w:rPr>
        <w:t>8</w:t>
      </w:r>
      <w:r>
        <w:rPr>
          <w:rFonts w:hint="eastAsia" w:ascii="仿宋_GB2312" w:cs="仿宋_GB2312"/>
          <w:szCs w:val="32"/>
          <w:lang w:val="zh-CN"/>
        </w:rPr>
        <w:t>月</w:t>
      </w:r>
      <w:r>
        <w:rPr>
          <w:rFonts w:hint="eastAsia" w:ascii="仿宋_GB2312" w:cs="仿宋_GB2312"/>
          <w:szCs w:val="32"/>
        </w:rPr>
        <w:t>19</w:t>
      </w:r>
      <w:r>
        <w:rPr>
          <w:rFonts w:hint="eastAsia" w:ascii="仿宋_GB2312" w:cs="仿宋_GB2312"/>
          <w:szCs w:val="32"/>
          <w:lang w:val="zh-CN"/>
        </w:rPr>
        <w:t>日在黑水县人民政府信息公开网站上公开了《202</w:t>
      </w:r>
      <w:r>
        <w:rPr>
          <w:rFonts w:hint="eastAsia" w:ascii="仿宋_GB2312" w:cs="仿宋_GB2312"/>
          <w:szCs w:val="32"/>
        </w:rPr>
        <w:t>4</w:t>
      </w:r>
      <w:r>
        <w:rPr>
          <w:rFonts w:hint="eastAsia" w:ascii="仿宋_GB2312" w:cs="仿宋_GB2312"/>
          <w:szCs w:val="32"/>
          <w:lang w:val="zh-CN"/>
        </w:rPr>
        <w:t>年度部门决算编制说明》，由于202</w:t>
      </w:r>
      <w:r>
        <w:rPr>
          <w:rFonts w:hint="eastAsia" w:ascii="仿宋_GB2312" w:cs="仿宋_GB2312"/>
          <w:szCs w:val="32"/>
        </w:rPr>
        <w:t>5</w:t>
      </w:r>
      <w:r>
        <w:rPr>
          <w:rFonts w:hint="eastAsia" w:ascii="仿宋_GB2312" w:cs="仿宋_GB2312"/>
          <w:szCs w:val="32"/>
          <w:lang w:val="zh-CN"/>
        </w:rPr>
        <w:t>年尚未进行决算批复，无法公开。</w:t>
      </w:r>
    </w:p>
    <w:p>
      <w:pPr>
        <w:spacing w:line="360" w:lineRule="auto"/>
        <w:ind w:firstLine="640" w:firstLineChars="200"/>
        <w:rPr>
          <w:rFonts w:ascii="仿宋_GB2312" w:cs="仿宋_GB2312"/>
          <w:szCs w:val="32"/>
          <w:lang w:val="zh-CN"/>
        </w:rPr>
      </w:pPr>
      <w:r>
        <w:rPr>
          <w:rFonts w:hint="eastAsia" w:ascii="仿宋_GB2312" w:cs="仿宋_GB2312"/>
          <w:szCs w:val="32"/>
          <w:lang w:val="zh-CN"/>
        </w:rPr>
        <w:t>绩效信息公开</w:t>
      </w:r>
    </w:p>
    <w:p>
      <w:pPr>
        <w:spacing w:line="360" w:lineRule="auto"/>
        <w:ind w:firstLine="640" w:firstLineChars="200"/>
      </w:pPr>
      <w:r>
        <w:rPr>
          <w:rFonts w:hint="eastAsia" w:ascii="仿宋_GB2312" w:cs="仿宋_GB2312"/>
          <w:szCs w:val="32"/>
          <w:lang w:val="zh-CN"/>
        </w:rPr>
        <w:t>我单位</w:t>
      </w:r>
      <w:r>
        <w:rPr>
          <w:rFonts w:hint="eastAsia" w:ascii="仿宋_GB2312" w:cs="仿宋_GB2312"/>
          <w:szCs w:val="32"/>
        </w:rPr>
        <w:t>于</w:t>
      </w:r>
      <w:r>
        <w:rPr>
          <w:rFonts w:hint="eastAsia" w:ascii="仿宋_GB2312" w:cs="仿宋_GB2312"/>
          <w:szCs w:val="32"/>
          <w:lang w:val="zh-CN"/>
        </w:rPr>
        <w:t>202</w:t>
      </w:r>
      <w:r>
        <w:rPr>
          <w:rFonts w:hint="eastAsia" w:ascii="仿宋_GB2312" w:cs="仿宋_GB2312"/>
          <w:szCs w:val="32"/>
        </w:rPr>
        <w:t>5</w:t>
      </w:r>
      <w:r>
        <w:rPr>
          <w:rFonts w:hint="eastAsia" w:ascii="仿宋_GB2312" w:cs="仿宋_GB2312"/>
          <w:szCs w:val="32"/>
          <w:lang w:val="zh-CN"/>
        </w:rPr>
        <w:t>年</w:t>
      </w:r>
      <w:r>
        <w:rPr>
          <w:rFonts w:hint="eastAsia" w:ascii="仿宋_GB2312" w:cs="仿宋_GB2312"/>
          <w:szCs w:val="32"/>
        </w:rPr>
        <w:t>8</w:t>
      </w:r>
      <w:r>
        <w:rPr>
          <w:rFonts w:hint="eastAsia" w:ascii="仿宋_GB2312" w:cs="仿宋_GB2312"/>
          <w:szCs w:val="32"/>
          <w:lang w:val="zh-CN"/>
        </w:rPr>
        <w:t>月</w:t>
      </w:r>
      <w:r>
        <w:rPr>
          <w:rFonts w:hint="eastAsia" w:ascii="仿宋_GB2312" w:cs="仿宋_GB2312"/>
          <w:szCs w:val="32"/>
        </w:rPr>
        <w:t>19</w:t>
      </w:r>
      <w:r>
        <w:rPr>
          <w:rFonts w:hint="eastAsia" w:ascii="仿宋_GB2312" w:cs="仿宋_GB2312"/>
          <w:szCs w:val="32"/>
          <w:lang w:val="zh-CN"/>
        </w:rPr>
        <w:t>日在黑水县人民政府信息公开网站上公开了《202</w:t>
      </w:r>
      <w:r>
        <w:rPr>
          <w:rFonts w:hint="eastAsia" w:ascii="仿宋_GB2312" w:cs="仿宋_GB2312"/>
          <w:szCs w:val="32"/>
        </w:rPr>
        <w:t>4</w:t>
      </w:r>
      <w:r>
        <w:rPr>
          <w:rFonts w:hint="eastAsia" w:ascii="仿宋_GB2312" w:cs="仿宋_GB2312"/>
          <w:szCs w:val="32"/>
          <w:lang w:val="zh-CN"/>
        </w:rPr>
        <w:t>年度部门决算编制说明》，说明中公开了预算绩效管理工作开展情况，并公开了202</w:t>
      </w:r>
      <w:r>
        <w:rPr>
          <w:rFonts w:hint="eastAsia" w:ascii="仿宋_GB2312" w:cs="仿宋_GB2312"/>
          <w:szCs w:val="32"/>
        </w:rPr>
        <w:t>4</w:t>
      </w:r>
      <w:r>
        <w:rPr>
          <w:rFonts w:hint="eastAsia" w:ascii="仿宋_GB2312" w:cs="仿宋_GB2312"/>
          <w:szCs w:val="32"/>
          <w:lang w:val="zh-CN"/>
        </w:rPr>
        <w:t>年整体支出绩效报告。</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四、评价结论及建议</w:t>
      </w:r>
    </w:p>
    <w:p>
      <w:pPr>
        <w:widowControl/>
        <w:adjustRightInd w:val="0"/>
        <w:snapToGrid w:val="0"/>
        <w:spacing w:line="578" w:lineRule="exact"/>
        <w:ind w:firstLine="642" w:firstLineChars="200"/>
        <w:contextualSpacing/>
        <w:jc w:val="left"/>
        <w:rPr>
          <w:rFonts w:ascii="仿宋_GB2312" w:cs="仿宋_GB2312"/>
          <w:szCs w:val="32"/>
          <w:lang w:val="zh-CN"/>
        </w:rPr>
      </w:pPr>
      <w:r>
        <w:rPr>
          <w:rFonts w:eastAsia="楷体_GB2312"/>
          <w:b/>
          <w:bCs/>
          <w:color w:val="000000"/>
          <w:kern w:val="0"/>
          <w:szCs w:val="32"/>
          <w:shd w:val="clear" w:color="auto" w:fill="FFFFFF"/>
          <w:lang w:val="zh-CN"/>
        </w:rPr>
        <w:t>（一）评价结论。</w:t>
      </w:r>
      <w:r>
        <w:rPr>
          <w:rFonts w:hint="eastAsia" w:ascii="仿宋_GB2312" w:cs="仿宋_GB2312"/>
          <w:szCs w:val="32"/>
          <w:lang w:val="zh-CN"/>
        </w:rPr>
        <w:t>我</w:t>
      </w:r>
      <w:r>
        <w:rPr>
          <w:rFonts w:hint="eastAsia" w:ascii="仿宋_GB2312" w:cs="仿宋_GB2312"/>
          <w:szCs w:val="32"/>
        </w:rPr>
        <w:t>单位</w:t>
      </w:r>
      <w:r>
        <w:rPr>
          <w:rFonts w:hint="eastAsia" w:ascii="仿宋_GB2312" w:cs="仿宋_GB2312"/>
          <w:szCs w:val="32"/>
          <w:lang w:val="zh-CN"/>
        </w:rPr>
        <w:t>严格对照评分标准，202</w:t>
      </w:r>
      <w:r>
        <w:rPr>
          <w:rFonts w:hint="eastAsia" w:ascii="仿宋_GB2312" w:cs="仿宋_GB2312"/>
          <w:szCs w:val="32"/>
        </w:rPr>
        <w:t>5</w:t>
      </w:r>
      <w:r>
        <w:rPr>
          <w:rFonts w:hint="eastAsia" w:ascii="仿宋_GB2312" w:cs="仿宋_GB2312"/>
          <w:szCs w:val="32"/>
          <w:lang w:val="zh-CN"/>
        </w:rPr>
        <w:t>年度财政</w:t>
      </w:r>
      <w:bookmarkStart w:id="1" w:name="_GoBack"/>
      <w:bookmarkEnd w:id="1"/>
      <w:r>
        <w:rPr>
          <w:rFonts w:hint="eastAsia" w:ascii="仿宋_GB2312" w:cs="仿宋_GB2312"/>
          <w:szCs w:val="32"/>
          <w:lang w:val="zh-CN"/>
        </w:rPr>
        <w:t>部门整体支出绩效评价自评分数为</w:t>
      </w:r>
      <w:r>
        <w:rPr>
          <w:rFonts w:hint="eastAsia" w:ascii="仿宋_GB2312" w:cs="仿宋_GB2312"/>
          <w:szCs w:val="32"/>
        </w:rPr>
        <w:t>97.18</w:t>
      </w:r>
      <w:r>
        <w:rPr>
          <w:rFonts w:hint="eastAsia" w:ascii="仿宋_GB2312" w:cs="仿宋_GB2312"/>
          <w:szCs w:val="32"/>
          <w:lang w:val="zh-CN"/>
        </w:rPr>
        <w:t>分（详情见附件）。</w:t>
      </w:r>
    </w:p>
    <w:p>
      <w:pPr>
        <w:spacing w:line="360" w:lineRule="auto"/>
        <w:ind w:firstLine="642" w:firstLineChars="200"/>
        <w:rPr>
          <w:rFonts w:ascii="仿宋_GB2312" w:cs="仿宋_GB2312"/>
          <w:szCs w:val="32"/>
        </w:rPr>
      </w:pPr>
      <w:r>
        <w:rPr>
          <w:rFonts w:eastAsia="楷体_GB2312"/>
          <w:b/>
          <w:bCs/>
          <w:color w:val="000000"/>
          <w:kern w:val="0"/>
          <w:szCs w:val="32"/>
          <w:shd w:val="clear" w:color="auto" w:fill="FFFFFF"/>
          <w:lang w:val="zh-CN"/>
        </w:rPr>
        <w:t>（二）存在问题。</w:t>
      </w:r>
      <w:r>
        <w:rPr>
          <w:rFonts w:hint="eastAsia" w:ascii="仿宋_GB2312" w:cs="仿宋_GB2312"/>
          <w:szCs w:val="32"/>
          <w:lang w:val="zh-CN"/>
        </w:rPr>
        <w:t>预算编制不够精确，财政资金紧张，存在中期调整取消资金的情况，</w:t>
      </w:r>
      <w:r>
        <w:rPr>
          <w:rFonts w:hint="eastAsia" w:ascii="仿宋_GB2312" w:cs="仿宋_GB2312"/>
          <w:szCs w:val="32"/>
        </w:rPr>
        <w:t>导致执行数与年初预算编制存在差异，减少预算编制科学性和准确性。</w:t>
      </w:r>
    </w:p>
    <w:p>
      <w:pPr>
        <w:spacing w:line="580" w:lineRule="exact"/>
        <w:ind w:firstLine="642" w:firstLineChars="200"/>
        <w:rPr>
          <w:rFonts w:ascii="仿宋" w:eastAsia="仿宋" w:cs="??_GB2312"/>
          <w:szCs w:val="32"/>
        </w:rPr>
      </w:pPr>
      <w:r>
        <w:rPr>
          <w:rFonts w:eastAsia="楷体_GB2312"/>
          <w:b/>
          <w:bCs/>
          <w:color w:val="000000"/>
          <w:kern w:val="0"/>
          <w:szCs w:val="32"/>
          <w:shd w:val="clear" w:color="auto" w:fill="FFFFFF"/>
          <w:lang w:val="zh-CN"/>
        </w:rPr>
        <w:t>（三）改进建议。</w:t>
      </w:r>
      <w:bookmarkStart w:id="0" w:name="_Hlk110546638"/>
      <w:r>
        <w:rPr>
          <w:rFonts w:hint="eastAsia" w:ascii="仿宋" w:eastAsia="仿宋" w:cs="??_GB2312"/>
          <w:b/>
          <w:bCs/>
          <w:szCs w:val="32"/>
        </w:rPr>
        <w:t>一是</w:t>
      </w:r>
      <w:r>
        <w:rPr>
          <w:rFonts w:hint="eastAsia" w:ascii="仿宋" w:eastAsia="仿宋" w:cs="??_GB2312"/>
          <w:szCs w:val="32"/>
        </w:rPr>
        <w:t>重视绩效管理，切实履行好职责。努力提升工作绩效，围绕财政项目计划安排，合理使用财政资金，让财政监督职责发挥作用。</w:t>
      </w:r>
    </w:p>
    <w:p>
      <w:pPr>
        <w:spacing w:line="580" w:lineRule="exact"/>
        <w:ind w:firstLine="642" w:firstLineChars="200"/>
        <w:rPr>
          <w:rFonts w:ascii="仿宋" w:eastAsia="仿宋" w:cs="??_GB2312"/>
          <w:szCs w:val="32"/>
        </w:rPr>
      </w:pPr>
      <w:r>
        <w:rPr>
          <w:rFonts w:hint="eastAsia" w:ascii="仿宋" w:eastAsia="仿宋" w:cs="??_GB2312"/>
          <w:b/>
          <w:bCs/>
          <w:szCs w:val="32"/>
        </w:rPr>
        <w:t>二是</w:t>
      </w:r>
      <w:r>
        <w:rPr>
          <w:rFonts w:hint="eastAsia" w:ascii="仿宋" w:eastAsia="仿宋" w:cs="??_GB2312"/>
          <w:szCs w:val="32"/>
        </w:rPr>
        <w:t>建立长效机制。把绩效评价作为部门内控的日常工作，建立绩效评价管理工作考核长效机制。科学设定绩效目标，加强预算执行管理。</w:t>
      </w:r>
    </w:p>
    <w:p>
      <w:pPr>
        <w:widowControl/>
        <w:adjustRightInd w:val="0"/>
        <w:snapToGrid w:val="0"/>
        <w:spacing w:line="578" w:lineRule="exact"/>
        <w:ind w:firstLine="640" w:firstLineChars="200"/>
        <w:contextualSpacing/>
        <w:jc w:val="left"/>
        <w:rPr>
          <w:kern w:val="0"/>
          <w:szCs w:val="32"/>
        </w:rPr>
      </w:pPr>
    </w:p>
    <w:bookmarkEnd w:id="0"/>
    <w:p>
      <w:pPr>
        <w:spacing w:line="578" w:lineRule="exact"/>
        <w:ind w:firstLine="480" w:firstLineChars="150"/>
        <w:contextualSpacing/>
        <w:jc w:val="left"/>
        <w:rPr>
          <w:rFonts w:ascii="仿宋" w:eastAsia="仿宋" w:cs="??_GB2312"/>
          <w:szCs w:val="32"/>
        </w:rPr>
      </w:pPr>
      <w:r>
        <w:rPr>
          <w:rFonts w:hint="eastAsia" w:ascii="仿宋" w:eastAsia="仿宋" w:cs="??_GB2312"/>
          <w:szCs w:val="32"/>
        </w:rPr>
        <w:t>附件:</w:t>
      </w:r>
      <w:r>
        <w:rPr>
          <w:rFonts w:ascii="仿宋" w:eastAsia="仿宋" w:cs="??_GB2312"/>
          <w:szCs w:val="32"/>
        </w:rPr>
        <w:t>1.</w:t>
      </w:r>
      <w:r>
        <w:rPr>
          <w:rFonts w:hint="eastAsia" w:ascii="仿宋" w:eastAsia="仿宋" w:cs="??_GB2312"/>
          <w:szCs w:val="32"/>
        </w:rPr>
        <w:t>部门预算绩效评价指标体系</w:t>
      </w:r>
    </w:p>
    <w:p>
      <w:pPr>
        <w:pStyle w:val="2"/>
        <w:ind w:left="400" w:leftChars="0" w:hanging="400" w:hangingChars="200"/>
        <w:rPr>
          <w:rFonts w:hint="eastAsia"/>
        </w:rPr>
      </w:pPr>
      <w:r>
        <w:t xml:space="preserve">    </w:t>
      </w:r>
      <w:r>
        <w:rPr>
          <w:rFonts w:ascii="仿宋" w:eastAsia="仿宋" w:cs="??_GB2312"/>
          <w:sz w:val="32"/>
          <w:szCs w:val="32"/>
        </w:rPr>
        <w:t xml:space="preserve">  2.</w:t>
      </w:r>
      <w:r>
        <w:rPr>
          <w:rFonts w:hint="eastAsia" w:ascii="仿宋" w:eastAsia="仿宋" w:cs="??_GB2312"/>
          <w:bCs/>
          <w:sz w:val="32"/>
          <w:szCs w:val="32"/>
        </w:rPr>
        <w:t>2025年度部门整体绩效目标</w:t>
      </w:r>
      <w:r>
        <w:rPr>
          <w:rFonts w:hint="eastAsia" w:ascii="仿宋" w:eastAsia="仿宋" w:cs="??_GB2312"/>
          <w:bCs/>
          <w:sz w:val="32"/>
          <w:szCs w:val="32"/>
          <w:lang w:val="en-US" w:eastAsia="zh-CN"/>
        </w:rPr>
        <w:t>完成情况自评表</w:t>
      </w:r>
    </w:p>
    <w:p>
      <w:pPr>
        <w:spacing w:line="578" w:lineRule="exact"/>
        <w:jc w:val="left"/>
        <w:rPr>
          <w:rFonts w:eastAsia="黑体"/>
        </w:rPr>
      </w:pPr>
      <w:r>
        <w:rPr>
          <w:color w:val="000000"/>
          <w:kern w:val="0"/>
          <w:szCs w:val="32"/>
          <w:shd w:val="clear" w:color="auto" w:fill="FFFFFF"/>
        </w:rPr>
        <w:br w:type="page"/>
      </w:r>
      <w:r>
        <w:rPr>
          <w:rFonts w:eastAsia="黑体"/>
        </w:rPr>
        <w:t>附表</w:t>
      </w:r>
      <w:r>
        <w:rPr>
          <w:rFonts w:hint="eastAsia" w:eastAsia="黑体"/>
        </w:rPr>
        <w:t>1</w:t>
      </w:r>
    </w:p>
    <w:tbl>
      <w:tblPr>
        <w:tblStyle w:val="1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8"/>
        <w:gridCol w:w="568"/>
        <w:gridCol w:w="1618"/>
        <w:gridCol w:w="381"/>
        <w:gridCol w:w="4999"/>
        <w:gridCol w:w="546"/>
        <w:gridCol w:w="3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2" w:type="pct"/>
            <w:tcBorders>
              <w:top w:val="nil"/>
              <w:left w:val="nil"/>
              <w:bottom w:val="nil"/>
              <w:right w:val="nil"/>
            </w:tcBorders>
            <w:shd w:val="clear" w:color="auto" w:fill="auto"/>
            <w:noWrap/>
            <w:vAlign w:val="center"/>
          </w:tcPr>
          <w:p>
            <w:pPr>
              <w:widowControl/>
              <w:jc w:val="left"/>
              <w:textAlignment w:val="center"/>
              <w:rPr>
                <w:rFonts w:ascii="黑体" w:eastAsia="黑体" w:cs="黑体"/>
                <w:color w:val="000000"/>
                <w:sz w:val="36"/>
                <w:szCs w:val="36"/>
              </w:rPr>
            </w:pPr>
          </w:p>
        </w:tc>
        <w:tc>
          <w:tcPr>
            <w:tcW w:w="547" w:type="pct"/>
            <w:tcBorders>
              <w:top w:val="nil"/>
              <w:left w:val="nil"/>
              <w:bottom w:val="nil"/>
              <w:right w:val="nil"/>
            </w:tcBorders>
            <w:shd w:val="clear" w:color="auto" w:fill="auto"/>
            <w:noWrap/>
            <w:vAlign w:val="center"/>
          </w:tcPr>
          <w:p>
            <w:pPr>
              <w:jc w:val="left"/>
              <w:rPr>
                <w:rFonts w:ascii="黑体" w:eastAsia="黑体" w:cs="黑体"/>
                <w:color w:val="000000"/>
                <w:sz w:val="36"/>
                <w:szCs w:val="36"/>
              </w:rPr>
            </w:pPr>
          </w:p>
        </w:tc>
        <w:tc>
          <w:tcPr>
            <w:tcW w:w="963" w:type="pct"/>
            <w:tcBorders>
              <w:top w:val="nil"/>
              <w:left w:val="nil"/>
              <w:bottom w:val="nil"/>
              <w:right w:val="nil"/>
            </w:tcBorders>
            <w:shd w:val="clear" w:color="auto" w:fill="auto"/>
            <w:noWrap/>
            <w:vAlign w:val="center"/>
          </w:tcPr>
          <w:p>
            <w:pPr>
              <w:jc w:val="center"/>
              <w:rPr>
                <w:rFonts w:ascii="宋体" w:eastAsia="宋体" w:cs="宋体"/>
                <w:color w:val="000000"/>
                <w:sz w:val="24"/>
              </w:rPr>
            </w:pPr>
          </w:p>
        </w:tc>
        <w:tc>
          <w:tcPr>
            <w:tcW w:w="336" w:type="pct"/>
            <w:tcBorders>
              <w:top w:val="nil"/>
              <w:left w:val="nil"/>
              <w:bottom w:val="nil"/>
              <w:right w:val="nil"/>
            </w:tcBorders>
            <w:shd w:val="clear" w:color="auto" w:fill="auto"/>
            <w:noWrap/>
            <w:vAlign w:val="center"/>
          </w:tcPr>
          <w:p>
            <w:pPr>
              <w:jc w:val="center"/>
              <w:rPr>
                <w:rFonts w:ascii="宋体" w:eastAsia="宋体" w:cs="宋体"/>
                <w:color w:val="000000"/>
                <w:sz w:val="24"/>
              </w:rPr>
            </w:pPr>
          </w:p>
        </w:tc>
        <w:tc>
          <w:tcPr>
            <w:tcW w:w="1740" w:type="pct"/>
            <w:tcBorders>
              <w:top w:val="nil"/>
              <w:left w:val="nil"/>
              <w:bottom w:val="nil"/>
              <w:right w:val="nil"/>
            </w:tcBorders>
            <w:shd w:val="clear" w:color="auto" w:fill="auto"/>
            <w:noWrap/>
            <w:vAlign w:val="center"/>
          </w:tcPr>
          <w:p>
            <w:pPr>
              <w:jc w:val="left"/>
              <w:rPr>
                <w:rFonts w:ascii="宋体" w:eastAsia="宋体" w:cs="宋体"/>
                <w:color w:val="000000"/>
                <w:sz w:val="24"/>
              </w:rPr>
            </w:pPr>
          </w:p>
        </w:tc>
        <w:tc>
          <w:tcPr>
            <w:tcW w:w="300" w:type="pct"/>
            <w:tcBorders>
              <w:top w:val="nil"/>
              <w:left w:val="nil"/>
              <w:bottom w:val="nil"/>
              <w:right w:val="nil"/>
            </w:tcBorders>
            <w:shd w:val="clear" w:color="auto" w:fill="auto"/>
            <w:noWrap/>
            <w:vAlign w:val="center"/>
          </w:tcPr>
          <w:p>
            <w:pPr>
              <w:rPr>
                <w:rFonts w:ascii="宋体" w:eastAsia="宋体" w:cs="宋体"/>
                <w:color w:val="000000"/>
                <w:sz w:val="24"/>
              </w:rPr>
            </w:pPr>
          </w:p>
        </w:tc>
        <w:tc>
          <w:tcPr>
            <w:tcW w:w="578" w:type="pct"/>
            <w:tcBorders>
              <w:top w:val="nil"/>
              <w:left w:val="nil"/>
              <w:bottom w:val="nil"/>
              <w:right w:val="nil"/>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5000" w:type="pct"/>
            <w:gridSpan w:val="7"/>
            <w:tcBorders>
              <w:top w:val="nil"/>
              <w:left w:val="nil"/>
              <w:bottom w:val="nil"/>
              <w:right w:val="nil"/>
            </w:tcBorders>
            <w:shd w:val="clear" w:color="auto" w:fill="auto"/>
            <w:noWrap/>
            <w:vAlign w:val="center"/>
          </w:tcPr>
          <w:p>
            <w:pPr>
              <w:widowControl/>
              <w:jc w:val="center"/>
              <w:textAlignment w:val="center"/>
              <w:rPr>
                <w:rFonts w:ascii="方正小标宋简体" w:eastAsia="方正小标宋简体" w:cs="方正小标宋简体"/>
                <w:color w:val="000000"/>
                <w:sz w:val="48"/>
                <w:szCs w:val="48"/>
              </w:rPr>
            </w:pPr>
            <w:r>
              <w:rPr>
                <w:rFonts w:ascii="方正小标宋简体" w:eastAsia="方正小标宋简体" w:cs="方正小标宋简体"/>
                <w:color w:val="000000"/>
                <w:kern w:val="0"/>
                <w:sz w:val="48"/>
                <w:szCs w:val="48"/>
              </w:rPr>
              <w:t>部门预算绩效评价指标体系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8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绩效评价指标</w:t>
            </w:r>
            <w:r>
              <w:rPr>
                <w:rFonts w:hint="eastAsia" w:ascii="黑体" w:eastAsia="黑体" w:cs="黑体"/>
                <w:color w:val="000000"/>
                <w:kern w:val="0"/>
                <w:sz w:val="24"/>
              </w:rPr>
              <w:br w:type="textWrapping"/>
            </w:r>
            <w:r>
              <w:rPr>
                <w:rFonts w:hint="eastAsia" w:ascii="黑体" w:eastAsia="黑体" w:cs="黑体"/>
                <w:color w:val="000000"/>
                <w:kern w:val="0"/>
                <w:sz w:val="24"/>
              </w:rPr>
              <w:t>指标分值</w:t>
            </w:r>
          </w:p>
        </w:tc>
        <w:tc>
          <w:tcPr>
            <w:tcW w:w="17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指标解释</w:t>
            </w:r>
          </w:p>
        </w:tc>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自评得分</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2"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一级指标</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二级指标</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三级指标</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指标</w:t>
            </w:r>
            <w:r>
              <w:rPr>
                <w:rFonts w:hint="eastAsia" w:ascii="黑体" w:eastAsia="黑体" w:cs="黑体"/>
                <w:color w:val="000000"/>
                <w:kern w:val="0"/>
                <w:sz w:val="24"/>
              </w:rPr>
              <w:br w:type="textWrapping"/>
            </w:r>
            <w:r>
              <w:rPr>
                <w:rFonts w:hint="eastAsia" w:ascii="黑体" w:eastAsia="黑体" w:cs="黑体"/>
                <w:color w:val="000000"/>
                <w:kern w:val="0"/>
                <w:sz w:val="24"/>
              </w:rPr>
              <w:t>分值</w:t>
            </w:r>
          </w:p>
        </w:tc>
        <w:tc>
          <w:tcPr>
            <w:tcW w:w="17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3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总体绩效</w:t>
            </w:r>
            <w:r>
              <w:rPr>
                <w:rFonts w:hint="eastAsia" w:ascii="宋体" w:eastAsia="宋体" w:cs="宋体"/>
                <w:b/>
                <w:bCs/>
                <w:color w:val="000000"/>
                <w:kern w:val="0"/>
                <w:sz w:val="24"/>
              </w:rPr>
              <w:br w:type="textWrapping"/>
            </w:r>
            <w:r>
              <w:rPr>
                <w:rFonts w:hint="eastAsia" w:ascii="宋体" w:eastAsia="宋体" w:cs="宋体"/>
                <w:b/>
                <w:bCs/>
                <w:color w:val="000000"/>
                <w:kern w:val="0"/>
                <w:sz w:val="24"/>
              </w:rPr>
              <w:t>（65分）</w:t>
            </w: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履职效能</w:t>
            </w:r>
            <w:r>
              <w:rPr>
                <w:rFonts w:hint="eastAsia" w:ascii="宋体" w:eastAsia="宋体" w:cs="宋体"/>
                <w:b/>
                <w:bCs/>
                <w:color w:val="000000"/>
                <w:kern w:val="0"/>
                <w:sz w:val="24"/>
              </w:rPr>
              <w:br w:type="textWrapping"/>
            </w:r>
            <w:r>
              <w:rPr>
                <w:rFonts w:hint="eastAsia" w:ascii="宋体" w:eastAsia="宋体" w:cs="宋体"/>
                <w:b/>
                <w:bCs/>
                <w:color w:val="000000"/>
                <w:kern w:val="0"/>
                <w:sz w:val="24"/>
              </w:rPr>
              <w:t>（15分）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在职职工工资、保险发放工作履职效果</w:t>
            </w:r>
          </w:p>
        </w:tc>
        <w:tc>
          <w:tcPr>
            <w:tcW w:w="336" w:type="pct"/>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15</w:t>
            </w:r>
          </w:p>
        </w:tc>
        <w:tc>
          <w:tcPr>
            <w:tcW w:w="17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部门整体绩效目标中选定3-5个核心职能目标，反映该项职能目标完成效果情况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restart"/>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推进两新组织发展工作履职效果</w:t>
            </w:r>
          </w:p>
        </w:tc>
        <w:tc>
          <w:tcPr>
            <w:tcW w:w="336" w:type="pct"/>
            <w:vMerge w:val="continue"/>
            <w:tcBorders>
              <w:top w:val="nil"/>
              <w:left w:val="single" w:color="000000" w:sz="4" w:space="0"/>
              <w:bottom w:val="single" w:color="000000" w:sz="4" w:space="0"/>
              <w:right w:val="single" w:color="000000" w:sz="4" w:space="0"/>
            </w:tcBorders>
            <w:shd w:val="clear" w:color="auto" w:fill="auto"/>
            <w:noWrap/>
            <w:vAlign w:val="center"/>
          </w:tcPr>
          <w:p/>
        </w:tc>
        <w:tc>
          <w:tcPr>
            <w:tcW w:w="17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continue"/>
            <w:tcBorders>
              <w:top w:val="single" w:color="000000" w:sz="4" w:space="0"/>
              <w:left w:val="single" w:color="000000" w:sz="4" w:space="0"/>
              <w:bottom w:val="nil"/>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培育两新党员工作履职效果</w:t>
            </w:r>
          </w:p>
        </w:tc>
        <w:tc>
          <w:tcPr>
            <w:tcW w:w="336" w:type="pct"/>
            <w:vMerge w:val="continue"/>
            <w:tcBorders>
              <w:top w:val="nil"/>
              <w:left w:val="single" w:color="000000" w:sz="4" w:space="0"/>
              <w:bottom w:val="single" w:color="000000" w:sz="4" w:space="0"/>
              <w:right w:val="single" w:color="000000" w:sz="4" w:space="0"/>
            </w:tcBorders>
            <w:shd w:val="clear" w:color="auto" w:fill="auto"/>
            <w:noWrap/>
            <w:vAlign w:val="center"/>
          </w:tcPr>
          <w:p/>
        </w:tc>
        <w:tc>
          <w:tcPr>
            <w:tcW w:w="17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continue"/>
            <w:tcBorders>
              <w:top w:val="single" w:color="000000" w:sz="4" w:space="0"/>
              <w:left w:val="single" w:color="000000" w:sz="4" w:space="0"/>
              <w:bottom w:val="nil"/>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预算管理</w:t>
            </w:r>
            <w:r>
              <w:rPr>
                <w:rFonts w:hint="eastAsia" w:ascii="宋体" w:eastAsia="宋体" w:cs="宋体"/>
                <w:b/>
                <w:bCs/>
                <w:color w:val="000000"/>
                <w:kern w:val="0"/>
                <w:sz w:val="24"/>
              </w:rPr>
              <w:br w:type="textWrapping"/>
            </w:r>
            <w:r>
              <w:rPr>
                <w:rFonts w:hint="eastAsia" w:ascii="宋体" w:eastAsia="宋体" w:cs="宋体"/>
                <w:b/>
                <w:bCs/>
                <w:color w:val="000000"/>
                <w:kern w:val="0"/>
                <w:sz w:val="24"/>
              </w:rPr>
              <w:t>（25分）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预算编制质量</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8</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部门是否严格按要求编制年初部门预算，年初预算编制的科学性和准确性</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7.84</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单位收入统筹</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部门统筹自有收入程度</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支出执行进度</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6</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部门1至6月、1至10月预算执行情况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3.42</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预算年终结余</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2</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部门整体年终预算结余情况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1.92</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严控一般性支出</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部门严控“三公”经费、会议、培训、差旅、办节办展、办公设备购置、信息网络及软件购置更新、课题经费等8项一般性支出情况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财务管理</w:t>
            </w:r>
            <w:r>
              <w:rPr>
                <w:rFonts w:hint="eastAsia" w:ascii="宋体" w:eastAsia="宋体" w:cs="宋体"/>
                <w:b/>
                <w:bCs/>
                <w:color w:val="000000"/>
                <w:kern w:val="0"/>
                <w:sz w:val="24"/>
              </w:rPr>
              <w:br w:type="textWrapping"/>
            </w:r>
            <w:r>
              <w:rPr>
                <w:rFonts w:hint="eastAsia" w:ascii="宋体" w:eastAsia="宋体" w:cs="宋体"/>
                <w:b/>
                <w:bCs/>
                <w:color w:val="000000"/>
                <w:kern w:val="0"/>
                <w:sz w:val="24"/>
              </w:rPr>
              <w:t>（10分）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财务管理制度</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部门财务管理制度建立情况</w:t>
            </w:r>
          </w:p>
        </w:tc>
        <w:tc>
          <w:tcPr>
            <w:tcW w:w="300"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财务岗位设置</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2</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部门财务岗位设置是否符合相关财务管理制度要求</w:t>
            </w:r>
          </w:p>
        </w:tc>
        <w:tc>
          <w:tcPr>
            <w:tcW w:w="300"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2</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资金使用规范</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部门资金使用是否符合相关财务管理制度规定</w:t>
            </w:r>
          </w:p>
        </w:tc>
        <w:tc>
          <w:tcPr>
            <w:tcW w:w="300"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资产管理</w:t>
            </w:r>
            <w:r>
              <w:rPr>
                <w:rFonts w:hint="eastAsia" w:ascii="宋体" w:eastAsia="宋体" w:cs="宋体"/>
                <w:b/>
                <w:bCs/>
                <w:color w:val="000000"/>
                <w:kern w:val="0"/>
                <w:sz w:val="24"/>
              </w:rPr>
              <w:br w:type="textWrapping"/>
            </w:r>
            <w:r>
              <w:rPr>
                <w:rFonts w:hint="eastAsia" w:ascii="宋体" w:eastAsia="宋体" w:cs="宋体"/>
                <w:b/>
                <w:bCs/>
                <w:color w:val="000000"/>
                <w:kern w:val="0"/>
                <w:sz w:val="24"/>
              </w:rPr>
              <w:t>（9分）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人均资产变化率</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部门人均资产变化情况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资产利用率</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部门资产超最低使用年限情况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bl>
    <w:p>
      <w:pPr>
        <w:pStyle w:val="19"/>
        <w:spacing w:line="20" w:lineRule="exact"/>
        <w:rPr>
          <w:rFonts w:ascii="宋体" w:eastAsia="宋体" w:cs="宋体"/>
          <w:color w:val="000000"/>
          <w:sz w:val="24"/>
        </w:rPr>
      </w:pPr>
    </w:p>
    <w:p>
      <w:pPr>
        <w:spacing w:line="20" w:lineRule="exact"/>
        <w:rPr>
          <w:rFonts w:eastAsia="黑体"/>
        </w:rPr>
      </w:pPr>
      <w:r>
        <w:rPr>
          <w:rFonts w:eastAsia="黑体"/>
        </w:rPr>
        <w:br w:type="page"/>
      </w:r>
    </w:p>
    <w:p>
      <w:pPr>
        <w:spacing w:line="578" w:lineRule="exact"/>
        <w:jc w:val="left"/>
        <w:rPr>
          <w:rFonts w:eastAsia="黑体"/>
        </w:rPr>
      </w:pPr>
      <w:r>
        <w:rPr>
          <w:rFonts w:eastAsia="黑体"/>
        </w:rPr>
        <w:t>附表</w:t>
      </w:r>
      <w:r>
        <w:rPr>
          <w:rFonts w:hint="eastAsia" w:eastAsia="黑体"/>
        </w:rPr>
        <w:t>2</w:t>
      </w:r>
    </w:p>
    <w:tbl>
      <w:tblPr>
        <w:tblStyle w:val="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04"/>
        <w:gridCol w:w="367"/>
        <w:gridCol w:w="479"/>
        <w:gridCol w:w="1189"/>
        <w:gridCol w:w="1284"/>
        <w:gridCol w:w="974"/>
        <w:gridCol w:w="900"/>
        <w:gridCol w:w="898"/>
        <w:gridCol w:w="878"/>
        <w:gridCol w:w="16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4117" w:type="pct"/>
            <w:gridSpan w:val="9"/>
            <w:tcBorders>
              <w:top w:val="nil"/>
              <w:left w:val="nil"/>
              <w:bottom w:val="single" w:color="auto" w:sz="4" w:space="0"/>
              <w:right w:val="nil"/>
            </w:tcBorders>
            <w:shd w:val="clear" w:color="auto" w:fill="auto"/>
            <w:noWrap/>
            <w:vAlign w:val="bottom"/>
          </w:tcPr>
          <w:p>
            <w:pPr>
              <w:widowControl/>
              <w:jc w:val="center"/>
              <w:textAlignment w:val="bottom"/>
              <w:rPr>
                <w:rFonts w:ascii="宋体" w:eastAsia="宋体" w:cs="宋体"/>
                <w:b/>
                <w:bCs/>
                <w:color w:val="000000"/>
                <w:sz w:val="30"/>
                <w:szCs w:val="30"/>
                <w:lang w:val="en-US" w:eastAsia="zh-CN"/>
              </w:rPr>
            </w:pPr>
            <w:r>
              <w:rPr>
                <w:rFonts w:hint="eastAsia" w:ascii="宋体" w:eastAsia="宋体" w:cs="宋体"/>
                <w:b/>
                <w:bCs/>
                <w:color w:val="000000"/>
                <w:kern w:val="0"/>
                <w:sz w:val="30"/>
                <w:szCs w:val="30"/>
              </w:rPr>
              <w:t>2025年度部门整体绩效目标</w:t>
            </w:r>
            <w:r>
              <w:rPr>
                <w:rFonts w:hint="eastAsia" w:ascii="宋体" w:eastAsia="宋体" w:cs="宋体"/>
                <w:b/>
                <w:bCs/>
                <w:color w:val="000000"/>
                <w:kern w:val="0"/>
                <w:sz w:val="30"/>
                <w:szCs w:val="30"/>
                <w:lang w:val="en-US" w:eastAsia="zh-CN"/>
              </w:rPr>
              <w:t>完成情况自评表</w:t>
            </w:r>
          </w:p>
        </w:tc>
        <w:tc>
          <w:tcPr>
            <w:tcW w:w="882" w:type="pct"/>
            <w:tcBorders>
              <w:top w:val="nil"/>
              <w:left w:val="nil"/>
              <w:bottom w:val="single" w:color="auto" w:sz="4" w:space="0"/>
              <w:right w:val="nil"/>
            </w:tcBorders>
            <w:noWrap/>
          </w:tcPr>
          <w:p>
            <w:pPr>
              <w:widowControl/>
              <w:jc w:val="center"/>
              <w:textAlignment w:val="bottom"/>
              <w:rPr>
                <w:rFonts w:hint="eastAsia" w:ascii="宋体" w:eastAsia="宋体" w:cs="宋体"/>
                <w:b/>
                <w:bCs/>
                <w:color w:val="000000"/>
                <w:kern w:val="0"/>
                <w:sz w:val="30"/>
                <w:szCs w:val="3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317" w:type="pct"/>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left"/>
              <w:textAlignment w:val="bottom"/>
              <w:rPr>
                <w:rFonts w:ascii="宋体" w:eastAsia="宋体" w:cs="宋体"/>
                <w:color w:val="000000"/>
                <w:sz w:val="18"/>
                <w:szCs w:val="18"/>
              </w:rPr>
            </w:pPr>
            <w:r>
              <w:rPr>
                <w:rFonts w:hint="eastAsia" w:ascii="宋体" w:eastAsia="宋体" w:cs="宋体"/>
                <w:color w:val="000000"/>
                <w:kern w:val="0"/>
                <w:sz w:val="18"/>
                <w:szCs w:val="18"/>
              </w:rPr>
              <w:t>部门名称：</w:t>
            </w:r>
          </w:p>
        </w:tc>
        <w:tc>
          <w:tcPr>
            <w:tcW w:w="4682" w:type="pct"/>
            <w:gridSpan w:val="9"/>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left"/>
              <w:textAlignment w:val="bottom"/>
              <w:rPr>
                <w:rFonts w:ascii="宋体" w:eastAsia="宋体" w:cs="宋体"/>
                <w:color w:val="000000"/>
                <w:kern w:val="0"/>
                <w:sz w:val="16"/>
                <w:szCs w:val="16"/>
              </w:rPr>
            </w:pPr>
            <w:r>
              <w:rPr>
                <w:rFonts w:ascii="宋体" w:eastAsia="宋体" w:cs="宋体"/>
                <w:color w:val="000000"/>
                <w:kern w:val="0"/>
                <w:sz w:val="18"/>
                <w:szCs w:val="18"/>
              </w:rPr>
              <w:t>中共黑水县委社会工作部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55" w:type="pct"/>
            <w:gridSpan w:val="3"/>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年度部门整体预算</w:t>
            </w:r>
          </w:p>
        </w:tc>
        <w:tc>
          <w:tcPr>
            <w:tcW w:w="1239" w:type="pct"/>
            <w:gridSpan w:val="2"/>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资金总额</w:t>
            </w:r>
          </w:p>
        </w:tc>
        <w:tc>
          <w:tcPr>
            <w:tcW w:w="891" w:type="pct"/>
            <w:gridSpan w:val="2"/>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财政拨款</w:t>
            </w:r>
          </w:p>
        </w:tc>
        <w:tc>
          <w:tcPr>
            <w:tcW w:w="1713" w:type="pct"/>
            <w:gridSpan w:val="3"/>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kern w:val="0"/>
                <w:sz w:val="18"/>
                <w:szCs w:val="18"/>
              </w:rPr>
            </w:pPr>
            <w:r>
              <w:rPr>
                <w:rFonts w:hint="eastAsia" w:ascii="宋体" w:eastAsia="宋体" w:cs="宋体"/>
                <w:b/>
                <w:bCs/>
                <w:color w:val="000000"/>
                <w:kern w:val="0"/>
                <w:sz w:val="18"/>
                <w:szCs w:val="18"/>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5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rPr>
            </w:pPr>
            <w:r>
              <w:rPr>
                <w:rFonts w:hint="eastAsia" w:ascii="宋体" w:eastAsia="宋体" w:cs="宋体"/>
                <w:color w:val="000000"/>
                <w:kern w:val="0"/>
                <w:sz w:val="18"/>
                <w:szCs w:val="18"/>
              </w:rPr>
              <w:t>收入预算</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0.00</w:t>
            </w:r>
          </w:p>
        </w:tc>
        <w:tc>
          <w:tcPr>
            <w:tcW w:w="8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0.00</w:t>
            </w:r>
          </w:p>
        </w:tc>
        <w:tc>
          <w:tcPr>
            <w:tcW w:w="171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hint="eastAsia" w:ascii="宋体" w:eastAsia="宋体" w:cs="宋体"/>
                <w:color w:val="000000"/>
                <w:kern w:val="0"/>
                <w:sz w:val="18"/>
                <w:szCs w:val="18"/>
              </w:rPr>
            </w:pPr>
            <w:r>
              <w:rPr>
                <w:rFonts w:hint="eastAsia" w:ascii="宋体" w:eastAsia="宋体" w:cs="宋体"/>
                <w:color w:val="000000"/>
                <w:kern w:val="0"/>
                <w:sz w:val="18"/>
                <w:szCs w:val="18"/>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5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rPr>
            </w:pPr>
            <w:r>
              <w:rPr>
                <w:rFonts w:hint="eastAsia" w:ascii="宋体" w:eastAsia="宋体" w:cs="宋体"/>
                <w:color w:val="000000"/>
                <w:kern w:val="0"/>
                <w:sz w:val="18"/>
                <w:szCs w:val="18"/>
              </w:rPr>
              <w:t>支出预算</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545.39</w:t>
            </w:r>
          </w:p>
        </w:tc>
        <w:tc>
          <w:tcPr>
            <w:tcW w:w="8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545.39</w:t>
            </w:r>
          </w:p>
        </w:tc>
        <w:tc>
          <w:tcPr>
            <w:tcW w:w="171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hint="eastAsia" w:ascii="宋体" w:eastAsia="宋体" w:cs="宋体"/>
                <w:color w:val="000000"/>
                <w:kern w:val="0"/>
                <w:sz w:val="18"/>
                <w:szCs w:val="18"/>
              </w:rPr>
            </w:pPr>
            <w:r>
              <w:rPr>
                <w:rFonts w:hint="eastAsia" w:ascii="宋体" w:eastAsia="宋体" w:cs="宋体"/>
                <w:color w:val="000000"/>
                <w:kern w:val="0"/>
                <w:sz w:val="18"/>
                <w:szCs w:val="18"/>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7" w:hRule="atLeast"/>
        </w:trPr>
        <w:tc>
          <w:tcPr>
            <w:tcW w:w="115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ascii="宋体" w:eastAsia="宋体" w:cs="宋体"/>
                <w:b/>
                <w:bCs/>
                <w:color w:val="000000"/>
                <w:kern w:val="0"/>
                <w:sz w:val="18"/>
                <w:szCs w:val="18"/>
              </w:rPr>
              <w:t>年度总体目标</w:t>
            </w:r>
          </w:p>
        </w:tc>
        <w:tc>
          <w:tcPr>
            <w:tcW w:w="3844"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hint="eastAsia" w:ascii="宋体" w:eastAsia="宋体" w:cs="宋体"/>
                <w:color w:val="000000"/>
                <w:kern w:val="0"/>
                <w:sz w:val="18"/>
                <w:szCs w:val="18"/>
              </w:rPr>
            </w:pPr>
            <w:r>
              <w:rPr>
                <w:rFonts w:hint="eastAsia" w:ascii="宋体" w:eastAsia="宋体" w:cs="宋体"/>
                <w:color w:val="000000"/>
                <w:kern w:val="0"/>
                <w:sz w:val="18"/>
                <w:szCs w:val="18"/>
              </w:rPr>
              <w:t>一是围绕中心，主动作为，进一步理顺基层工作职能。与原职能部门加强协作，确保工作的联系性和全力推进。做好基层“补短提能”项目落地实施，承接好县委县政府和上级相关部门交办的工作任务。</w:t>
            </w:r>
            <w:r>
              <w:rPr>
                <w:rFonts w:hint="eastAsia" w:ascii="宋体" w:eastAsia="宋体" w:cs="宋体"/>
                <w:color w:val="000000"/>
                <w:kern w:val="0"/>
                <w:sz w:val="18"/>
                <w:szCs w:val="18"/>
              </w:rPr>
              <w:br w:type="textWrapping"/>
            </w:r>
            <w:r>
              <w:rPr>
                <w:rFonts w:hint="eastAsia" w:ascii="宋体" w:eastAsia="宋体" w:cs="宋体"/>
                <w:color w:val="000000"/>
                <w:kern w:val="0"/>
                <w:sz w:val="18"/>
                <w:szCs w:val="18"/>
              </w:rPr>
              <w:t>二是立足实际，精准施策，进一步推进两新组织发展。按照每年新发展党员逐年递增、增幅达1-2名的规模开展，确保“两新”领域党员发展数量呈增长态势，重点行业领域目前无党员的3年后至少发展1名党员。坚持培育行业党委、党组织同推进，力争2025年不少于3个，其中新业态新就业领域不少于1个。统筹推进“两新”党建工作试点单位创建和党建特色经验推广，力争2025年确定2个试点。</w:t>
            </w:r>
            <w:r>
              <w:rPr>
                <w:rFonts w:hint="eastAsia" w:ascii="宋体" w:eastAsia="宋体" w:cs="宋体"/>
                <w:color w:val="000000"/>
                <w:kern w:val="0"/>
                <w:sz w:val="18"/>
                <w:szCs w:val="18"/>
              </w:rPr>
              <w:br w:type="textWrapping"/>
            </w:r>
            <w:r>
              <w:rPr>
                <w:rFonts w:hint="eastAsia" w:ascii="宋体" w:eastAsia="宋体" w:cs="宋体"/>
                <w:color w:val="000000"/>
                <w:kern w:val="0"/>
                <w:sz w:val="18"/>
                <w:szCs w:val="18"/>
              </w:rPr>
              <w:t>三是强化思维，专注执行，进一步推动办理法治化见诉见质。切实运用法治思维和法治方式做好信访工作，不断加强《信访工作条例》和信访业务规范的贯彻、培训、宣传，进一步纠正简单以程序性办结代替实质性化解的错误做法，推动责任主体客观公正有效解决群众合理合法诉求，形成“受理部门负责程序推进、办理部门负责实体解决”的工作局面。同时加强矛盾纠纷排查化解及信访积案台账销号工作，及时把矛盾消化在基层，化解在一线，把信访积案从根源上消除，保障信访领域和谐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lang w:val="en-US" w:eastAsia="zh-CN"/>
              </w:rPr>
            </w:pPr>
            <w:r>
              <w:rPr>
                <w:rFonts w:hint="eastAsia" w:ascii="宋体" w:eastAsia="宋体" w:cs="宋体"/>
                <w:b/>
                <w:bCs/>
                <w:color w:val="000000"/>
                <w:kern w:val="0"/>
                <w:sz w:val="18"/>
                <w:szCs w:val="18"/>
                <w:lang w:val="en-US" w:eastAsia="zh-CN"/>
              </w:rPr>
              <w:t>管理效率</w:t>
            </w:r>
          </w:p>
        </w:tc>
        <w:tc>
          <w:tcPr>
            <w:tcW w:w="41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一级指标</w:t>
            </w:r>
          </w:p>
        </w:tc>
        <w:tc>
          <w:tcPr>
            <w:tcW w:w="42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二级指标</w:t>
            </w:r>
          </w:p>
        </w:tc>
        <w:tc>
          <w:tcPr>
            <w:tcW w:w="59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三级指标</w:t>
            </w:r>
          </w:p>
        </w:tc>
        <w:tc>
          <w:tcPr>
            <w:tcW w:w="6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指标值</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指标参考值</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center"/>
              <w:textAlignment w:val="center"/>
              <w:rPr>
                <w:rFonts w:ascii="宋体" w:eastAsia="宋体" w:cs="宋体"/>
                <w:b/>
                <w:bCs/>
                <w:color w:val="000000"/>
                <w:kern w:val="0"/>
                <w:sz w:val="18"/>
                <w:szCs w:val="18"/>
                <w:lang w:val="en-US" w:eastAsia="zh-CN"/>
              </w:rPr>
            </w:pPr>
            <w:r>
              <w:rPr>
                <w:rFonts w:hint="eastAsia" w:ascii="宋体" w:eastAsia="宋体" w:cs="宋体"/>
                <w:b/>
                <w:bCs/>
                <w:color w:val="000000"/>
                <w:kern w:val="0"/>
                <w:sz w:val="18"/>
                <w:szCs w:val="18"/>
                <w:lang w:val="en-US" w:eastAsia="zh-CN"/>
              </w:rPr>
              <w:t>指标实际完成值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9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6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三年均值</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sz w:val="18"/>
                <w:szCs w:val="18"/>
                <w:lang w:eastAsia="zh-CN"/>
              </w:rPr>
            </w:pPr>
            <w:r>
              <w:rPr>
                <w:rFonts w:hint="eastAsia" w:ascii="宋体" w:eastAsia="宋体" w:cs="宋体"/>
                <w:b/>
                <w:bCs/>
                <w:color w:val="000000"/>
                <w:kern w:val="0"/>
                <w:sz w:val="18"/>
                <w:szCs w:val="18"/>
              </w:rPr>
              <w:t>202</w:t>
            </w:r>
            <w:r>
              <w:rPr>
                <w:rFonts w:hint="eastAsia" w:ascii="宋体" w:eastAsia="宋体" w:cs="宋体"/>
                <w:b/>
                <w:bCs/>
                <w:color w:val="000000"/>
                <w:kern w:val="0"/>
                <w:sz w:val="18"/>
                <w:szCs w:val="18"/>
                <w:lang w:val="en-US" w:eastAsia="zh-CN"/>
              </w:rPr>
              <w:t>3</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sz w:val="18"/>
                <w:szCs w:val="18"/>
                <w:lang w:eastAsia="zh-CN"/>
              </w:rPr>
            </w:pPr>
            <w:r>
              <w:rPr>
                <w:rFonts w:hint="eastAsia" w:ascii="宋体" w:eastAsia="宋体" w:cs="宋体"/>
                <w:b/>
                <w:bCs/>
                <w:color w:val="000000"/>
                <w:kern w:val="0"/>
                <w:sz w:val="18"/>
                <w:szCs w:val="18"/>
              </w:rPr>
              <w:t>202</w:t>
            </w:r>
            <w:r>
              <w:rPr>
                <w:rFonts w:hint="eastAsia" w:ascii="宋体" w:eastAsia="宋体" w:cs="宋体"/>
                <w:b/>
                <w:bCs/>
                <w:color w:val="000000"/>
                <w:kern w:val="0"/>
                <w:sz w:val="18"/>
                <w:szCs w:val="18"/>
                <w:lang w:val="en-US" w:eastAsia="zh-CN"/>
              </w:rPr>
              <w:t>4</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sz w:val="18"/>
                <w:szCs w:val="18"/>
                <w:lang w:eastAsia="zh-CN"/>
              </w:rPr>
            </w:pPr>
            <w:r>
              <w:rPr>
                <w:rFonts w:hint="eastAsia" w:ascii="宋体" w:eastAsia="宋体" w:cs="宋体"/>
                <w:b/>
                <w:bCs/>
                <w:color w:val="000000"/>
                <w:kern w:val="0"/>
                <w:sz w:val="18"/>
                <w:szCs w:val="18"/>
              </w:rPr>
              <w:t>202</w:t>
            </w:r>
            <w:r>
              <w:rPr>
                <w:rFonts w:hint="eastAsia" w:ascii="宋体" w:eastAsia="宋体" w:cs="宋体"/>
                <w:b/>
                <w:bCs/>
                <w:color w:val="000000"/>
                <w:kern w:val="0"/>
                <w:sz w:val="18"/>
                <w:szCs w:val="18"/>
                <w:lang w:val="en-US" w:eastAsia="zh-CN"/>
              </w:rPr>
              <w:t>5</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center"/>
              <w:textAlignment w:val="center"/>
              <w:rPr>
                <w:rFonts w:hint="eastAsia" w:ascii="宋体" w:eastAsia="宋体" w:cs="宋体"/>
                <w:b/>
                <w:bCs/>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财政拨款预算偏离度</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60</w:t>
            </w:r>
            <w:r>
              <w:rPr>
                <w:rFonts w:hint="eastAsia" w:ascii="宋体" w:eastAsia="宋体" w:cs="宋体"/>
                <w:color w:val="000000"/>
                <w:kern w:val="0"/>
                <w:sz w:val="18"/>
                <w:szCs w:val="18"/>
              </w:rPr>
              <w:t>%</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65.07%</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65.07%</w:t>
            </w:r>
            <w:r>
              <w:rPr>
                <w:rFonts w:hint="eastAsia" w:ascii="宋体" w:eastAsia="宋体" w:cs="宋体"/>
                <w:color w:val="000000"/>
                <w:kern w:val="0"/>
                <w:sz w:val="18"/>
                <w:szCs w:val="18"/>
              </w:rPr>
              <w:t>%</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单位收入统筹度</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100.00%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100%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100%</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预算年终结余率</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4.66%</w:t>
            </w:r>
            <w:r>
              <w:rPr>
                <w:rFonts w:hint="eastAsia" w:ascii="宋体" w:eastAsia="宋体" w:cs="宋体"/>
                <w:color w:val="000000"/>
                <w:kern w:val="0"/>
                <w:sz w:val="18"/>
                <w:szCs w:val="18"/>
              </w:rPr>
              <w:t>%</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4.66%</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0%</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4.66</w:t>
            </w:r>
            <w:r>
              <w:rPr>
                <w:rFonts w:hint="eastAsia" w:ascii="宋体" w:eastAsia="宋体" w:cs="宋体"/>
                <w:color w:val="000000"/>
                <w:kern w:val="0"/>
                <w:sz w:val="18"/>
                <w:szCs w:val="18"/>
              </w:rPr>
              <w:t>%</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一般性支出金额</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19.06</w:t>
            </w:r>
            <w:r>
              <w:rPr>
                <w:rFonts w:hint="eastAsia" w:ascii="宋体" w:eastAsia="宋体" w:cs="宋体"/>
                <w:color w:val="000000"/>
                <w:kern w:val="0"/>
                <w:sz w:val="18"/>
                <w:szCs w:val="18"/>
              </w:rPr>
              <w:t>万元</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19.06</w:t>
            </w:r>
            <w:r>
              <w:rPr>
                <w:rFonts w:hint="eastAsia" w:ascii="宋体" w:eastAsia="宋体" w:cs="宋体"/>
                <w:color w:val="000000"/>
                <w:kern w:val="0"/>
                <w:sz w:val="18"/>
                <w:szCs w:val="18"/>
              </w:rPr>
              <w:t>万元</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19.06</w:t>
            </w:r>
            <w:r>
              <w:rPr>
                <w:rFonts w:hint="eastAsia" w:ascii="宋体" w:eastAsia="宋体" w:cs="宋体"/>
                <w:color w:val="000000"/>
                <w:kern w:val="0"/>
                <w:sz w:val="18"/>
                <w:szCs w:val="18"/>
              </w:rPr>
              <w:t>万元</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财务管理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财务管理规范</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良</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882" w:type="pct"/>
            <w:tcBorders>
              <w:top w:val="single" w:color="000000" w:sz="4" w:space="0"/>
              <w:left w:val="single" w:color="000000" w:sz="4" w:space="0"/>
              <w:bottom w:val="single" w:color="000000" w:sz="4" w:space="0"/>
              <w:right w:val="single" w:color="000000" w:sz="4" w:space="0"/>
            </w:tcBorders>
            <w:noWrap/>
          </w:tcPr>
          <w:p>
            <w:pPr>
              <w:jc w:val="right"/>
              <w:rPr>
                <w:rFonts w:asci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资产管理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资产配置预算偏离度</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bottom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采购管理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采购执行率</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100.00%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lang w:val="en-US" w:eastAsia="zh-CN"/>
              </w:rPr>
            </w:pPr>
            <w:r>
              <w:rPr>
                <w:rFonts w:hint="eastAsia" w:ascii="宋体" w:eastAsia="宋体" w:cs="宋体"/>
                <w:b/>
                <w:bCs/>
                <w:color w:val="000000"/>
                <w:kern w:val="0"/>
                <w:sz w:val="18"/>
                <w:szCs w:val="18"/>
                <w:lang w:val="en-US" w:eastAsia="zh-CN"/>
              </w:rPr>
              <w:t>履职效能</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一级指标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二级指标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三级指标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ascii="宋体" w:eastAsia="宋体" w:cs="宋体"/>
                <w:b/>
                <w:bCs/>
                <w:color w:val="000000"/>
                <w:kern w:val="0"/>
                <w:sz w:val="18"/>
                <w:szCs w:val="18"/>
              </w:rPr>
              <w:t>指标值（包括数字及文字描述）</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center"/>
              <w:textAlignment w:val="center"/>
              <w:rPr>
                <w:rFonts w:ascii="宋体" w:eastAsia="宋体" w:cs="宋体"/>
                <w:b/>
                <w:bCs/>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时效指标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项目建设到期完成率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项目建设到期完成率等于100%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国家、省转交督信访件数量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15件（次）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15件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国家、省州县网投平台数量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21件（次）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21件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省州县领导信箱数量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17件（次）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17件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全县信访总量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91批162人次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rPr>
            </w:pPr>
            <w:r>
              <w:rPr>
                <w:rFonts w:ascii="宋体" w:eastAsia="宋体" w:cs="宋体"/>
                <w:color w:val="000000"/>
                <w:kern w:val="0"/>
                <w:sz w:val="18"/>
                <w:szCs w:val="18"/>
              </w:rPr>
              <w:t>91批162人次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推进两新组织发展个数</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2025年不少于3个</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3个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在职职工人数</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信访接待中心4人，行政11人，共15人</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18人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完成单位职工工资及保险</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2025年按时足额完成单位职工工资及保险等15人</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18人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质量指标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各重大会议、重大活动、重大节假日期间信访安全保障工作，劝返等工作完成率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各重大会议、重大活动、重大节假日期间信访安全保障，劝返等工作完成率等于100%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质量指标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项目验收合格率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项目验收合格率大于等于95%</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效益指标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可持续发展指标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不断强化思维，专注执行</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可持续推动办理法治化见诉见质，切实运用法治思维和法治方式做好信访工作</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hint="eastAsia"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已完成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left w:val="single" w:color="000000" w:sz="4" w:space="0"/>
              <w:bottom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效益指标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可持续影响指标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保障信访领域和谐稳定</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加强矛盾纠纷排查化解，及时把矛盾消化在基层，化解在一线，保障信访领域和谐稳定</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rPr>
            </w:pPr>
            <w:r>
              <w:rPr>
                <w:rFonts w:hint="eastAsia" w:ascii="宋体" w:eastAsia="宋体" w:cs="宋体"/>
                <w:color w:val="000000"/>
                <w:kern w:val="0"/>
                <w:sz w:val="18"/>
                <w:szCs w:val="18"/>
                <w:lang w:val="en-US" w:eastAsia="zh-CN"/>
              </w:rPr>
              <w:t>已完成</w:t>
            </w:r>
          </w:p>
        </w:tc>
      </w:tr>
    </w:tbl>
    <w:p>
      <w:pPr>
        <w:rPr>
          <w:rFonts w:eastAsia="黑体"/>
          <w:sz w:val="24"/>
        </w:rPr>
      </w:pPr>
    </w:p>
    <w:p>
      <w:pPr>
        <w:rPr>
          <w:rFonts w:eastAsia="黑体"/>
        </w:rPr>
      </w:pPr>
    </w:p>
    <w:sectPr>
      <w:headerReference r:id="rId3" w:type="default"/>
      <w:footerReference r:id="rId4" w:type="default"/>
      <w:pgSz w:w="11906" w:h="16838"/>
      <w:pgMar w:top="2098" w:right="1474" w:bottom="1984" w:left="1587" w:header="851" w:footer="992" w:gutter="0"/>
      <w:pgNumType w:fmt="numberInDash"/>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仿宋简体">
    <w:altName w:val="方正仿宋_GBK"/>
    <w:panose1 w:val="00000000000000000000"/>
    <w:charset w:val="86"/>
    <w:family w:val="auto"/>
    <w:pitch w:val="default"/>
    <w:sig w:usb0="00000000" w:usb1="00000000"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_GB2312">
    <w:altName w:val="DejaVu Math TeX Gyre"/>
    <w:panose1 w:val="00000000000000000000"/>
    <w:charset w:val="00"/>
    <w:family w:val="auto"/>
    <w:pitch w:val="default"/>
    <w:sig w:usb0="00000000" w:usb1="00000000" w:usb2="00000000" w:usb3="00000000" w:csb0="00000001" w:csb1="00000000"/>
  </w:font>
  <w:font w:name="方正小标宋简体">
    <w:altName w:val="仿宋_GB2312"/>
    <w:panose1 w:val="03000509000000000000"/>
    <w:charset w:val="86"/>
    <w:family w:val="auto"/>
    <w:pitch w:val="default"/>
    <w:sig w:usb0="00000000" w:usb1="0000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A00002BF" w:usb1="38CF7CFA" w:usb2="00082016"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19785" cy="464185"/>
              <wp:effectExtent l="0" t="0" r="0" b="0"/>
              <wp:wrapNone/>
              <wp:docPr id="1" name="文本框 2"/>
              <wp:cNvGraphicFramePr/>
              <a:graphic xmlns:a="http://schemas.openxmlformats.org/drawingml/2006/main">
                <a:graphicData uri="http://schemas.microsoft.com/office/word/2010/wordprocessingShape">
                  <wps:wsp>
                    <wps:cNvSpPr/>
                    <wps:spPr>
                      <a:xfrm>
                        <a:off x="0" y="0"/>
                        <a:ext cx="819911" cy="464134"/>
                      </a:xfrm>
                      <a:prstGeom prst="rect">
                        <a:avLst/>
                      </a:prstGeom>
                      <a:noFill/>
                      <a:ln w="6350" cap="flat" cmpd="sng">
                        <a:noFill/>
                        <a:prstDash val="solid"/>
                        <a:round/>
                      </a:ln>
                    </wps:spPr>
                    <wps:txbx>
                      <w:txbxContent>
                        <w:p>
                          <w:pPr>
                            <w:pStyle w:val="11"/>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24 -</w:t>
                          </w:r>
                          <w:r>
                            <w:rPr>
                              <w:rFonts w:ascii="宋体"/>
                              <w:sz w:val="28"/>
                              <w:szCs w:val="28"/>
                            </w:rPr>
                            <w:fldChar w:fldCharType="end"/>
                          </w:r>
                        </w:p>
                        <w:p/>
                      </w:txbxContent>
                    </wps:txbx>
                    <wps:bodyPr vert="horz" wrap="none" lIns="0" tIns="0" rIns="0" bIns="0" anchor="t" anchorCtr="0" upright="0">
                      <a:spAutoFit/>
                    </wps:bodyPr>
                  </wps:wsp>
                </a:graphicData>
              </a:graphic>
            </wp:anchor>
          </w:drawing>
        </mc:Choice>
        <mc:Fallback>
          <w:pict>
            <v:rect id="文本框 2" o:spid="_x0000_s1026" o:spt="1" style="position:absolute;left:0pt;margin-top:0pt;height:36.55pt;width:64.55pt;mso-position-horizontal:outside;mso-position-horizontal-relative:margin;mso-wrap-style:none;z-index:251659264;mso-width-relative:page;mso-height-relative:page;" filled="f" stroked="f" coordsize="21600,21600" o:gfxdata="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BYAAABkcnMvUEsBAhQAFAAAAAgAh07iQN80orjYAAAABAEA&#10;AA8AAAAAAAAAAQAgAAAAOAAAAGRycy9kb3ducmV2LnhtbFBLAQIUABQAAAAIAIdO4kC4HPeMBAIA&#10;APQDAAAOAAAAAAAAAAEAIAAAAD0BAABkcnMvZTJvRG9jLnhtbFBLBQYAAAAABgAGAFkBAACzBQAA&#10;AAA=&#10;">
              <v:fill on="f" focussize="0,0"/>
              <v:stroke on="f" weight="0.5pt" joinstyle="round"/>
              <v:imagedata o:title=""/>
              <o:lock v:ext="edit" aspectratio="f"/>
              <v:textbox inset="0mm,0mm,0mm,0mm" style="mso-fit-shape-to-text:t;">
                <w:txbxContent>
                  <w:p>
                    <w:pPr>
                      <w:pStyle w:val="11"/>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24 -</w:t>
                    </w:r>
                    <w:r>
                      <w:rPr>
                        <w:rFonts w:ascii="宋体"/>
                        <w:sz w:val="28"/>
                        <w:szCs w:val="28"/>
                      </w:rPr>
                      <w:fldChar w:fldCharType="end"/>
                    </w:r>
                  </w:p>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80EF6A"/>
    <w:multiLevelType w:val="singleLevel"/>
    <w:tmpl w:val="E680EF6A"/>
    <w:lvl w:ilvl="0" w:tentative="0">
      <w:start w:val="2"/>
      <w:numFmt w:val="chineseCounting"/>
      <w:suff w:val="nothing"/>
      <w:lvlText w:val="（%1）"/>
      <w:lvlJc w:val="left"/>
      <w:pPr>
        <w:ind w:left="0" w:firstLine="0"/>
      </w:pPr>
      <w:rPr>
        <w:rFonts w:hint="eastAsia"/>
      </w:rPr>
    </w:lvl>
  </w:abstractNum>
  <w:abstractNum w:abstractNumId="1">
    <w:nsid w:val="F83893A3"/>
    <w:multiLevelType w:val="singleLevel"/>
    <w:tmpl w:val="F83893A3"/>
    <w:lvl w:ilvl="0" w:tentative="0">
      <w:start w:val="2"/>
      <w:numFmt w:val="chineseCounting"/>
      <w:suff w:val="nothing"/>
      <w:lvlText w:val="（%1）"/>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60"/>
  <w:drawingGridVerticalSpacing w:val="435"/>
  <w:displayHorizontalDrawingGridEvery w:val="0"/>
  <w:displayVerticalDrawingGridEvery w:val="1"/>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4"/>
  </w:compat>
  <w:rsids>
    <w:rsidRoot w:val="00000000"/>
    <w:rsid w:val="4C640712"/>
    <w:rsid w:val="5CEFD3B0"/>
    <w:rsid w:val="7D8F28F3"/>
    <w:rsid w:val="E7EE6414"/>
    <w:rsid w:val="EFB901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rPr>
  </w:style>
  <w:style w:type="paragraph" w:styleId="4">
    <w:name w:val="heading 2"/>
    <w:basedOn w:val="1"/>
    <w:next w:val="1"/>
    <w:qFormat/>
    <w:uiPriority w:val="0"/>
    <w:pPr>
      <w:keepNext/>
      <w:keepLines/>
      <w:spacing w:before="260" w:after="260" w:line="415" w:lineRule="auto"/>
      <w:outlineLvl w:val="1"/>
    </w:pPr>
    <w:rPr>
      <w:rFonts w:ascii="Times New Roman" w:hAnsi="Times New Roman" w:eastAsia="黑体"/>
      <w:b/>
      <w:sz w:val="32"/>
    </w:rPr>
  </w:style>
  <w:style w:type="paragraph" w:styleId="5">
    <w:name w:val="heading 3"/>
    <w:basedOn w:val="1"/>
    <w:next w:val="1"/>
    <w:qFormat/>
    <w:uiPriority w:val="0"/>
    <w:pPr>
      <w:keepNext/>
      <w:keepLines/>
      <w:spacing w:before="260" w:after="260" w:line="415" w:lineRule="auto"/>
      <w:outlineLvl w:val="2"/>
    </w:pPr>
    <w:rPr>
      <w:b/>
      <w:sz w:val="32"/>
    </w:rPr>
  </w:style>
  <w:style w:type="character" w:default="1" w:styleId="17">
    <w:name w:val="Default Paragraph Font"/>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spacing w:before="100" w:beforeAutospacing="1" w:after="100" w:afterAutospacing="1"/>
      <w:ind w:left="400" w:leftChars="200" w:hanging="200" w:hangingChars="200"/>
    </w:pPr>
    <w:rPr>
      <w:sz w:val="20"/>
      <w:szCs w:val="21"/>
    </w:rPr>
  </w:style>
  <w:style w:type="paragraph" w:styleId="6">
    <w:name w:val="Normal Indent"/>
    <w:basedOn w:val="1"/>
    <w:next w:val="1"/>
    <w:qFormat/>
    <w:uiPriority w:val="0"/>
    <w:pPr>
      <w:spacing w:before="50" w:beforeLines="50" w:line="360" w:lineRule="auto"/>
      <w:ind w:firstLine="200" w:firstLineChars="200"/>
    </w:pPr>
    <w:rPr>
      <w:rFonts w:eastAsia="仿宋"/>
      <w:sz w:val="24"/>
      <w:szCs w:val="23"/>
      <w:lang w:eastAsia="ar-SA"/>
    </w:rPr>
  </w:style>
  <w:style w:type="paragraph" w:styleId="7">
    <w:name w:val="Document Map"/>
    <w:basedOn w:val="1"/>
    <w:qFormat/>
    <w:uiPriority w:val="0"/>
    <w:rPr>
      <w:rFonts w:ascii="宋体" w:eastAsia="宋体"/>
      <w:sz w:val="18"/>
      <w:szCs w:val="18"/>
    </w:rPr>
  </w:style>
  <w:style w:type="paragraph" w:styleId="8">
    <w:name w:val="Body Text"/>
    <w:basedOn w:val="1"/>
    <w:next w:val="1"/>
    <w:qFormat/>
    <w:uiPriority w:val="0"/>
    <w:pPr>
      <w:spacing w:after="120"/>
    </w:pPr>
  </w:style>
  <w:style w:type="paragraph" w:styleId="9">
    <w:name w:val="Body Text Indent"/>
    <w:basedOn w:val="1"/>
    <w:qFormat/>
    <w:uiPriority w:val="0"/>
    <w:pPr>
      <w:spacing w:after="120"/>
      <w:ind w:left="200" w:leftChars="200"/>
    </w:pPr>
    <w:rPr>
      <w:rFonts w:ascii="仿宋_GB2312"/>
      <w:szCs w:val="32"/>
    </w:r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rFonts w:eastAsia="宋体"/>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3">
    <w:name w:val="toc 1"/>
    <w:basedOn w:val="1"/>
    <w:next w:val="1"/>
    <w:qFormat/>
    <w:uiPriority w:val="0"/>
  </w:style>
  <w:style w:type="paragraph" w:styleId="14">
    <w:name w:val="Normal (Web)"/>
    <w:basedOn w:val="1"/>
    <w:qFormat/>
    <w:uiPriority w:val="0"/>
    <w:rPr>
      <w:sz w:val="24"/>
    </w:rPr>
  </w:style>
  <w:style w:type="paragraph" w:styleId="15">
    <w:name w:val="Body Text First Indent 2"/>
    <w:basedOn w:val="9"/>
    <w:qFormat/>
    <w:uiPriority w:val="0"/>
    <w:pPr>
      <w:ind w:firstLine="200" w:firstLineChars="200"/>
    </w:pPr>
  </w:style>
  <w:style w:type="character" w:styleId="18">
    <w:name w:val="page number"/>
    <w:basedOn w:val="17"/>
    <w:qFormat/>
    <w:uiPriority w:val="0"/>
  </w:style>
  <w:style w:type="paragraph" w:customStyle="1" w:styleId="19">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20">
    <w:name w:val="四号正文"/>
    <w:basedOn w:val="1"/>
    <w:qFormat/>
    <w:uiPriority w:val="0"/>
    <w:pPr>
      <w:spacing w:line="360" w:lineRule="auto"/>
    </w:pPr>
    <w:rPr>
      <w:rFonts w:ascii="??" w:hAnsi="??" w:eastAsia="宋体" w:cs="宋体"/>
      <w:color w:val="000000"/>
      <w:kern w:val="0"/>
      <w:sz w:val="28"/>
      <w:szCs w:val="21"/>
    </w:rPr>
  </w:style>
  <w:style w:type="paragraph" w:customStyle="1" w:styleId="21">
    <w:name w:val="a"/>
    <w:basedOn w:val="1"/>
    <w:qFormat/>
    <w:uiPriority w:val="0"/>
    <w:pPr>
      <w:widowControl/>
      <w:spacing w:before="100" w:beforeAutospacing="1" w:after="100" w:afterAutospacing="1"/>
      <w:jc w:val="left"/>
    </w:pPr>
    <w:rPr>
      <w:rFonts w:ascii="宋体" w:eastAsia="宋体" w:cs="宋体"/>
      <w:kern w:val="0"/>
      <w:sz w:val="24"/>
    </w:rPr>
  </w:style>
  <w:style w:type="character" w:customStyle="1" w:styleId="22">
    <w:name w:val="font31"/>
    <w:basedOn w:val="17"/>
    <w:qFormat/>
    <w:uiPriority w:val="0"/>
    <w:rPr>
      <w:rFonts w:ascii="宋体" w:eastAsia="宋体" w:cs="宋体"/>
      <w:color w:val="000000"/>
      <w:sz w:val="24"/>
      <w:szCs w:val="24"/>
      <w:u w:val="none"/>
    </w:rPr>
  </w:style>
  <w:style w:type="character" w:customStyle="1" w:styleId="23">
    <w:name w:val="font51"/>
    <w:basedOn w:val="17"/>
    <w:qFormat/>
    <w:uiPriority w:val="0"/>
    <w:rPr>
      <w:rFonts w:ascii="Wingdings 2" w:hAnsi="Wingdings 2" w:eastAsia="Wingdings 2" w:cs="Wingdings 2"/>
      <w:color w:val="000000"/>
      <w:sz w:val="18"/>
      <w:szCs w:val="18"/>
      <w:u w:val="none"/>
    </w:rPr>
  </w:style>
  <w:style w:type="character" w:customStyle="1" w:styleId="24">
    <w:name w:val="font01"/>
    <w:basedOn w:val="17"/>
    <w:qFormat/>
    <w:uiPriority w:val="0"/>
    <w:rPr>
      <w:rFonts w:ascii="宋体" w:eastAsia="宋体" w:cs="宋体"/>
      <w:color w:val="000000"/>
      <w:sz w:val="18"/>
      <w:szCs w:val="18"/>
      <w:u w:val="none"/>
    </w:rPr>
  </w:style>
  <w:style w:type="character" w:customStyle="1" w:styleId="25">
    <w:name w:val="font41"/>
    <w:basedOn w:val="17"/>
    <w:qFormat/>
    <w:uiPriority w:val="0"/>
    <w:rPr>
      <w:rFonts w:ascii="宋体" w:eastAsia="宋体" w:cs="宋体"/>
      <w:color w:val="000000"/>
      <w:sz w:val="18"/>
      <w:szCs w:val="18"/>
      <w:u w:val="none"/>
    </w:rPr>
  </w:style>
  <w:style w:type="character" w:customStyle="1" w:styleId="26">
    <w:name w:val="font11"/>
    <w:qFormat/>
    <w:uiPriority w:val="0"/>
    <w:rPr>
      <w:rFonts w:ascii="宋体" w:eastAsia="宋体" w:cs="宋体"/>
      <w:b/>
      <w:bCs/>
      <w:color w:val="000000"/>
      <w:sz w:val="21"/>
      <w:szCs w:val="21"/>
      <w:u w:val="none"/>
    </w:rPr>
  </w:style>
  <w:style w:type="character" w:customStyle="1" w:styleId="27">
    <w:name w:val="font21"/>
    <w:qFormat/>
    <w:uiPriority w:val="0"/>
    <w:rPr>
      <w:rFonts w:ascii="宋体" w:eastAsia="宋体" w:cs="宋体"/>
      <w:color w:val="000000"/>
      <w:sz w:val="21"/>
      <w:szCs w:val="21"/>
      <w:u w:val="none"/>
    </w:rPr>
  </w:style>
  <w:style w:type="paragraph" w:customStyle="1" w:styleId="28">
    <w:name w:val="常用样式（方正仿宋简）"/>
    <w:basedOn w:val="1"/>
    <w:qFormat/>
    <w:uiPriority w:val="0"/>
    <w:pPr>
      <w:spacing w:line="560" w:lineRule="exact"/>
      <w:ind w:firstLine="200" w:firstLineChars="200"/>
    </w:pPr>
    <w:rPr>
      <w:rFonts w:ascii="Calibri" w:hAnsi="Calibri" w:eastAsia="方正仿宋简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PSZX</Company>
  <Pages>23</Pages>
  <Words>9898</Words>
  <Characters>10754</Characters>
  <Lines>733</Lines>
  <Paragraphs>301</Paragraphs>
  <TotalTime>4</TotalTime>
  <ScaleCrop>false</ScaleCrop>
  <LinksUpToDate>false</LinksUpToDate>
  <CharactersWithSpaces>12558</CharactersWithSpaces>
  <Application>WPS Office_11.1.0.10702_F1E327BC-269C-435d-A152-05C5408002CA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2019-06-02T19:06:00Z</dcterms:created>
  <dc:creator>陈萍</dc:creator>
  <cp:lastModifiedBy>user</cp:lastModifiedBy>
  <cp:lastPrinted>2026-04-27T11:48:00Z</cp:lastPrinted>
  <dcterms:modified xsi:type="dcterms:W3CDTF">2026-10-13T10:26:50Z</dcterms:modified>
  <dc:title>区域性就业培训基地建设项目</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E2881E7CB711480398811B368E47BF14_13</vt:lpwstr>
  </property>
  <property fmtid="{D5CDD505-2E9C-101B-9397-08002B2CF9AE}" pid="4" name="KSOTemplateDocerSaveRecord">
    <vt:lpwstr>eyJoZGlkIjoiNDdiZmU5YWNkYjQ4MTQ3YTcxMzUyYzQwMTkwNDIxZTIiLCJ1c2VySWQiOiI1MTMyMTU1NzYifQ==</vt:lpwstr>
  </property>
</Properties>
</file>